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8B99C5">
      <w:pPr>
        <w:rPr>
          <w:rFonts w:hint="default" w:ascii="Times New Roman" w:hAnsi="Times New Roman" w:eastAsia="宋体" w:cs="Times New Roman"/>
          <w:color w:val="auto"/>
          <w:sz w:val="36"/>
          <w:szCs w:val="36"/>
        </w:rPr>
      </w:pPr>
    </w:p>
    <w:p w14:paraId="5A5BEB01">
      <w:pPr>
        <w:rPr>
          <w:rFonts w:hint="default" w:ascii="Times New Roman" w:hAnsi="Times New Roman" w:eastAsia="宋体" w:cs="Times New Roman"/>
          <w:color w:val="auto"/>
          <w:sz w:val="36"/>
          <w:szCs w:val="36"/>
        </w:rPr>
      </w:pPr>
    </w:p>
    <w:sdt>
      <w:sdtPr>
        <w:rPr>
          <w:rFonts w:hint="default" w:ascii="Times New Roman" w:hAnsi="Times New Roman" w:eastAsia="宋体" w:cs="Times New Roman"/>
          <w:color w:val="auto"/>
          <w:kern w:val="2"/>
          <w:sz w:val="36"/>
          <w:szCs w:val="36"/>
          <w:lang w:val="en-US" w:eastAsia="zh-CN" w:bidi="ar-SA"/>
        </w:rPr>
        <w:id w:val="147457654"/>
        <w15:color w:val="DBDBDB"/>
        <w:docPartObj>
          <w:docPartGallery w:val="Table of Contents"/>
          <w:docPartUnique/>
        </w:docPartObj>
      </w:sdtPr>
      <w:sdtEndPr>
        <w:rPr>
          <w:rFonts w:hint="default" w:ascii="Times New Roman" w:hAnsi="Times New Roman" w:eastAsia="宋体" w:cs="Times New Roman"/>
          <w:color w:val="auto"/>
          <w:kern w:val="0"/>
          <w:sz w:val="24"/>
          <w:szCs w:val="20"/>
          <w:lang w:val="en-US" w:eastAsia="zh-CN" w:bidi="ar-SA"/>
        </w:rPr>
      </w:sdtEndPr>
      <w:sdtContent>
        <w:p w14:paraId="5BC26D5B">
          <w:pPr>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目录</w:t>
          </w:r>
        </w:p>
        <w:p w14:paraId="2A725B2B">
          <w:pPr>
            <w:pStyle w:val="5"/>
            <w:tabs>
              <w:tab w:val="right" w:leader="dot" w:pos="8844"/>
            </w:tabs>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TOC \o "1-1" \h \u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_Toc26157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snapToGrid w:val="0"/>
              <w:color w:val="auto"/>
              <w:sz w:val="24"/>
              <w:szCs w:val="24"/>
            </w:rPr>
            <w:t>一、建设项目基本情况</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_Toc26157 \h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fldChar w:fldCharType="end"/>
          </w:r>
        </w:p>
        <w:p w14:paraId="5D86A23B">
          <w:pPr>
            <w:pStyle w:val="5"/>
            <w:tabs>
              <w:tab w:val="right" w:leader="dot" w:pos="8844"/>
            </w:tabs>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_Toc13710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snapToGrid w:val="0"/>
              <w:color w:val="auto"/>
              <w:sz w:val="24"/>
              <w:szCs w:val="24"/>
            </w:rPr>
            <w:t>二、建设项目工程分析</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_Toc13710 \h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24</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fldChar w:fldCharType="end"/>
          </w:r>
        </w:p>
        <w:p w14:paraId="541EB9D4">
          <w:pPr>
            <w:pStyle w:val="5"/>
            <w:tabs>
              <w:tab w:val="right" w:leader="dot" w:pos="8844"/>
            </w:tabs>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_Toc30321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snapToGrid w:val="0"/>
              <w:color w:val="auto"/>
              <w:sz w:val="24"/>
              <w:szCs w:val="24"/>
            </w:rPr>
            <w:t>三、区域环境质量现状、环境保护目标及评价标准</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_Toc30321 \h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61</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fldChar w:fldCharType="end"/>
          </w:r>
        </w:p>
        <w:p w14:paraId="28F69996">
          <w:pPr>
            <w:pStyle w:val="5"/>
            <w:tabs>
              <w:tab w:val="right" w:leader="dot" w:pos="8844"/>
            </w:tabs>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_Toc4006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snapToGrid w:val="0"/>
              <w:color w:val="auto"/>
              <w:sz w:val="24"/>
              <w:szCs w:val="24"/>
            </w:rPr>
            <w:t>四、主要环境影响和保护措施</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_Toc4006 \h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73</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fldChar w:fldCharType="end"/>
          </w:r>
        </w:p>
        <w:p w14:paraId="2D49D604">
          <w:pPr>
            <w:pStyle w:val="5"/>
            <w:tabs>
              <w:tab w:val="right" w:leader="dot" w:pos="8844"/>
            </w:tabs>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_Toc13720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snapToGrid w:val="0"/>
              <w:color w:val="auto"/>
              <w:sz w:val="24"/>
              <w:szCs w:val="24"/>
            </w:rPr>
            <w:t>五、环境保护措施监督检查清单</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_Toc13720 \h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104</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fldChar w:fldCharType="end"/>
          </w:r>
        </w:p>
        <w:p w14:paraId="775AB2A8">
          <w:pPr>
            <w:pStyle w:val="5"/>
            <w:tabs>
              <w:tab w:val="right" w:leader="dot" w:pos="8844"/>
            </w:tabs>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_Toc8062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snapToGrid w:val="0"/>
              <w:color w:val="auto"/>
              <w:sz w:val="24"/>
              <w:szCs w:val="24"/>
            </w:rPr>
            <w:t>六、结论</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_Toc8062 \h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106</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fldChar w:fldCharType="end"/>
          </w:r>
        </w:p>
        <w:p w14:paraId="7B6B92CF">
          <w:pPr>
            <w:pStyle w:val="5"/>
            <w:tabs>
              <w:tab w:val="right" w:leader="dot" w:pos="8844"/>
            </w:tabs>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\l _Toc32073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snapToGrid w:val="0"/>
              <w:color w:val="auto"/>
              <w:sz w:val="24"/>
              <w:szCs w:val="24"/>
            </w:rPr>
            <w:t>建设项目污染物排放量汇总表</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_Toc32073 \h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107</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fldChar w:fldCharType="end"/>
          </w:r>
        </w:p>
        <w:p w14:paraId="50997EE5">
          <w:pPr>
            <w:pStyle w:val="15"/>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rPr>
            <w:sectPr>
              <w:footerReference r:id="rId3" w:type="default"/>
              <w:pgSz w:w="11906" w:h="16838"/>
              <w:pgMar w:top="1701" w:right="1531" w:bottom="1701" w:left="1531" w:header="851" w:footer="1077" w:gutter="0"/>
              <w:pgNumType w:start="3"/>
              <w:cols w:space="720" w:num="1"/>
              <w:docGrid w:linePitch="312" w:charSpace="0"/>
            </w:sectPr>
          </w:pPr>
          <w:r>
            <w:rPr>
              <w:rFonts w:hint="default" w:ascii="Times New Roman" w:hAnsi="Times New Roman" w:eastAsia="宋体" w:cs="Times New Roman"/>
              <w:b/>
              <w:bCs/>
              <w:color w:val="auto"/>
              <w:sz w:val="24"/>
              <w:szCs w:val="24"/>
            </w:rPr>
            <w:fldChar w:fldCharType="end"/>
          </w:r>
        </w:p>
      </w:sdtContent>
    </w:sdt>
    <w:p w14:paraId="51C66866">
      <w:pPr>
        <w:pStyle w:val="15"/>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cs="Times New Roman"/>
          <w:b/>
          <w:bCs/>
          <w:color w:val="auto"/>
          <w:sz w:val="24"/>
          <w:szCs w:val="24"/>
          <w:lang w:val="en-US" w:eastAsia="zh-CN"/>
        </w:rPr>
      </w:pPr>
      <w:bookmarkStart w:id="0" w:name="_Toc26157"/>
      <w:r>
        <w:rPr>
          <w:rFonts w:hint="eastAsia" w:ascii="Times New Roman" w:hAnsi="Times New Roman" w:cs="Times New Roman"/>
          <w:b/>
          <w:bCs/>
          <w:color w:val="auto"/>
          <w:sz w:val="24"/>
          <w:szCs w:val="24"/>
          <w:lang w:val="en-US" w:eastAsia="zh-CN"/>
        </w:rPr>
        <w:t>附件：</w:t>
      </w:r>
    </w:p>
    <w:p w14:paraId="758E4A3F">
      <w:pPr>
        <w:pStyle w:val="15"/>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附件1 委托书</w:t>
      </w:r>
      <w:r>
        <w:rPr>
          <w:rFonts w:hint="eastAsia" w:ascii="Times New Roman" w:hAnsi="Times New Roman" w:cs="Times New Roman"/>
          <w:color w:val="auto"/>
          <w:sz w:val="24"/>
          <w:szCs w:val="24"/>
          <w:lang w:val="en-US" w:eastAsia="zh-CN"/>
        </w:rPr>
        <w:t>；</w:t>
      </w:r>
    </w:p>
    <w:p w14:paraId="6A2CE870">
      <w:pPr>
        <w:pStyle w:val="15"/>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附件2 法人身份证</w:t>
      </w:r>
      <w:r>
        <w:rPr>
          <w:rFonts w:hint="eastAsia" w:ascii="Times New Roman" w:hAnsi="Times New Roman" w:cs="Times New Roman"/>
          <w:color w:val="auto"/>
          <w:sz w:val="24"/>
          <w:szCs w:val="24"/>
          <w:lang w:val="en-US" w:eastAsia="zh-CN"/>
        </w:rPr>
        <w:t>；</w:t>
      </w:r>
    </w:p>
    <w:p w14:paraId="5E904638">
      <w:pPr>
        <w:pStyle w:val="15"/>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附件3 </w:t>
      </w:r>
      <w:r>
        <w:rPr>
          <w:rFonts w:hint="eastAsia" w:ascii="Times New Roman" w:hAnsi="Times New Roman" w:cs="Times New Roman"/>
          <w:color w:val="auto"/>
          <w:sz w:val="24"/>
          <w:szCs w:val="24"/>
          <w:lang w:val="en-US" w:eastAsia="zh-CN"/>
        </w:rPr>
        <w:t>企业</w:t>
      </w:r>
      <w:r>
        <w:rPr>
          <w:rFonts w:hint="default" w:ascii="Times New Roman" w:hAnsi="Times New Roman" w:cs="Times New Roman"/>
          <w:color w:val="auto"/>
          <w:sz w:val="24"/>
          <w:szCs w:val="24"/>
          <w:lang w:val="en-US" w:eastAsia="zh-CN"/>
        </w:rPr>
        <w:t>营业执照</w:t>
      </w:r>
      <w:r>
        <w:rPr>
          <w:rFonts w:hint="eastAsia" w:ascii="Times New Roman" w:hAnsi="Times New Roman" w:cs="Times New Roman"/>
          <w:color w:val="auto"/>
          <w:sz w:val="24"/>
          <w:szCs w:val="24"/>
          <w:lang w:val="en-US" w:eastAsia="zh-CN"/>
        </w:rPr>
        <w:t>；</w:t>
      </w:r>
    </w:p>
    <w:p w14:paraId="10C777CC">
      <w:pPr>
        <w:pStyle w:val="15"/>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附件4 </w:t>
      </w:r>
      <w:r>
        <w:rPr>
          <w:rFonts w:hint="eastAsia"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lang w:val="en-US" w:eastAsia="zh-CN"/>
        </w:rPr>
        <w:t>投资备案证</w:t>
      </w:r>
      <w:r>
        <w:rPr>
          <w:rFonts w:hint="eastAsia" w:ascii="Times New Roman" w:hAnsi="Times New Roman" w:cs="Times New Roman"/>
          <w:color w:val="auto"/>
          <w:sz w:val="24"/>
          <w:szCs w:val="24"/>
          <w:lang w:val="en-US" w:eastAsia="zh-CN"/>
        </w:rPr>
        <w:t>；</w:t>
      </w:r>
    </w:p>
    <w:p w14:paraId="3F191077">
      <w:pPr>
        <w:pStyle w:val="15"/>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附件5 </w:t>
      </w:r>
      <w:r>
        <w:rPr>
          <w:rFonts w:hint="eastAsia" w:ascii="Times New Roman" w:hAnsi="Times New Roman" w:cs="Times New Roman"/>
          <w:color w:val="auto"/>
          <w:sz w:val="24"/>
          <w:szCs w:val="24"/>
          <w:lang w:val="en-US" w:eastAsia="zh-CN"/>
        </w:rPr>
        <w:t>同意项目入园会议纪要；</w:t>
      </w:r>
    </w:p>
    <w:p w14:paraId="53586721">
      <w:pPr>
        <w:pStyle w:val="15"/>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附件6 </w:t>
      </w:r>
      <w:r>
        <w:rPr>
          <w:rFonts w:hint="eastAsia" w:ascii="Times New Roman" w:hAnsi="Times New Roman" w:cs="Times New Roman"/>
          <w:color w:val="auto"/>
          <w:sz w:val="24"/>
          <w:szCs w:val="24"/>
          <w:lang w:val="en-US" w:eastAsia="zh-CN"/>
        </w:rPr>
        <w:t>项目用地产权证；</w:t>
      </w:r>
    </w:p>
    <w:p w14:paraId="26963364">
      <w:pPr>
        <w:pStyle w:val="15"/>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附件</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lang w:val="en-US" w:eastAsia="zh-CN"/>
        </w:rPr>
        <w:t xml:space="preserve"> </w:t>
      </w:r>
      <w:r>
        <w:rPr>
          <w:rFonts w:hint="eastAsia" w:ascii="Times New Roman" w:hAnsi="Times New Roman" w:cs="Times New Roman"/>
          <w:color w:val="auto"/>
          <w:sz w:val="24"/>
          <w:szCs w:val="24"/>
          <w:lang w:val="en-US" w:eastAsia="zh-CN"/>
        </w:rPr>
        <w:t>原项目环评批复；</w:t>
      </w:r>
    </w:p>
    <w:p w14:paraId="70477751">
      <w:pPr>
        <w:pStyle w:val="15"/>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附件8 </w:t>
      </w:r>
      <w:r>
        <w:rPr>
          <w:rFonts w:hint="eastAsia" w:ascii="Times New Roman" w:hAnsi="Times New Roman" w:cs="Times New Roman"/>
          <w:color w:val="auto"/>
          <w:sz w:val="24"/>
          <w:szCs w:val="24"/>
          <w:lang w:val="en-US" w:eastAsia="zh-CN"/>
        </w:rPr>
        <w:t>原项目验收意见及专家签字表</w:t>
      </w:r>
    </w:p>
    <w:p w14:paraId="0BDB232C">
      <w:pPr>
        <w:pStyle w:val="15"/>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附件9 原项目排污许可证</w:t>
      </w:r>
    </w:p>
    <w:p w14:paraId="5D4EA462">
      <w:pPr>
        <w:pStyle w:val="15"/>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附件10原项目</w:t>
      </w:r>
      <w:r>
        <w:rPr>
          <w:rFonts w:hint="eastAsia" w:ascii="Times New Roman" w:hAnsi="Times New Roman" w:cs="Times New Roman"/>
          <w:color w:val="auto"/>
          <w:sz w:val="24"/>
          <w:szCs w:val="24"/>
          <w:lang w:val="en-US" w:eastAsia="zh-CN"/>
        </w:rPr>
        <w:t>2022年</w:t>
      </w:r>
      <w:r>
        <w:rPr>
          <w:rFonts w:hint="eastAsia" w:ascii="Times New Roman" w:hAnsi="Times New Roman" w:eastAsia="宋体" w:cs="Times New Roman"/>
          <w:color w:val="auto"/>
          <w:sz w:val="24"/>
          <w:szCs w:val="24"/>
          <w:lang w:val="en-US" w:eastAsia="zh-CN"/>
        </w:rPr>
        <w:t>第四季度自行</w:t>
      </w:r>
      <w:r>
        <w:rPr>
          <w:rFonts w:hint="eastAsia" w:ascii="Times New Roman" w:hAnsi="Times New Roman" w:cs="Times New Roman"/>
          <w:color w:val="auto"/>
          <w:sz w:val="24"/>
          <w:szCs w:val="24"/>
          <w:lang w:val="en-US" w:eastAsia="zh-CN"/>
        </w:rPr>
        <w:t>检</w:t>
      </w:r>
      <w:r>
        <w:rPr>
          <w:rFonts w:hint="eastAsia" w:ascii="Times New Roman" w:hAnsi="Times New Roman" w:eastAsia="宋体" w:cs="Times New Roman"/>
          <w:color w:val="auto"/>
          <w:sz w:val="24"/>
          <w:szCs w:val="24"/>
          <w:lang w:val="en-US" w:eastAsia="zh-CN"/>
        </w:rPr>
        <w:t>测报告</w:t>
      </w:r>
    </w:p>
    <w:p w14:paraId="044FE9EB">
      <w:pPr>
        <w:pStyle w:val="15"/>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附件1</w:t>
      </w:r>
      <w:r>
        <w:rPr>
          <w:rFonts w:hint="eastAsia" w:ascii="Times New Roman" w:hAnsi="Times New Roman"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原项目2022年下半年油烟检测报告</w:t>
      </w:r>
    </w:p>
    <w:p w14:paraId="66FDCBB0">
      <w:pPr>
        <w:spacing w:line="360" w:lineRule="auto"/>
        <w:ind w:left="1438" w:leftChars="456" w:hanging="480" w:hangingChars="200"/>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附件</w:t>
      </w:r>
      <w:r>
        <w:rPr>
          <w:rFonts w:hint="eastAsia" w:cs="Times New Roman"/>
          <w:color w:val="auto"/>
          <w:sz w:val="24"/>
          <w:szCs w:val="24"/>
          <w:lang w:val="en-US" w:eastAsia="zh-CN"/>
        </w:rPr>
        <w:t>12</w:t>
      </w:r>
      <w:r>
        <w:rPr>
          <w:rFonts w:hint="eastAsia" w:eastAsia="宋体" w:cs="Times New Roman"/>
          <w:color w:val="auto"/>
          <w:sz w:val="24"/>
          <w:szCs w:val="24"/>
          <w:lang w:val="en-US" w:eastAsia="zh-CN"/>
        </w:rPr>
        <w:t xml:space="preserve"> 云南省环境保护厅关于《富民工业园区总体规划修编（2015-2030）环境影响报告书》审查意见的函（云环函【2016】10</w:t>
      </w:r>
      <w:r>
        <w:rPr>
          <w:rFonts w:hint="eastAsia" w:cs="Times New Roman"/>
          <w:color w:val="auto"/>
          <w:sz w:val="24"/>
          <w:szCs w:val="24"/>
          <w:lang w:val="en-US" w:eastAsia="zh-CN"/>
        </w:rPr>
        <w:t>号</w:t>
      </w:r>
      <w:r>
        <w:rPr>
          <w:rFonts w:hint="eastAsia" w:eastAsia="宋体" w:cs="Times New Roman"/>
          <w:color w:val="auto"/>
          <w:sz w:val="24"/>
          <w:szCs w:val="24"/>
          <w:lang w:val="en-US" w:eastAsia="zh-CN"/>
        </w:rPr>
        <w:t>）</w:t>
      </w:r>
    </w:p>
    <w:p w14:paraId="183039BA">
      <w:pPr>
        <w:pStyle w:val="19"/>
        <w:rPr>
          <w:rFonts w:hint="eastAsia" w:cs="Times New Roman"/>
          <w:color w:val="auto"/>
          <w:sz w:val="24"/>
          <w:szCs w:val="24"/>
          <w:lang w:val="en-US" w:eastAsia="zh-CN"/>
        </w:rPr>
      </w:pPr>
      <w:r>
        <w:rPr>
          <w:rFonts w:hint="eastAsia" w:cs="Times New Roman"/>
          <w:color w:val="auto"/>
          <w:sz w:val="24"/>
          <w:szCs w:val="24"/>
          <w:lang w:val="en-US" w:eastAsia="zh-CN"/>
        </w:rPr>
        <w:t>附件13 项目进度控制表</w:t>
      </w:r>
    </w:p>
    <w:p w14:paraId="7BAC408A">
      <w:pPr>
        <w:pStyle w:val="20"/>
        <w:ind w:firstLine="960" w:firstLineChars="400"/>
        <w:rPr>
          <w:rFonts w:hint="default"/>
          <w:lang w:val="en-US" w:eastAsia="zh-CN"/>
        </w:rPr>
      </w:pPr>
      <w:r>
        <w:rPr>
          <w:rFonts w:hint="eastAsia" w:cs="Times New Roman"/>
          <w:color w:val="auto"/>
          <w:sz w:val="24"/>
          <w:szCs w:val="24"/>
          <w:lang w:val="en-US" w:eastAsia="zh-CN"/>
        </w:rPr>
        <w:t>附件14 污泥清运协议</w:t>
      </w:r>
    </w:p>
    <w:p w14:paraId="7EDFD6CE">
      <w:pPr>
        <w:pStyle w:val="20"/>
        <w:ind w:firstLine="960" w:firstLineChars="400"/>
        <w:rPr>
          <w:rFonts w:hint="default"/>
          <w:lang w:val="en-US" w:eastAsia="zh-CN"/>
        </w:rPr>
      </w:pPr>
      <w:r>
        <w:rPr>
          <w:rFonts w:hint="eastAsia" w:cs="Times New Roman"/>
          <w:color w:val="auto"/>
          <w:sz w:val="24"/>
          <w:szCs w:val="24"/>
          <w:lang w:val="en-US" w:eastAsia="zh-CN"/>
        </w:rPr>
        <w:t>附件15 项目全本公示截图</w:t>
      </w:r>
    </w:p>
    <w:p w14:paraId="70532256">
      <w:pPr>
        <w:pStyle w:val="15"/>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附图：</w:t>
      </w:r>
    </w:p>
    <w:p w14:paraId="762AE6A2">
      <w:pPr>
        <w:pStyle w:val="15"/>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附图1 项目区地理位置图</w:t>
      </w:r>
    </w:p>
    <w:p w14:paraId="4D4BB507">
      <w:pPr>
        <w:pStyle w:val="15"/>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附图2 项目总平面布置图</w:t>
      </w:r>
    </w:p>
    <w:p w14:paraId="38DFDDE7">
      <w:pPr>
        <w:pStyle w:val="15"/>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附图3 项目企业周边关系图</w:t>
      </w:r>
    </w:p>
    <w:p w14:paraId="5D67FCD3">
      <w:pPr>
        <w:pStyle w:val="15"/>
        <w:keepNext w:val="0"/>
        <w:keepLines w:val="0"/>
        <w:pageBreakBefore w:val="0"/>
        <w:widowControl w:val="0"/>
        <w:kinsoku/>
        <w:wordWrap/>
        <w:overflowPunct/>
        <w:topLinePunct w:val="0"/>
        <w:autoSpaceDE/>
        <w:autoSpaceDN/>
        <w:bidi w:val="0"/>
        <w:adjustRightInd/>
        <w:snapToGrid w:val="0"/>
        <w:spacing w:line="360" w:lineRule="auto"/>
        <w:ind w:firstLine="960" w:firstLineChars="4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附图4 项目</w:t>
      </w:r>
      <w:r>
        <w:rPr>
          <w:rFonts w:hint="eastAsia" w:ascii="Times New Roman" w:hAnsi="Times New Roman" w:cs="Times New Roman"/>
          <w:color w:val="auto"/>
          <w:sz w:val="24"/>
          <w:szCs w:val="24"/>
          <w:lang w:val="en-US" w:eastAsia="zh-CN"/>
        </w:rPr>
        <w:t>所在区域水系图</w:t>
      </w:r>
    </w:p>
    <w:p w14:paraId="48706587">
      <w:pPr>
        <w:pStyle w:val="15"/>
        <w:keepNext w:val="0"/>
        <w:keepLines w:val="0"/>
        <w:pageBreakBefore w:val="0"/>
        <w:widowControl w:val="0"/>
        <w:kinsoku/>
        <w:wordWrap/>
        <w:overflowPunct/>
        <w:topLinePunct w:val="0"/>
        <w:autoSpaceDE/>
        <w:autoSpaceDN/>
        <w:bidi w:val="0"/>
        <w:adjustRightInd/>
        <w:snapToGrid w:val="0"/>
        <w:spacing w:line="360" w:lineRule="auto"/>
        <w:ind w:left="1678" w:leftChars="456" w:hanging="720" w:hangingChars="3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附图5本项目与</w:t>
      </w:r>
      <w:r>
        <w:rPr>
          <w:rFonts w:hint="eastAsia" w:ascii="Times New Roman" w:hAnsi="Times New Roman" w:cs="Times New Roman"/>
          <w:color w:val="auto"/>
          <w:sz w:val="24"/>
          <w:szCs w:val="24"/>
          <w:lang w:val="en-US" w:eastAsia="zh-CN"/>
        </w:rPr>
        <w:t>富明工业</w:t>
      </w:r>
      <w:r>
        <w:rPr>
          <w:rFonts w:hint="eastAsia" w:ascii="Times New Roman" w:hAnsi="Times New Roman" w:eastAsia="宋体" w:cs="Times New Roman"/>
          <w:color w:val="auto"/>
          <w:sz w:val="24"/>
          <w:szCs w:val="24"/>
          <w:lang w:val="en-US" w:eastAsia="zh-CN"/>
        </w:rPr>
        <w:t>工业园区</w:t>
      </w:r>
      <w:r>
        <w:rPr>
          <w:rFonts w:hint="eastAsia" w:ascii="Times New Roman" w:hAnsi="Times New Roman" w:cs="Times New Roman"/>
          <w:color w:val="auto"/>
          <w:sz w:val="24"/>
          <w:szCs w:val="24"/>
          <w:lang w:val="en-US" w:eastAsia="zh-CN"/>
        </w:rPr>
        <w:t>规划修编（2015-2030年）</w:t>
      </w:r>
      <w:r>
        <w:rPr>
          <w:rFonts w:hint="eastAsia" w:ascii="Times New Roman" w:hAnsi="Times New Roman" w:eastAsia="宋体" w:cs="Times New Roman"/>
          <w:color w:val="auto"/>
          <w:sz w:val="24"/>
          <w:szCs w:val="24"/>
          <w:lang w:val="en-US" w:eastAsia="zh-CN"/>
        </w:rPr>
        <w:t>位置关系图</w:t>
      </w:r>
    </w:p>
    <w:p w14:paraId="75F37692">
      <w:pPr>
        <w:pStyle w:val="15"/>
        <w:keepNext w:val="0"/>
        <w:keepLines w:val="0"/>
        <w:pageBreakBefore w:val="0"/>
        <w:widowControl w:val="0"/>
        <w:kinsoku/>
        <w:wordWrap/>
        <w:overflowPunct/>
        <w:topLinePunct w:val="0"/>
        <w:autoSpaceDE/>
        <w:autoSpaceDN/>
        <w:bidi w:val="0"/>
        <w:adjustRightInd/>
        <w:snapToGrid w:val="0"/>
        <w:spacing w:line="360" w:lineRule="auto"/>
        <w:ind w:left="1678" w:leftChars="456" w:hanging="720" w:hangingChars="3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附件6 项目引用环境质量现状监测点分布图</w:t>
      </w:r>
    </w:p>
    <w:p w14:paraId="056B2A05">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28"/>
          <w:szCs w:val="28"/>
          <w:highlight w:val="none"/>
          <w:lang w:val="en-US" w:eastAsia="zh-CN"/>
        </w:rPr>
      </w:pPr>
    </w:p>
    <w:p w14:paraId="64603B79">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28"/>
          <w:szCs w:val="28"/>
          <w:highlight w:val="none"/>
          <w:lang w:val="en-US" w:eastAsia="zh-CN"/>
        </w:rPr>
      </w:pPr>
    </w:p>
    <w:p w14:paraId="4A9975CB">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28"/>
          <w:szCs w:val="28"/>
          <w:highlight w:val="none"/>
          <w:lang w:val="en-US" w:eastAsia="zh-CN"/>
        </w:rPr>
      </w:pPr>
    </w:p>
    <w:p w14:paraId="53692B88">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28"/>
          <w:szCs w:val="28"/>
          <w:highlight w:val="none"/>
          <w:lang w:val="en-US" w:eastAsia="zh-CN"/>
        </w:rPr>
      </w:pPr>
    </w:p>
    <w:p w14:paraId="07B9B1D4">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28"/>
          <w:szCs w:val="28"/>
          <w:highlight w:val="none"/>
          <w:lang w:val="en-US" w:eastAsia="zh-CN"/>
        </w:rPr>
      </w:pPr>
    </w:p>
    <w:p w14:paraId="7E32ECBE">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28"/>
          <w:szCs w:val="28"/>
          <w:highlight w:val="none"/>
          <w:lang w:val="en-US" w:eastAsia="zh-CN"/>
        </w:rPr>
      </w:pPr>
    </w:p>
    <w:p w14:paraId="58E4C0EA">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28"/>
          <w:szCs w:val="28"/>
          <w:highlight w:val="none"/>
          <w:lang w:val="en-US" w:eastAsia="zh-CN"/>
        </w:rPr>
      </w:pPr>
    </w:p>
    <w:p w14:paraId="1F56241C">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28"/>
          <w:szCs w:val="28"/>
          <w:highlight w:val="none"/>
          <w:lang w:val="en-US" w:eastAsia="zh-CN"/>
        </w:rPr>
      </w:pPr>
    </w:p>
    <w:p w14:paraId="29A1AEDE">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28"/>
          <w:szCs w:val="28"/>
          <w:highlight w:val="none"/>
          <w:lang w:val="en-US" w:eastAsia="zh-CN"/>
        </w:rPr>
      </w:pPr>
    </w:p>
    <w:p w14:paraId="186EAF14">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28"/>
          <w:szCs w:val="28"/>
          <w:highlight w:val="none"/>
          <w:lang w:val="en-US" w:eastAsia="zh-CN"/>
        </w:rPr>
        <w:sectPr>
          <w:footerReference r:id="rId4" w:type="default"/>
          <w:pgSz w:w="11906" w:h="16838"/>
          <w:pgMar w:top="1701" w:right="1531" w:bottom="1701" w:left="1531" w:header="851" w:footer="1077" w:gutter="0"/>
          <w:pgNumType w:start="1"/>
          <w:cols w:space="720" w:num="1"/>
          <w:docGrid w:linePitch="312" w:charSpace="0"/>
        </w:sectPr>
      </w:pPr>
    </w:p>
    <w:p w14:paraId="462B089E">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现场照片</w:t>
      </w:r>
    </w:p>
    <w:tbl>
      <w:tblPr>
        <w:tblStyle w:val="29"/>
        <w:tblW w:w="8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4"/>
        <w:gridCol w:w="3949"/>
      </w:tblGrid>
      <w:tr w14:paraId="0CDD0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24" w:type="dxa"/>
            <w:noWrap w:val="0"/>
            <w:vAlign w:val="center"/>
          </w:tcPr>
          <w:p w14:paraId="1548C66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mc:AlternateContent>
                <mc:Choice Requires="wps">
                  <w:drawing>
                    <wp:anchor distT="0" distB="0" distL="114300" distR="114300" simplePos="0" relativeHeight="251660288" behindDoc="0" locked="0" layoutInCell="1" allowOverlap="1">
                      <wp:simplePos x="0" y="0"/>
                      <wp:positionH relativeFrom="column">
                        <wp:posOffset>1967865</wp:posOffset>
                      </wp:positionH>
                      <wp:positionV relativeFrom="paragraph">
                        <wp:posOffset>2108200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42A9C02">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wps:txbx>
                            <wps:bodyPr wrap="none" anchor="t" upright="0">
                              <a:spAutoFit/>
                            </wps:bodyPr>
                          </wps:wsp>
                        </a:graphicData>
                      </a:graphic>
                    </wp:anchor>
                  </w:drawing>
                </mc:Choice>
                <mc:Fallback>
                  <w:pict>
                    <v:shape id="_x0000_s1026" o:spid="_x0000_s1026" o:spt="202" type="#_x0000_t202" style="position:absolute;left:0pt;margin-left:154.95pt;margin-top:166pt;height:144pt;width:144pt;mso-wrap-style:none;z-index:251660288;mso-width-relative:page;mso-height-relative:page;" filled="f" stroked="f" coordsize="21600,21600" o:gfxdata="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iD4aNkAAAALAQAADwAAAAAAAAABACAAAAAi&#10;AAAAZHJzL2Rvd25yZXYueG1sUEsBAhQAFAAAAAgAh07iQHTyOeHQAQAAlwMAAA4AAAAAAAAAAQAg&#10;AAAAKAEAAGRycy9lMm9Eb2MueG1sUEsFBgAAAAAGAAYAWQEAAGoFAAAAAA==&#10;">
                      <v:fill on="f" focussize="0,0"/>
                      <v:stroke on="f" weight="0.5pt"/>
                      <v:imagedata o:title=""/>
                      <o:lock v:ext="edit" aspectratio="f"/>
                      <v:textbox style="mso-fit-shape-to-text:t;">
                        <w:txbxContent>
                          <w:p w14:paraId="642A9C02">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v:textbox>
                    </v:shape>
                  </w:pict>
                </mc:Fallback>
              </mc:AlternateContent>
            </w:r>
            <w:r>
              <w:rPr>
                <w:rFonts w:hint="eastAsia" w:ascii="Times New Roman" w:hAnsi="Times New Roman" w:eastAsia="宋体" w:cs="Times New Roman"/>
                <w:color w:val="auto"/>
                <w:vertAlign w:val="baseline"/>
                <w:lang w:eastAsia="zh-CN"/>
              </w:rPr>
              <w:drawing>
                <wp:inline distT="0" distB="0" distL="114300" distR="114300">
                  <wp:extent cx="2653030" cy="2414905"/>
                  <wp:effectExtent l="0" t="0" r="13970" b="8255"/>
                  <wp:docPr id="21" name="图片 21" descr="39eafd2178b767d473e79fa76c7f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9eafd2178b767d473e79fa76c7f123"/>
                          <pic:cNvPicPr>
                            <a:picLocks noChangeAspect="1"/>
                          </pic:cNvPicPr>
                        </pic:nvPicPr>
                        <pic:blipFill>
                          <a:blip r:embed="rId11"/>
                          <a:stretch>
                            <a:fillRect/>
                          </a:stretch>
                        </pic:blipFill>
                        <pic:spPr>
                          <a:xfrm>
                            <a:off x="0" y="0"/>
                            <a:ext cx="2653030" cy="2414905"/>
                          </a:xfrm>
                          <a:prstGeom prst="rect">
                            <a:avLst/>
                          </a:prstGeom>
                        </pic:spPr>
                      </pic:pic>
                    </a:graphicData>
                  </a:graphic>
                </wp:inline>
              </w:drawing>
            </w:r>
          </w:p>
        </w:tc>
        <w:tc>
          <w:tcPr>
            <w:tcW w:w="3949" w:type="dxa"/>
            <w:noWrap w:val="0"/>
            <w:vAlign w:val="center"/>
          </w:tcPr>
          <w:p w14:paraId="7095DD1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mc:AlternateContent>
                <mc:Choice Requires="wps">
                  <w:drawing>
                    <wp:anchor distT="0" distB="0" distL="114300" distR="114300" simplePos="0" relativeHeight="251662336" behindDoc="0" locked="0" layoutInCell="1" allowOverlap="1">
                      <wp:simplePos x="0" y="0"/>
                      <wp:positionH relativeFrom="column">
                        <wp:posOffset>1604010</wp:posOffset>
                      </wp:positionH>
                      <wp:positionV relativeFrom="paragraph">
                        <wp:posOffset>2194560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47424BA">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wps:txbx>
                            <wps:bodyPr wrap="none" anchor="t" upright="0">
                              <a:spAutoFit/>
                            </wps:bodyPr>
                          </wps:wsp>
                        </a:graphicData>
                      </a:graphic>
                    </wp:anchor>
                  </w:drawing>
                </mc:Choice>
                <mc:Fallback>
                  <w:pict>
                    <v:shape id="_x0000_s1026" o:spid="_x0000_s1026" o:spt="202" type="#_x0000_t202" style="position:absolute;left:0pt;margin-left:126.3pt;margin-top:172.8pt;height:144pt;width:144pt;mso-wrap-style:none;z-index:251662336;mso-width-relative:page;mso-height-relative:page;" filled="f" stroked="f" coordsize="21600,21600" o:gfxdata="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xB96tdkAAAALAQAADwAAAAAAAAABACAAAAAi&#10;AAAAZHJzL2Rvd25yZXYueG1sUEsBAhQAFAAAAAgAh07iQPeJ5OXQAQAAlwMAAA4AAAAAAAAAAQAg&#10;AAAAKAEAAGRycy9lMm9Eb2MueG1sUEsFBgAAAAAGAAYAWQEAAGoFAAAAAA==&#10;">
                      <v:fill on="f" focussize="0,0"/>
                      <v:stroke on="f" weight="0.5pt"/>
                      <v:imagedata o:title=""/>
                      <o:lock v:ext="edit" aspectratio="f"/>
                      <v:textbox style="mso-fit-shape-to-text:t;">
                        <w:txbxContent>
                          <w:p w14:paraId="647424BA">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v:textbox>
                    </v:shape>
                  </w:pict>
                </mc:Fallback>
              </mc:AlternateContent>
            </w:r>
            <w:r>
              <w:rPr>
                <w:rFonts w:hint="default" w:ascii="Times New Roman" w:hAnsi="Times New Roman" w:eastAsia="宋体" w:cs="Times New Roman"/>
                <w:color w:val="auto"/>
                <w:sz w:val="21"/>
              </w:rPr>
              <w:drawing>
                <wp:inline distT="0" distB="0" distL="114300" distR="114300">
                  <wp:extent cx="2340610" cy="2435860"/>
                  <wp:effectExtent l="0" t="0" r="6350" b="2540"/>
                  <wp:docPr id="22" name="图片 22" descr="bd662845c80dd0c6564ab90388de1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d662845c80dd0c6564ab90388de18e"/>
                          <pic:cNvPicPr>
                            <a:picLocks noChangeAspect="1"/>
                          </pic:cNvPicPr>
                        </pic:nvPicPr>
                        <pic:blipFill>
                          <a:blip r:embed="rId12"/>
                          <a:stretch>
                            <a:fillRect/>
                          </a:stretch>
                        </pic:blipFill>
                        <pic:spPr>
                          <a:xfrm>
                            <a:off x="0" y="0"/>
                            <a:ext cx="2340610" cy="2435860"/>
                          </a:xfrm>
                          <a:prstGeom prst="rect">
                            <a:avLst/>
                          </a:prstGeom>
                        </pic:spPr>
                      </pic:pic>
                    </a:graphicData>
                  </a:graphic>
                </wp:inline>
              </w:drawing>
            </w:r>
          </w:p>
        </w:tc>
      </w:tr>
      <w:tr w14:paraId="738B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24" w:type="dxa"/>
            <w:noWrap w:val="0"/>
            <w:vAlign w:val="center"/>
          </w:tcPr>
          <w:p w14:paraId="13E71F4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vertAlign w:val="baseline"/>
                <w:lang w:val="en-US" w:eastAsia="zh-CN"/>
              </w:rPr>
            </w:pPr>
            <w:r>
              <w:rPr>
                <w:rFonts w:hint="eastAsia" w:cs="Times New Roman"/>
                <w:color w:val="auto"/>
                <w:sz w:val="24"/>
                <w:szCs w:val="24"/>
                <w:vertAlign w:val="baseline"/>
                <w:lang w:val="en-US" w:eastAsia="zh-CN"/>
              </w:rPr>
              <w:t>项目行政办公楼</w:t>
            </w:r>
          </w:p>
        </w:tc>
        <w:tc>
          <w:tcPr>
            <w:tcW w:w="3949" w:type="dxa"/>
            <w:noWrap w:val="0"/>
            <w:vAlign w:val="center"/>
          </w:tcPr>
          <w:p w14:paraId="4BD1C3F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vertAlign w:val="baseline"/>
                <w:lang w:val="en-US" w:eastAsia="zh-CN"/>
              </w:rPr>
            </w:pPr>
            <w:r>
              <w:rPr>
                <w:rFonts w:hint="eastAsia" w:eastAsia="宋体" w:cs="Times New Roman"/>
                <w:color w:val="auto"/>
                <w:sz w:val="24"/>
                <w:szCs w:val="24"/>
                <w:vertAlign w:val="baseline"/>
                <w:lang w:val="en-US" w:eastAsia="zh-CN"/>
              </w:rPr>
              <w:t>水性涂料成品区</w:t>
            </w:r>
          </w:p>
        </w:tc>
      </w:tr>
      <w:tr w14:paraId="2DC66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24" w:type="dxa"/>
            <w:noWrap w:val="0"/>
            <w:vAlign w:val="center"/>
          </w:tcPr>
          <w:p w14:paraId="700722B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mc:AlternateContent>
                <mc:Choice Requires="wps">
                  <w:drawing>
                    <wp:anchor distT="0" distB="0" distL="114300" distR="114300" simplePos="0" relativeHeight="251663360" behindDoc="0" locked="0" layoutInCell="1" allowOverlap="1">
                      <wp:simplePos x="0" y="0"/>
                      <wp:positionH relativeFrom="column">
                        <wp:posOffset>1900555</wp:posOffset>
                      </wp:positionH>
                      <wp:positionV relativeFrom="paragraph">
                        <wp:posOffset>2175510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FA85006">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wps:txbx>
                            <wps:bodyPr wrap="none" anchor="t" upright="0">
                              <a:spAutoFit/>
                            </wps:bodyPr>
                          </wps:wsp>
                        </a:graphicData>
                      </a:graphic>
                    </wp:anchor>
                  </w:drawing>
                </mc:Choice>
                <mc:Fallback>
                  <w:pict>
                    <v:shape id="_x0000_s1026" o:spid="_x0000_s1026" o:spt="202" type="#_x0000_t202" style="position:absolute;left:0pt;margin-left:149.65pt;margin-top:171.3pt;height:144pt;width:144pt;mso-wrap-style:none;z-index:251663360;mso-width-relative:page;mso-height-relative:page;" filled="f" stroked="f" coordsize="21600,21600" o:gfxdata="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dV3zt2gAAAAsBAAAPAAAAAAAAAAEAIAAA&#10;ACIAAABkcnMvZG93bnJldi54bWxQSwECFAAUAAAACACHTuJAsHHKq9EBAACZAwAADgAAAAAAAAAB&#10;ACAAAAApAQAAZHJzL2Uyb0RvYy54bWxQSwUGAAAAAAYABgBZAQAAbAUAAAAA&#10;">
                      <v:fill on="f" focussize="0,0"/>
                      <v:stroke on="f" weight="0.5pt"/>
                      <v:imagedata o:title=""/>
                      <o:lock v:ext="edit" aspectratio="f"/>
                      <v:textbox style="mso-fit-shape-to-text:t;">
                        <w:txbxContent>
                          <w:p w14:paraId="4FA85006">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v:textbox>
                    </v:shape>
                  </w:pict>
                </mc:Fallback>
              </mc:AlternateContent>
            </w:r>
            <w:r>
              <w:rPr>
                <w:rFonts w:hint="default" w:ascii="Times New Roman" w:hAnsi="Times New Roman" w:eastAsia="宋体" w:cs="Times New Roman"/>
                <w:color w:val="auto"/>
                <w:sz w:val="21"/>
              </w:rPr>
              <w:drawing>
                <wp:inline distT="0" distB="0" distL="114300" distR="114300">
                  <wp:extent cx="2680970" cy="2394585"/>
                  <wp:effectExtent l="0" t="0" r="1270" b="13335"/>
                  <wp:docPr id="24" name="图片 24" descr="a241e0d8965324067c736d71168e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a241e0d8965324067c736d71168e14e"/>
                          <pic:cNvPicPr>
                            <a:picLocks noChangeAspect="1"/>
                          </pic:cNvPicPr>
                        </pic:nvPicPr>
                        <pic:blipFill>
                          <a:blip r:embed="rId13"/>
                          <a:stretch>
                            <a:fillRect/>
                          </a:stretch>
                        </pic:blipFill>
                        <pic:spPr>
                          <a:xfrm>
                            <a:off x="0" y="0"/>
                            <a:ext cx="2680970" cy="2394585"/>
                          </a:xfrm>
                          <a:prstGeom prst="rect">
                            <a:avLst/>
                          </a:prstGeom>
                        </pic:spPr>
                      </pic:pic>
                    </a:graphicData>
                  </a:graphic>
                </wp:inline>
              </w:drawing>
            </w:r>
          </w:p>
        </w:tc>
        <w:tc>
          <w:tcPr>
            <w:tcW w:w="3949" w:type="dxa"/>
            <w:noWrap w:val="0"/>
            <w:vAlign w:val="center"/>
          </w:tcPr>
          <w:p w14:paraId="6120E9B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mc:AlternateContent>
                <mc:Choice Requires="wps">
                  <w:drawing>
                    <wp:anchor distT="0" distB="0" distL="114300" distR="114300" simplePos="0" relativeHeight="251664384" behindDoc="0" locked="0" layoutInCell="1" allowOverlap="1">
                      <wp:simplePos x="0" y="0"/>
                      <wp:positionH relativeFrom="column">
                        <wp:posOffset>1604645</wp:posOffset>
                      </wp:positionH>
                      <wp:positionV relativeFrom="paragraph">
                        <wp:posOffset>2212975</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B7A1A00">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wps:txbx>
                            <wps:bodyPr wrap="none" anchor="t" upright="0">
                              <a:spAutoFit/>
                            </wps:bodyPr>
                          </wps:wsp>
                        </a:graphicData>
                      </a:graphic>
                    </wp:anchor>
                  </w:drawing>
                </mc:Choice>
                <mc:Fallback>
                  <w:pict>
                    <v:shape id="_x0000_s1026" o:spid="_x0000_s1026" o:spt="202" type="#_x0000_t202" style="position:absolute;left:0pt;margin-left:126.35pt;margin-top:174.25pt;height:144pt;width:144pt;mso-wrap-style:none;z-index:251664384;mso-width-relative:page;mso-height-relative:page;" filled="f" stroked="f" coordsize="21600,21600" o:gfxdata="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j6uJ42gAAAAsBAAAPAAAAAAAAAAEAIAAA&#10;ACIAAABkcnMvZG93bnJldi54bWxQSwECFAAUAAAACACHTuJA60XxGtEBAACZAwAADgAAAAAAAAAB&#10;ACAAAAApAQAAZHJzL2Uyb0RvYy54bWxQSwUGAAAAAAYABgBZAQAAbAUAAAAA&#10;">
                      <v:fill on="f" focussize="0,0"/>
                      <v:stroke on="f" weight="0.5pt"/>
                      <v:imagedata o:title=""/>
                      <o:lock v:ext="edit" aspectratio="f"/>
                      <v:textbox style="mso-fit-shape-to-text:t;">
                        <w:txbxContent>
                          <w:p w14:paraId="2B7A1A00">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v:textbox>
                    </v:shape>
                  </w:pict>
                </mc:Fallback>
              </mc:AlternateContent>
            </w:r>
            <w:r>
              <w:rPr>
                <w:rFonts w:hint="default" w:ascii="Times New Roman" w:hAnsi="Times New Roman" w:eastAsia="宋体" w:cs="Times New Roman"/>
                <w:color w:val="auto"/>
                <w:sz w:val="21"/>
              </w:rPr>
              <w:drawing>
                <wp:inline distT="0" distB="0" distL="114300" distR="114300">
                  <wp:extent cx="2340610" cy="2446655"/>
                  <wp:effectExtent l="0" t="0" r="6350" b="6985"/>
                  <wp:docPr id="26" name="图片 26" descr="3b525a1e12b825088346c464f88e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b525a1e12b825088346c464f88e830"/>
                          <pic:cNvPicPr>
                            <a:picLocks noChangeAspect="1"/>
                          </pic:cNvPicPr>
                        </pic:nvPicPr>
                        <pic:blipFill>
                          <a:blip r:embed="rId14"/>
                          <a:stretch>
                            <a:fillRect/>
                          </a:stretch>
                        </pic:blipFill>
                        <pic:spPr>
                          <a:xfrm>
                            <a:off x="0" y="0"/>
                            <a:ext cx="2340610" cy="2446655"/>
                          </a:xfrm>
                          <a:prstGeom prst="rect">
                            <a:avLst/>
                          </a:prstGeom>
                        </pic:spPr>
                      </pic:pic>
                    </a:graphicData>
                  </a:graphic>
                </wp:inline>
              </w:drawing>
            </w:r>
          </w:p>
        </w:tc>
      </w:tr>
      <w:tr w14:paraId="4C489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24" w:type="dxa"/>
            <w:noWrap w:val="0"/>
            <w:vAlign w:val="center"/>
          </w:tcPr>
          <w:p w14:paraId="6B42E82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eastAsia" w:eastAsia="宋体" w:cs="Times New Roman"/>
                <w:color w:val="auto"/>
                <w:sz w:val="24"/>
                <w:szCs w:val="24"/>
                <w:vertAlign w:val="baseline"/>
                <w:lang w:val="en-US" w:eastAsia="zh-CN"/>
              </w:rPr>
              <w:t>腻子粉生产车间</w:t>
            </w:r>
          </w:p>
        </w:tc>
        <w:tc>
          <w:tcPr>
            <w:tcW w:w="3949" w:type="dxa"/>
            <w:noWrap w:val="0"/>
            <w:vAlign w:val="center"/>
          </w:tcPr>
          <w:p w14:paraId="370833A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eastAsia" w:cs="Times New Roman"/>
                <w:color w:val="auto"/>
                <w:sz w:val="24"/>
                <w:szCs w:val="24"/>
                <w:vertAlign w:val="baseline"/>
                <w:lang w:val="en-US" w:eastAsia="zh-CN"/>
              </w:rPr>
              <w:t>乳胶漆</w:t>
            </w:r>
            <w:r>
              <w:rPr>
                <w:rFonts w:hint="eastAsia" w:eastAsia="宋体" w:cs="Times New Roman"/>
                <w:color w:val="auto"/>
                <w:sz w:val="24"/>
                <w:szCs w:val="24"/>
                <w:vertAlign w:val="baseline"/>
                <w:lang w:val="en-US" w:eastAsia="zh-CN"/>
              </w:rPr>
              <w:t>投料间</w:t>
            </w:r>
          </w:p>
        </w:tc>
      </w:tr>
      <w:tr w14:paraId="69E47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24" w:type="dxa"/>
            <w:noWrap w:val="0"/>
            <w:vAlign w:val="center"/>
          </w:tcPr>
          <w:p w14:paraId="63A2355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mc:AlternateContent>
                <mc:Choice Requires="wps">
                  <w:drawing>
                    <wp:anchor distT="0" distB="0" distL="114300" distR="114300" simplePos="0" relativeHeight="251665408" behindDoc="0" locked="0" layoutInCell="1" allowOverlap="1">
                      <wp:simplePos x="0" y="0"/>
                      <wp:positionH relativeFrom="column">
                        <wp:posOffset>1928495</wp:posOffset>
                      </wp:positionH>
                      <wp:positionV relativeFrom="paragraph">
                        <wp:posOffset>2345055</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4636975">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wps:txbx>
                            <wps:bodyPr wrap="none" anchor="t" upright="0">
                              <a:spAutoFit/>
                            </wps:bodyPr>
                          </wps:wsp>
                        </a:graphicData>
                      </a:graphic>
                    </wp:anchor>
                  </w:drawing>
                </mc:Choice>
                <mc:Fallback>
                  <w:pict>
                    <v:shape id="_x0000_s1026" o:spid="_x0000_s1026" o:spt="202" type="#_x0000_t202" style="position:absolute;left:0pt;margin-left:151.85pt;margin-top:184.65pt;height:144pt;width:144pt;mso-wrap-style:none;z-index:251665408;mso-width-relative:page;mso-height-relative:page;" filled="f" stroked="f" coordsize="21600,21600" o:gfxdata="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eY+WnZAAAACwEAAA8AAAAAAAAAAQAgAAAA&#10;IgAAAGRycy9kb3ducmV2LnhtbFBLAQIUABQAAAAIAIdO4kBHH80S0QEAAJkDAAAOAAAAAAAAAAEA&#10;IAAAACgBAABkcnMvZTJvRG9jLnhtbFBLBQYAAAAABgAGAFkBAABrBQAAAAA=&#10;">
                      <v:fill on="f" focussize="0,0"/>
                      <v:stroke on="f" weight="0.5pt"/>
                      <v:imagedata o:title=""/>
                      <o:lock v:ext="edit" aspectratio="f"/>
                      <v:textbox style="mso-fit-shape-to-text:t;">
                        <w:txbxContent>
                          <w:p w14:paraId="04636975">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v:textbox>
                    </v:shape>
                  </w:pict>
                </mc:Fallback>
              </mc:AlternateContent>
            </w:r>
            <w:r>
              <w:rPr>
                <w:rFonts w:hint="eastAsia" w:ascii="Times New Roman" w:hAnsi="Times New Roman" w:eastAsia="宋体" w:cs="Times New Roman"/>
                <w:color w:val="auto"/>
                <w:vertAlign w:val="baseline"/>
                <w:lang w:eastAsia="zh-CN"/>
              </w:rPr>
              <w:drawing>
                <wp:inline distT="0" distB="0" distL="114300" distR="114300">
                  <wp:extent cx="2653030" cy="2556510"/>
                  <wp:effectExtent l="0" t="0" r="13970" b="3810"/>
                  <wp:docPr id="27" name="图片 27" descr="de47cd6570e4aefb44c92d7d48b64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e47cd6570e4aefb44c92d7d48b64fa"/>
                          <pic:cNvPicPr>
                            <a:picLocks noChangeAspect="1"/>
                          </pic:cNvPicPr>
                        </pic:nvPicPr>
                        <pic:blipFill>
                          <a:blip r:embed="rId15"/>
                          <a:stretch>
                            <a:fillRect/>
                          </a:stretch>
                        </pic:blipFill>
                        <pic:spPr>
                          <a:xfrm>
                            <a:off x="0" y="0"/>
                            <a:ext cx="2653030" cy="2556510"/>
                          </a:xfrm>
                          <a:prstGeom prst="rect">
                            <a:avLst/>
                          </a:prstGeom>
                        </pic:spPr>
                      </pic:pic>
                    </a:graphicData>
                  </a:graphic>
                </wp:inline>
              </w:drawing>
            </w:r>
          </w:p>
        </w:tc>
        <w:tc>
          <w:tcPr>
            <w:tcW w:w="3949" w:type="dxa"/>
            <w:noWrap w:val="0"/>
            <w:vAlign w:val="center"/>
          </w:tcPr>
          <w:p w14:paraId="3C9A42F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color w:val="auto"/>
                <w:vertAlign w:val="baseline"/>
                <w:lang w:eastAsia="zh-CN"/>
              </w:rPr>
            </w:pPr>
            <w:r>
              <w:rPr>
                <w:rFonts w:hint="default" w:ascii="Times New Roman" w:hAnsi="Times New Roman" w:eastAsia="宋体" w:cs="Times New Roman"/>
                <w:color w:val="auto"/>
                <w:sz w:val="21"/>
              </w:rPr>
              <mc:AlternateContent>
                <mc:Choice Requires="wps">
                  <w:drawing>
                    <wp:anchor distT="0" distB="0" distL="114300" distR="114300" simplePos="0" relativeHeight="251666432" behindDoc="0" locked="0" layoutInCell="1" allowOverlap="1">
                      <wp:simplePos x="0" y="0"/>
                      <wp:positionH relativeFrom="column">
                        <wp:posOffset>1624965</wp:posOffset>
                      </wp:positionH>
                      <wp:positionV relativeFrom="paragraph">
                        <wp:posOffset>2345690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FC942A8">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wps:txbx>
                            <wps:bodyPr wrap="none" anchor="t" upright="0">
                              <a:spAutoFit/>
                            </wps:bodyPr>
                          </wps:wsp>
                        </a:graphicData>
                      </a:graphic>
                    </wp:anchor>
                  </w:drawing>
                </mc:Choice>
                <mc:Fallback>
                  <w:pict>
                    <v:shape id="_x0000_s1026" o:spid="_x0000_s1026" o:spt="202" type="#_x0000_t202" style="position:absolute;left:0pt;margin-left:127.95pt;margin-top:184.7pt;height:144pt;width:144pt;mso-wrap-style:none;z-index:251666432;mso-width-relative:page;mso-height-relative:page;" filled="f" stroked="f" coordsize="21600,21600" o:gfxdata="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VnV9X2gAAAAsBAAAPAAAAAAAAAAEAIAAA&#10;ACIAAABkcnMvZG93bnJldi54bWxQSwECFAAUAAAACACHTuJAETLTFtEBAACZAwAADgAAAAAAAAAB&#10;ACAAAAApAQAAZHJzL2Uyb0RvYy54bWxQSwUGAAAAAAYABgBZAQAAbAUAAAAA&#10;">
                      <v:fill on="f" focussize="0,0"/>
                      <v:stroke on="f" weight="0.5pt"/>
                      <v:imagedata o:title=""/>
                      <o:lock v:ext="edit" aspectratio="f"/>
                      <v:textbox style="mso-fit-shape-to-text:t;">
                        <w:txbxContent>
                          <w:p w14:paraId="0FC942A8">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v:textbox>
                    </v:shape>
                  </w:pict>
                </mc:Fallback>
              </mc:AlternateContent>
            </w:r>
            <w:r>
              <w:rPr>
                <w:rFonts w:hint="eastAsia" w:ascii="Times New Roman" w:hAnsi="Times New Roman" w:eastAsia="宋体" w:cs="Times New Roman"/>
                <w:color w:val="auto"/>
                <w:vertAlign w:val="baseline"/>
                <w:lang w:eastAsia="zh-CN"/>
              </w:rPr>
              <w:drawing>
                <wp:inline distT="0" distB="0" distL="114300" distR="114300">
                  <wp:extent cx="2340610" cy="2588260"/>
                  <wp:effectExtent l="0" t="0" r="6350" b="2540"/>
                  <wp:docPr id="28" name="图片 28" descr="72686f83ae9049634f2635751ed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2686f83ae9049634f2635751ed0590"/>
                          <pic:cNvPicPr>
                            <a:picLocks noChangeAspect="1"/>
                          </pic:cNvPicPr>
                        </pic:nvPicPr>
                        <pic:blipFill>
                          <a:blip r:embed="rId16"/>
                          <a:stretch>
                            <a:fillRect/>
                          </a:stretch>
                        </pic:blipFill>
                        <pic:spPr>
                          <a:xfrm>
                            <a:off x="0" y="0"/>
                            <a:ext cx="2340610" cy="2588260"/>
                          </a:xfrm>
                          <a:prstGeom prst="rect">
                            <a:avLst/>
                          </a:prstGeom>
                        </pic:spPr>
                      </pic:pic>
                    </a:graphicData>
                  </a:graphic>
                </wp:inline>
              </w:drawing>
            </w:r>
          </w:p>
        </w:tc>
      </w:tr>
      <w:tr w14:paraId="6754F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24" w:type="dxa"/>
            <w:noWrap w:val="0"/>
            <w:vAlign w:val="center"/>
          </w:tcPr>
          <w:p w14:paraId="6F99B36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eastAsia" w:eastAsia="宋体" w:cs="Times New Roman"/>
                <w:color w:val="auto"/>
                <w:sz w:val="24"/>
                <w:szCs w:val="24"/>
                <w:highlight w:val="none"/>
                <w:vertAlign w:val="baseline"/>
                <w:lang w:val="en-US" w:eastAsia="zh-CN"/>
              </w:rPr>
              <w:t>砂壁产品投料间</w:t>
            </w:r>
          </w:p>
        </w:tc>
        <w:tc>
          <w:tcPr>
            <w:tcW w:w="3949" w:type="dxa"/>
            <w:noWrap w:val="0"/>
            <w:vAlign w:val="center"/>
          </w:tcPr>
          <w:p w14:paraId="0CB425C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eastAsia" w:eastAsia="宋体" w:cs="Times New Roman"/>
                <w:color w:val="auto"/>
                <w:sz w:val="24"/>
                <w:szCs w:val="24"/>
                <w:highlight w:val="none"/>
                <w:vertAlign w:val="baseline"/>
                <w:lang w:val="en-US" w:eastAsia="zh-CN"/>
              </w:rPr>
              <w:t>乳液罐区</w:t>
            </w:r>
          </w:p>
        </w:tc>
      </w:tr>
    </w:tbl>
    <w:p w14:paraId="52CC3B6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eastAsia="宋体" w:cs="Times New Roman"/>
          <w:color w:val="auto"/>
          <w:sz w:val="24"/>
          <w:szCs w:val="24"/>
          <w:highlight w:val="none"/>
          <w:vertAlign w:val="baseline"/>
          <w:lang w:val="en-US" w:eastAsia="zh-CN"/>
        </w:rPr>
        <w:sectPr>
          <w:footerReference r:id="rId5" w:type="default"/>
          <w:pgSz w:w="11906" w:h="16838"/>
          <w:pgMar w:top="1701" w:right="1531" w:bottom="1701" w:left="1531" w:header="851" w:footer="1077" w:gutter="0"/>
          <w:pgNumType w:start="1"/>
          <w:cols w:space="720" w:num="1"/>
          <w:docGrid w:linePitch="312" w:charSpace="0"/>
        </w:sectPr>
      </w:pPr>
    </w:p>
    <w:tbl>
      <w:tblPr>
        <w:tblStyle w:val="29"/>
        <w:tblW w:w="8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4"/>
        <w:gridCol w:w="3949"/>
      </w:tblGrid>
      <w:tr w14:paraId="3C77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24" w:type="dxa"/>
            <w:noWrap w:val="0"/>
            <w:vAlign w:val="center"/>
          </w:tcPr>
          <w:p w14:paraId="15B4D2F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1"/>
              </w:rPr>
              <mc:AlternateContent>
                <mc:Choice Requires="wps">
                  <w:drawing>
                    <wp:anchor distT="0" distB="0" distL="114300" distR="114300" simplePos="0" relativeHeight="251669504" behindDoc="0" locked="0" layoutInCell="1" allowOverlap="1">
                      <wp:simplePos x="0" y="0"/>
                      <wp:positionH relativeFrom="column">
                        <wp:posOffset>1911985</wp:posOffset>
                      </wp:positionH>
                      <wp:positionV relativeFrom="paragraph">
                        <wp:posOffset>2288540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F60FBEE">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wps:txbx>
                            <wps:bodyPr wrap="none" anchor="t" upright="0">
                              <a:spAutoFit/>
                            </wps:bodyPr>
                          </wps:wsp>
                        </a:graphicData>
                      </a:graphic>
                    </wp:anchor>
                  </w:drawing>
                </mc:Choice>
                <mc:Fallback>
                  <w:pict>
                    <v:shape id="_x0000_s1026" o:spid="_x0000_s1026" o:spt="202" type="#_x0000_t202" style="position:absolute;left:0pt;margin-left:150.55pt;margin-top:180.2pt;height:144pt;width:144pt;mso-wrap-style:none;z-index:251669504;mso-width-relative:page;mso-height-relative:page;" filled="f" stroked="f" coordsize="21600,21600" o:gfxdata="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3vb1DZAAAACwEAAA8AAAAAAAAAAQAgAAAA&#10;IgAAAGRycy9kb3ducmV2LnhtbFBLAQIUABQAAAAIAIdO4kAfqrUC0QEAAJkDAAAOAAAAAAAAAAEA&#10;IAAAACgBAABkcnMvZTJvRG9jLnhtbFBLBQYAAAAABgAGAFkBAABrBQAAAAA=&#10;">
                      <v:fill on="f" focussize="0,0"/>
                      <v:stroke on="f" weight="0.5pt"/>
                      <v:imagedata o:title=""/>
                      <o:lock v:ext="edit" aspectratio="f"/>
                      <v:textbox style="mso-fit-shape-to-text:t;">
                        <w:txbxContent>
                          <w:p w14:paraId="7F60FBEE">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v:textbox>
                    </v:shape>
                  </w:pict>
                </mc:Fallback>
              </mc:AlternateContent>
            </w:r>
            <w:r>
              <w:rPr>
                <w:rFonts w:hint="eastAsia" w:eastAsia="宋体" w:cs="Times New Roman"/>
                <w:color w:val="auto"/>
                <w:sz w:val="24"/>
                <w:szCs w:val="24"/>
                <w:highlight w:val="none"/>
                <w:vertAlign w:val="baseline"/>
                <w:lang w:val="en-US" w:eastAsia="zh-CN"/>
              </w:rPr>
              <w:drawing>
                <wp:inline distT="0" distB="0" distL="114300" distR="114300">
                  <wp:extent cx="2653030" cy="2557145"/>
                  <wp:effectExtent l="0" t="0" r="13970" b="14605"/>
                  <wp:docPr id="29" name="图片 29" descr="435a1300f7ae8b8335f54d382b9b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35a1300f7ae8b8335f54d382b9b442"/>
                          <pic:cNvPicPr>
                            <a:picLocks noChangeAspect="1"/>
                          </pic:cNvPicPr>
                        </pic:nvPicPr>
                        <pic:blipFill>
                          <a:blip r:embed="rId17"/>
                          <a:stretch>
                            <a:fillRect/>
                          </a:stretch>
                        </pic:blipFill>
                        <pic:spPr>
                          <a:xfrm>
                            <a:off x="0" y="0"/>
                            <a:ext cx="2653030" cy="2557145"/>
                          </a:xfrm>
                          <a:prstGeom prst="rect">
                            <a:avLst/>
                          </a:prstGeom>
                        </pic:spPr>
                      </pic:pic>
                    </a:graphicData>
                  </a:graphic>
                </wp:inline>
              </w:drawing>
            </w:r>
          </w:p>
        </w:tc>
        <w:tc>
          <w:tcPr>
            <w:tcW w:w="3949" w:type="dxa"/>
            <w:noWrap w:val="0"/>
            <w:vAlign w:val="center"/>
          </w:tcPr>
          <w:p w14:paraId="644450C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1"/>
              </w:rPr>
              <mc:AlternateContent>
                <mc:Choice Requires="wps">
                  <w:drawing>
                    <wp:anchor distT="0" distB="0" distL="114300" distR="114300" simplePos="0" relativeHeight="251671552" behindDoc="0" locked="0" layoutInCell="1" allowOverlap="1">
                      <wp:simplePos x="0" y="0"/>
                      <wp:positionH relativeFrom="column">
                        <wp:posOffset>1636395</wp:posOffset>
                      </wp:positionH>
                      <wp:positionV relativeFrom="paragraph">
                        <wp:posOffset>2316480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C5B96DD">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wps:txbx>
                            <wps:bodyPr wrap="none" anchor="t" upright="0">
                              <a:spAutoFit/>
                            </wps:bodyPr>
                          </wps:wsp>
                        </a:graphicData>
                      </a:graphic>
                    </wp:anchor>
                  </w:drawing>
                </mc:Choice>
                <mc:Fallback>
                  <w:pict>
                    <v:shape id="_x0000_s1026" o:spid="_x0000_s1026" o:spt="202" type="#_x0000_t202" style="position:absolute;left:0pt;margin-left:128.85pt;margin-top:182.4pt;height:144pt;width:144pt;mso-wrap-style:none;z-index:251671552;mso-width-relative:page;mso-height-relative:page;" filled="f" stroked="f" coordsize="21600,21600" o:gfxdata="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F/Nal9oAAAALAQAADwAAAAAAAAABACAA&#10;AAAiAAAAZHJzL2Rvd25yZXYueG1sUEsBAhQAFAAAAAgAh07iQAev/ZjSAQAAmQMAAA4AAAAAAAAA&#10;AQAgAAAAKQEAAGRycy9lMm9Eb2MueG1sUEsFBgAAAAAGAAYAWQEAAG0FAAAAAA==&#10;">
                      <v:fill on="f" focussize="0,0"/>
                      <v:stroke on="f" weight="0.5pt"/>
                      <v:imagedata o:title=""/>
                      <o:lock v:ext="edit" aspectratio="f"/>
                      <v:textbox style="mso-fit-shape-to-text:t;">
                        <w:txbxContent>
                          <w:p w14:paraId="0C5B96DD">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v:textbox>
                    </v:shape>
                  </w:pict>
                </mc:Fallback>
              </mc:AlternateContent>
            </w:r>
            <w:r>
              <w:rPr>
                <w:rFonts w:hint="eastAsia" w:eastAsia="宋体" w:cs="Times New Roman"/>
                <w:color w:val="auto"/>
                <w:sz w:val="24"/>
                <w:szCs w:val="24"/>
                <w:highlight w:val="none"/>
                <w:vertAlign w:val="baseline"/>
                <w:lang w:val="en-US" w:eastAsia="zh-CN"/>
              </w:rPr>
              <w:drawing>
                <wp:inline distT="0" distB="0" distL="114300" distR="114300">
                  <wp:extent cx="2340610" cy="2532380"/>
                  <wp:effectExtent l="0" t="0" r="2540" b="1270"/>
                  <wp:docPr id="30" name="图片 30" descr="effbeba54b2004b19fd3261d22ce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ffbeba54b2004b19fd3261d22ce97a"/>
                          <pic:cNvPicPr>
                            <a:picLocks noChangeAspect="1"/>
                          </pic:cNvPicPr>
                        </pic:nvPicPr>
                        <pic:blipFill>
                          <a:blip r:embed="rId18"/>
                          <a:stretch>
                            <a:fillRect/>
                          </a:stretch>
                        </pic:blipFill>
                        <pic:spPr>
                          <a:xfrm>
                            <a:off x="0" y="0"/>
                            <a:ext cx="2340610" cy="2532380"/>
                          </a:xfrm>
                          <a:prstGeom prst="rect">
                            <a:avLst/>
                          </a:prstGeom>
                        </pic:spPr>
                      </pic:pic>
                    </a:graphicData>
                  </a:graphic>
                </wp:inline>
              </w:drawing>
            </w:r>
          </w:p>
        </w:tc>
      </w:tr>
      <w:tr w14:paraId="4B87F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24" w:type="dxa"/>
            <w:noWrap w:val="0"/>
            <w:vAlign w:val="center"/>
          </w:tcPr>
          <w:p w14:paraId="1DF864E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eastAsia="宋体" w:cs="Times New Roman"/>
                <w:color w:val="auto"/>
                <w:sz w:val="24"/>
                <w:szCs w:val="24"/>
                <w:highlight w:val="none"/>
                <w:vertAlign w:val="baseline"/>
                <w:lang w:val="en-US" w:eastAsia="zh-CN"/>
              </w:rPr>
            </w:pPr>
            <w:r>
              <w:rPr>
                <w:rFonts w:hint="eastAsia" w:eastAsia="宋体" w:cs="Times New Roman"/>
                <w:color w:val="auto"/>
                <w:sz w:val="24"/>
                <w:szCs w:val="24"/>
                <w:highlight w:val="none"/>
                <w:vertAlign w:val="baseline"/>
                <w:lang w:val="en-US" w:eastAsia="zh-CN"/>
              </w:rPr>
              <w:t>空压机房</w:t>
            </w:r>
          </w:p>
        </w:tc>
        <w:tc>
          <w:tcPr>
            <w:tcW w:w="3949" w:type="dxa"/>
            <w:noWrap w:val="0"/>
            <w:vAlign w:val="center"/>
          </w:tcPr>
          <w:p w14:paraId="3ECC9AE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eastAsia="宋体" w:cs="Times New Roman"/>
                <w:color w:val="auto"/>
                <w:sz w:val="24"/>
                <w:szCs w:val="24"/>
                <w:highlight w:val="none"/>
                <w:vertAlign w:val="baseline"/>
                <w:lang w:val="en-US" w:eastAsia="zh-CN"/>
              </w:rPr>
            </w:pPr>
            <w:r>
              <w:rPr>
                <w:rFonts w:hint="eastAsia" w:eastAsia="宋体" w:cs="Times New Roman"/>
                <w:color w:val="auto"/>
                <w:sz w:val="24"/>
                <w:szCs w:val="24"/>
                <w:highlight w:val="none"/>
                <w:vertAlign w:val="baseline"/>
                <w:lang w:val="en-US" w:eastAsia="zh-CN"/>
              </w:rPr>
              <w:t>甲类仓库</w:t>
            </w:r>
          </w:p>
        </w:tc>
      </w:tr>
      <w:tr w14:paraId="49246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24" w:type="dxa"/>
            <w:noWrap w:val="0"/>
            <w:vAlign w:val="center"/>
          </w:tcPr>
          <w:p w14:paraId="27E257F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1"/>
              </w:rPr>
              <mc:AlternateContent>
                <mc:Choice Requires="wps">
                  <w:drawing>
                    <wp:anchor distT="0" distB="0" distL="114300" distR="114300" simplePos="0" relativeHeight="251667456" behindDoc="0" locked="0" layoutInCell="1" allowOverlap="1">
                      <wp:simplePos x="0" y="0"/>
                      <wp:positionH relativeFrom="column">
                        <wp:posOffset>1988185</wp:posOffset>
                      </wp:positionH>
                      <wp:positionV relativeFrom="paragraph">
                        <wp:posOffset>2426335</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325A10B">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wps:txbx>
                            <wps:bodyPr wrap="none" anchor="t" upright="0">
                              <a:spAutoFit/>
                            </wps:bodyPr>
                          </wps:wsp>
                        </a:graphicData>
                      </a:graphic>
                    </wp:anchor>
                  </w:drawing>
                </mc:Choice>
                <mc:Fallback>
                  <w:pict>
                    <v:shape id="_x0000_s1026" o:spid="_x0000_s1026" o:spt="202" type="#_x0000_t202" style="position:absolute;left:0pt;margin-left:156.55pt;margin-top:191.05pt;height:144pt;width:144pt;mso-wrap-style:none;z-index:251667456;mso-width-relative:page;mso-height-relative:page;" filled="f" stroked="f" coordsize="21600,21600" o:gfxdata="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n6vqnWAAAACwEAAA8AAAAAAAAAAQAgAAAAIgAA&#10;AGRycy9kb3ducmV2LnhtbFBLAQIUABQAAAAIAIdO4kAcK/aj0QEAAJkDAAAOAAAAAAAAAAEAIAAA&#10;ACUBAABkcnMvZTJvRG9jLnhtbFBLBQYAAAAABgAGAFkBAABoBQAAAAA=&#10;">
                      <v:fill on="f" focussize="0,0"/>
                      <v:stroke on="f" weight="0.5pt"/>
                      <v:imagedata o:title=""/>
                      <o:lock v:ext="edit" aspectratio="f"/>
                      <v:textbox style="mso-fit-shape-to-text:t;">
                        <w:txbxContent>
                          <w:p w14:paraId="3325A10B">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v:textbox>
                    </v:shape>
                  </w:pict>
                </mc:Fallback>
              </mc:AlternateContent>
            </w:r>
            <w:r>
              <w:rPr>
                <w:rFonts w:hint="eastAsia" w:eastAsia="宋体" w:cs="Times New Roman"/>
                <w:color w:val="auto"/>
                <w:sz w:val="24"/>
                <w:szCs w:val="24"/>
                <w:highlight w:val="none"/>
                <w:vertAlign w:val="baseline"/>
                <w:lang w:val="en-US" w:eastAsia="zh-CN"/>
              </w:rPr>
              <w:drawing>
                <wp:inline distT="0" distB="0" distL="114300" distR="114300">
                  <wp:extent cx="2710815" cy="2667000"/>
                  <wp:effectExtent l="0" t="0" r="13335" b="0"/>
                  <wp:docPr id="31" name="图片 31" descr="2a15d51bac953278a1b8a4f3ac3c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a15d51bac953278a1b8a4f3ac3cb48"/>
                          <pic:cNvPicPr>
                            <a:picLocks noChangeAspect="1"/>
                          </pic:cNvPicPr>
                        </pic:nvPicPr>
                        <pic:blipFill>
                          <a:blip r:embed="rId19"/>
                          <a:stretch>
                            <a:fillRect/>
                          </a:stretch>
                        </pic:blipFill>
                        <pic:spPr>
                          <a:xfrm>
                            <a:off x="0" y="0"/>
                            <a:ext cx="2710815" cy="2667000"/>
                          </a:xfrm>
                          <a:prstGeom prst="rect">
                            <a:avLst/>
                          </a:prstGeom>
                        </pic:spPr>
                      </pic:pic>
                    </a:graphicData>
                  </a:graphic>
                </wp:inline>
              </w:drawing>
            </w:r>
          </w:p>
        </w:tc>
        <w:tc>
          <w:tcPr>
            <w:tcW w:w="3949" w:type="dxa"/>
            <w:noWrap w:val="0"/>
            <w:vAlign w:val="center"/>
          </w:tcPr>
          <w:p w14:paraId="1D1B29A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1"/>
              </w:rPr>
              <mc:AlternateContent>
                <mc:Choice Requires="wps">
                  <w:drawing>
                    <wp:anchor distT="0" distB="0" distL="114300" distR="114300" simplePos="0" relativeHeight="251668480" behindDoc="0" locked="0" layoutInCell="1" allowOverlap="1">
                      <wp:simplePos x="0" y="0"/>
                      <wp:positionH relativeFrom="column">
                        <wp:posOffset>1646555</wp:posOffset>
                      </wp:positionH>
                      <wp:positionV relativeFrom="paragraph">
                        <wp:posOffset>2426970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DE707C0">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wps:txbx>
                            <wps:bodyPr wrap="none" anchor="t" upright="0">
                              <a:spAutoFit/>
                            </wps:bodyPr>
                          </wps:wsp>
                        </a:graphicData>
                      </a:graphic>
                    </wp:anchor>
                  </w:drawing>
                </mc:Choice>
                <mc:Fallback>
                  <w:pict>
                    <v:shape id="_x0000_s1026" o:spid="_x0000_s1026" o:spt="202" type="#_x0000_t202" style="position:absolute;left:0pt;margin-left:129.65pt;margin-top:191.1pt;height:144pt;width:144pt;mso-wrap-style:none;z-index:251668480;mso-width-relative:page;mso-height-relative:page;" filled="f" stroked="f" coordsize="21600,21600" o:gfxdata="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U2/InaAAAACwEAAA8AAAAAAAAAAQAgAAAA&#10;IgAAAGRycy9kb3ducmV2LnhtbFBLAQIUABQAAAAIAIdO4kASs5C30AEAAJkDAAAOAAAAAAAAAAEA&#10;IAAAACkBAABkcnMvZTJvRG9jLnhtbFBLBQYAAAAABgAGAFkBAABrBQAAAAA=&#10;">
                      <v:fill on="f" focussize="0,0"/>
                      <v:stroke on="f" weight="0.5pt"/>
                      <v:imagedata o:title=""/>
                      <o:lock v:ext="edit" aspectratio="f"/>
                      <v:textbox style="mso-fit-shape-to-text:t;">
                        <w:txbxContent>
                          <w:p w14:paraId="1DE707C0">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v:textbox>
                    </v:shape>
                  </w:pict>
                </mc:Fallback>
              </mc:AlternateContent>
            </w:r>
            <w:r>
              <w:rPr>
                <w:rFonts w:hint="eastAsia" w:eastAsia="宋体" w:cs="Times New Roman"/>
                <w:color w:val="auto"/>
                <w:sz w:val="24"/>
                <w:szCs w:val="24"/>
                <w:highlight w:val="none"/>
                <w:vertAlign w:val="baseline"/>
                <w:lang w:val="en-US" w:eastAsia="zh-CN"/>
              </w:rPr>
              <w:drawing>
                <wp:inline distT="0" distB="0" distL="114300" distR="114300">
                  <wp:extent cx="2384425" cy="2673350"/>
                  <wp:effectExtent l="0" t="0" r="15875" b="12700"/>
                  <wp:docPr id="33" name="图片 33" descr="2ade79de41df9a99e5e4b4ef60cb6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ade79de41df9a99e5e4b4ef60cb6b3"/>
                          <pic:cNvPicPr>
                            <a:picLocks noChangeAspect="1"/>
                          </pic:cNvPicPr>
                        </pic:nvPicPr>
                        <pic:blipFill>
                          <a:blip r:embed="rId20"/>
                          <a:stretch>
                            <a:fillRect/>
                          </a:stretch>
                        </pic:blipFill>
                        <pic:spPr>
                          <a:xfrm>
                            <a:off x="0" y="0"/>
                            <a:ext cx="2384425" cy="2673350"/>
                          </a:xfrm>
                          <a:prstGeom prst="rect">
                            <a:avLst/>
                          </a:prstGeom>
                        </pic:spPr>
                      </pic:pic>
                    </a:graphicData>
                  </a:graphic>
                </wp:inline>
              </w:drawing>
            </w:r>
          </w:p>
        </w:tc>
      </w:tr>
      <w:tr w14:paraId="5079D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24" w:type="dxa"/>
            <w:noWrap w:val="0"/>
            <w:vAlign w:val="center"/>
          </w:tcPr>
          <w:p w14:paraId="78539F7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eastAsia="宋体" w:cs="Times New Roman"/>
                <w:color w:val="auto"/>
                <w:sz w:val="24"/>
                <w:szCs w:val="24"/>
                <w:highlight w:val="none"/>
                <w:vertAlign w:val="baseline"/>
                <w:lang w:val="en-US" w:eastAsia="zh-CN"/>
              </w:rPr>
            </w:pPr>
            <w:r>
              <w:rPr>
                <w:rFonts w:hint="eastAsia" w:eastAsia="宋体" w:cs="Times New Roman"/>
                <w:color w:val="auto"/>
                <w:sz w:val="24"/>
                <w:szCs w:val="24"/>
                <w:highlight w:val="none"/>
                <w:vertAlign w:val="baseline"/>
                <w:lang w:val="en-US" w:eastAsia="zh-CN"/>
              </w:rPr>
              <w:t>一般固废间</w:t>
            </w:r>
          </w:p>
        </w:tc>
        <w:tc>
          <w:tcPr>
            <w:tcW w:w="3949" w:type="dxa"/>
            <w:noWrap w:val="0"/>
            <w:vAlign w:val="center"/>
          </w:tcPr>
          <w:p w14:paraId="0C0D44F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eastAsia="宋体" w:cs="Times New Roman"/>
                <w:color w:val="auto"/>
                <w:sz w:val="24"/>
                <w:szCs w:val="24"/>
                <w:highlight w:val="none"/>
                <w:vertAlign w:val="baseline"/>
                <w:lang w:val="en-US" w:eastAsia="zh-CN"/>
              </w:rPr>
            </w:pPr>
            <w:r>
              <w:rPr>
                <w:rFonts w:hint="eastAsia" w:eastAsia="宋体" w:cs="Times New Roman"/>
                <w:color w:val="auto"/>
                <w:sz w:val="24"/>
                <w:szCs w:val="24"/>
                <w:highlight w:val="none"/>
                <w:vertAlign w:val="baseline"/>
                <w:lang w:val="en-US" w:eastAsia="zh-CN"/>
              </w:rPr>
              <w:t>水性涂料成品库</w:t>
            </w:r>
          </w:p>
        </w:tc>
      </w:tr>
      <w:tr w14:paraId="67FF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24" w:type="dxa"/>
            <w:noWrap w:val="0"/>
            <w:vAlign w:val="center"/>
          </w:tcPr>
          <w:p w14:paraId="0D47132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1"/>
              </w:rPr>
              <w:drawing>
                <wp:inline distT="0" distB="0" distL="114300" distR="114300">
                  <wp:extent cx="2720340" cy="2551430"/>
                  <wp:effectExtent l="0" t="0" r="10160" b="1270"/>
                  <wp:docPr id="14" name="图片 14" descr="d288c7cfe701932ac334c415cff49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288c7cfe701932ac334c415cff499f"/>
                          <pic:cNvPicPr>
                            <a:picLocks noChangeAspect="1"/>
                          </pic:cNvPicPr>
                        </pic:nvPicPr>
                        <pic:blipFill>
                          <a:blip r:embed="rId21"/>
                          <a:stretch>
                            <a:fillRect/>
                          </a:stretch>
                        </pic:blipFill>
                        <pic:spPr>
                          <a:xfrm>
                            <a:off x="0" y="0"/>
                            <a:ext cx="2720340" cy="2551430"/>
                          </a:xfrm>
                          <a:prstGeom prst="rect">
                            <a:avLst/>
                          </a:prstGeom>
                        </pic:spPr>
                      </pic:pic>
                    </a:graphicData>
                  </a:graphic>
                </wp:inline>
              </w:drawing>
            </w:r>
            <w:r>
              <w:rPr>
                <w:rFonts w:hint="default" w:ascii="Times New Roman" w:hAnsi="Times New Roman" w:eastAsia="宋体" w:cs="Times New Roman"/>
                <w:color w:val="auto"/>
                <w:sz w:val="21"/>
              </w:rPr>
              <mc:AlternateContent>
                <mc:Choice Requires="wps">
                  <w:drawing>
                    <wp:anchor distT="0" distB="0" distL="114300" distR="114300" simplePos="0" relativeHeight="251670528" behindDoc="0" locked="0" layoutInCell="1" allowOverlap="1">
                      <wp:simplePos x="0" y="0"/>
                      <wp:positionH relativeFrom="column">
                        <wp:posOffset>1906270</wp:posOffset>
                      </wp:positionH>
                      <wp:positionV relativeFrom="paragraph">
                        <wp:posOffset>2249170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B8CE42F">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wps:txbx>
                            <wps:bodyPr wrap="none" anchor="t" upright="0">
                              <a:spAutoFit/>
                            </wps:bodyPr>
                          </wps:wsp>
                        </a:graphicData>
                      </a:graphic>
                    </wp:anchor>
                  </w:drawing>
                </mc:Choice>
                <mc:Fallback>
                  <w:pict>
                    <v:shape id="_x0000_s1026" o:spid="_x0000_s1026" o:spt="202" type="#_x0000_t202" style="position:absolute;left:0pt;margin-left:150.1pt;margin-top:177.1pt;height:144pt;width:144pt;mso-wrap-style:none;z-index:251670528;mso-width-relative:page;mso-height-relative:page;" filled="f" stroked="f" coordsize="21600,21600" o:gfxdata="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6K1LtkAAAALAQAADwAAAAAAAAABACAAAAAi&#10;AAAAZHJzL2Rvd25yZXYueG1sUEsBAhQAFAAAAAgAh07iQFGC45zQAQAAmQMAAA4AAAAAAAAAAQAg&#10;AAAAKAEAAGRycy9lMm9Eb2MueG1sUEsFBgAAAAAGAAYAWQEAAGoFAAAAAA==&#10;">
                      <v:fill on="f" focussize="0,0"/>
                      <v:stroke on="f" weight="0.5pt"/>
                      <v:imagedata o:title=""/>
                      <o:lock v:ext="edit" aspectratio="f"/>
                      <v:textbox style="mso-fit-shape-to-text:t;">
                        <w:txbxContent>
                          <w:p w14:paraId="0B8CE42F">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v:textbox>
                    </v:shape>
                  </w:pict>
                </mc:Fallback>
              </mc:AlternateContent>
            </w:r>
          </w:p>
        </w:tc>
        <w:tc>
          <w:tcPr>
            <w:tcW w:w="3949" w:type="dxa"/>
            <w:noWrap w:val="0"/>
            <w:vAlign w:val="center"/>
          </w:tcPr>
          <w:p w14:paraId="7284D12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1"/>
              </w:rPr>
              <mc:AlternateContent>
                <mc:Choice Requires="wps">
                  <w:drawing>
                    <wp:anchor distT="0" distB="0" distL="114300" distR="114300" simplePos="0" relativeHeight="251672576" behindDoc="0" locked="0" layoutInCell="1" allowOverlap="1">
                      <wp:simplePos x="0" y="0"/>
                      <wp:positionH relativeFrom="column">
                        <wp:posOffset>1630680</wp:posOffset>
                      </wp:positionH>
                      <wp:positionV relativeFrom="paragraph">
                        <wp:posOffset>2284095</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687826B">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wps:txbx>
                            <wps:bodyPr wrap="none" anchor="t" upright="0">
                              <a:spAutoFit/>
                            </wps:bodyPr>
                          </wps:wsp>
                        </a:graphicData>
                      </a:graphic>
                    </wp:anchor>
                  </w:drawing>
                </mc:Choice>
                <mc:Fallback>
                  <w:pict>
                    <v:shape id="_x0000_s1026" o:spid="_x0000_s1026" o:spt="202" type="#_x0000_t202" style="position:absolute;left:0pt;margin-left:128.4pt;margin-top:179.85pt;height:144pt;width:144pt;mso-wrap-style:none;z-index:251672576;mso-width-relative:page;mso-height-relative:page;" filled="f" stroked="f" coordsize="21600,21600" o:gfxdata="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cm41doAAAALAQAADwAAAAAAAAABACAA&#10;AAAiAAAAZHJzL2Rvd25yZXYueG1sUEsBAhQAFAAAAAgAh07iQKv1wZDSAQAAmQMAAA4AAAAAAAAA&#10;AQAgAAAAKQEAAGRycy9lMm9Eb2MueG1sUEsFBgAAAAAGAAYAWQEAAG0FAAAAAA==&#10;">
                      <v:fill on="f" focussize="0,0"/>
                      <v:stroke on="f" weight="0.5pt"/>
                      <v:imagedata o:title=""/>
                      <o:lock v:ext="edit" aspectratio="f"/>
                      <v:textbox style="mso-fit-shape-to-text:t;">
                        <w:txbxContent>
                          <w:p w14:paraId="3687826B">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29</w:t>
                            </w:r>
                          </w:p>
                        </w:txbxContent>
                      </v:textbox>
                    </v:shape>
                  </w:pict>
                </mc:Fallback>
              </mc:AlternateContent>
            </w:r>
            <w:r>
              <w:rPr>
                <w:rFonts w:hint="eastAsia" w:eastAsia="宋体" w:cs="Times New Roman"/>
                <w:color w:val="auto"/>
                <w:sz w:val="24"/>
                <w:szCs w:val="24"/>
                <w:highlight w:val="none"/>
                <w:vertAlign w:val="baseline"/>
                <w:lang w:val="en-US" w:eastAsia="zh-CN"/>
              </w:rPr>
              <w:drawing>
                <wp:inline distT="0" distB="0" distL="114300" distR="114300">
                  <wp:extent cx="2378710" cy="2530475"/>
                  <wp:effectExtent l="0" t="0" r="8890" b="9525"/>
                  <wp:docPr id="36" name="图片 36" descr="142aa002e49f6553f68a67a9c94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42aa002e49f6553f68a67a9c941529"/>
                          <pic:cNvPicPr>
                            <a:picLocks noChangeAspect="1"/>
                          </pic:cNvPicPr>
                        </pic:nvPicPr>
                        <pic:blipFill>
                          <a:blip r:embed="rId22"/>
                          <a:stretch>
                            <a:fillRect/>
                          </a:stretch>
                        </pic:blipFill>
                        <pic:spPr>
                          <a:xfrm>
                            <a:off x="0" y="0"/>
                            <a:ext cx="2378710" cy="2530475"/>
                          </a:xfrm>
                          <a:prstGeom prst="rect">
                            <a:avLst/>
                          </a:prstGeom>
                        </pic:spPr>
                      </pic:pic>
                    </a:graphicData>
                  </a:graphic>
                </wp:inline>
              </w:drawing>
            </w:r>
          </w:p>
        </w:tc>
      </w:tr>
      <w:tr w14:paraId="03220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24" w:type="dxa"/>
            <w:noWrap w:val="0"/>
            <w:vAlign w:val="center"/>
          </w:tcPr>
          <w:p w14:paraId="0F157EE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eastAsia="宋体"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自建</w:t>
            </w:r>
            <w:r>
              <w:rPr>
                <w:rFonts w:hint="eastAsia" w:eastAsia="宋体" w:cs="Times New Roman"/>
                <w:color w:val="auto"/>
                <w:sz w:val="24"/>
                <w:szCs w:val="24"/>
                <w:highlight w:val="none"/>
                <w:vertAlign w:val="baseline"/>
                <w:lang w:val="en-US" w:eastAsia="zh-CN"/>
              </w:rPr>
              <w:t>污水处理系统</w:t>
            </w:r>
          </w:p>
        </w:tc>
        <w:tc>
          <w:tcPr>
            <w:tcW w:w="3949" w:type="dxa"/>
            <w:noWrap w:val="0"/>
            <w:vAlign w:val="center"/>
          </w:tcPr>
          <w:p w14:paraId="5AF0C2B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eastAsia="宋体" w:cs="Times New Roman"/>
                <w:color w:val="auto"/>
                <w:sz w:val="24"/>
                <w:szCs w:val="24"/>
                <w:highlight w:val="none"/>
                <w:vertAlign w:val="baseline"/>
                <w:lang w:val="en-US" w:eastAsia="zh-CN"/>
              </w:rPr>
            </w:pPr>
            <w:r>
              <w:rPr>
                <w:rFonts w:hint="eastAsia" w:eastAsia="宋体" w:cs="Times New Roman"/>
                <w:color w:val="auto"/>
                <w:sz w:val="24"/>
                <w:szCs w:val="24"/>
                <w:highlight w:val="none"/>
                <w:vertAlign w:val="baseline"/>
                <w:lang w:val="en-US" w:eastAsia="zh-CN"/>
              </w:rPr>
              <w:t>原辅料仓库</w:t>
            </w:r>
          </w:p>
        </w:tc>
      </w:tr>
    </w:tbl>
    <w:p w14:paraId="12B315C3">
      <w:pPr>
        <w:pStyle w:val="26"/>
        <w:keepNext w:val="0"/>
        <w:keepLines w:val="0"/>
        <w:pageBreakBefore w:val="0"/>
        <w:widowControl/>
        <w:kinsoku/>
        <w:wordWrap/>
        <w:overflowPunct/>
        <w:topLinePunct w:val="0"/>
        <w:autoSpaceDE/>
        <w:autoSpaceDN/>
        <w:bidi w:val="0"/>
        <w:adjustRightInd/>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rPr>
        <w:sectPr>
          <w:footerReference r:id="rId6" w:type="default"/>
          <w:pgSz w:w="11906" w:h="16838"/>
          <w:pgMar w:top="1701" w:right="1531" w:bottom="1701" w:left="1531" w:header="851" w:footer="1077" w:gutter="0"/>
          <w:pgNumType w:start="1"/>
          <w:cols w:space="720" w:num="1"/>
          <w:docGrid w:linePitch="312" w:charSpace="0"/>
        </w:sectPr>
      </w:pPr>
    </w:p>
    <w:p w14:paraId="0E3E6589">
      <w:pPr>
        <w:pStyle w:val="26"/>
        <w:keepNext w:val="0"/>
        <w:keepLines w:val="0"/>
        <w:pageBreakBefore w:val="0"/>
        <w:widowControl/>
        <w:kinsoku/>
        <w:wordWrap/>
        <w:overflowPunct/>
        <w:topLinePunct w:val="0"/>
        <w:autoSpaceDE/>
        <w:autoSpaceDN/>
        <w:bidi w:val="0"/>
        <w:adjustRightInd/>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rPr>
      </w:pPr>
      <w:r>
        <w:rPr>
          <w:rFonts w:hint="default" w:ascii="Times New Roman" w:hAnsi="Times New Roman" w:eastAsia="宋体" w:cs="Times New Roman"/>
          <w:b/>
          <w:bCs/>
          <w:snapToGrid w:val="0"/>
          <w:color w:val="auto"/>
          <w:sz w:val="30"/>
          <w:szCs w:val="30"/>
        </w:rPr>
        <w:t>一、建设项目基本情况</w:t>
      </w:r>
      <w:bookmarkEnd w:id="0"/>
    </w:p>
    <w:tbl>
      <w:tblPr>
        <w:tblStyle w:val="28"/>
        <w:tblW w:w="492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63"/>
        <w:gridCol w:w="497"/>
        <w:gridCol w:w="1815"/>
        <w:gridCol w:w="2246"/>
        <w:gridCol w:w="3411"/>
      </w:tblGrid>
      <w:tr w14:paraId="5AE2AC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1" w:type="pct"/>
            <w:gridSpan w:val="2"/>
            <w:noWrap w:val="0"/>
            <w:tcMar>
              <w:top w:w="16" w:type="dxa"/>
              <w:left w:w="16" w:type="dxa"/>
              <w:right w:w="16" w:type="dxa"/>
            </w:tcMar>
            <w:vAlign w:val="center"/>
          </w:tcPr>
          <w:p w14:paraId="180FABD5">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4278" w:type="pct"/>
            <w:gridSpan w:val="3"/>
            <w:noWrap w:val="0"/>
            <w:vAlign w:val="center"/>
          </w:tcPr>
          <w:p w14:paraId="270BBF33">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水性涂料产品、腻子粉产品产能提升改造项目</w:t>
            </w:r>
          </w:p>
        </w:tc>
      </w:tr>
      <w:tr w14:paraId="00CDE2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1" w:type="pct"/>
            <w:gridSpan w:val="2"/>
            <w:noWrap w:val="0"/>
            <w:tcMar>
              <w:top w:w="16" w:type="dxa"/>
              <w:left w:w="16" w:type="dxa"/>
              <w:right w:w="16" w:type="dxa"/>
            </w:tcMar>
            <w:vAlign w:val="center"/>
          </w:tcPr>
          <w:p w14:paraId="32C7D495">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项目代码</w:t>
            </w:r>
          </w:p>
        </w:tc>
        <w:tc>
          <w:tcPr>
            <w:tcW w:w="4278" w:type="pct"/>
            <w:gridSpan w:val="3"/>
            <w:noWrap w:val="0"/>
            <w:vAlign w:val="center"/>
          </w:tcPr>
          <w:p w14:paraId="3F1C6402">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lang w:val="en-US"/>
              </w:rPr>
            </w:pPr>
            <w:r>
              <w:rPr>
                <w:rFonts w:hint="eastAsia" w:cs="Times New Roman"/>
                <w:color w:val="auto"/>
                <w:sz w:val="24"/>
                <w:szCs w:val="24"/>
                <w:lang w:val="en-US" w:eastAsia="zh-CN"/>
              </w:rPr>
              <w:t>2302-530124-04-02-529015</w:t>
            </w:r>
          </w:p>
        </w:tc>
      </w:tr>
      <w:tr w14:paraId="5A7F5E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1" w:type="pct"/>
            <w:gridSpan w:val="2"/>
            <w:noWrap w:val="0"/>
            <w:tcMar>
              <w:top w:w="16" w:type="dxa"/>
              <w:left w:w="16" w:type="dxa"/>
              <w:right w:w="16" w:type="dxa"/>
            </w:tcMar>
            <w:vAlign w:val="center"/>
          </w:tcPr>
          <w:p w14:paraId="4DC5836E">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建设单位联系人</w:t>
            </w:r>
          </w:p>
        </w:tc>
        <w:tc>
          <w:tcPr>
            <w:tcW w:w="1039" w:type="pct"/>
            <w:noWrap w:val="0"/>
            <w:vAlign w:val="center"/>
          </w:tcPr>
          <w:p w14:paraId="6E0E5DEA">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绳闪</w:t>
            </w:r>
          </w:p>
        </w:tc>
        <w:tc>
          <w:tcPr>
            <w:tcW w:w="1286" w:type="pct"/>
            <w:noWrap w:val="0"/>
            <w:vAlign w:val="center"/>
          </w:tcPr>
          <w:p w14:paraId="1A78C1B7">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联系方式</w:t>
            </w:r>
          </w:p>
        </w:tc>
        <w:tc>
          <w:tcPr>
            <w:tcW w:w="1953" w:type="pct"/>
            <w:noWrap w:val="0"/>
            <w:vAlign w:val="center"/>
          </w:tcPr>
          <w:p w14:paraId="0F53EE45">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13608803653</w:t>
            </w:r>
          </w:p>
        </w:tc>
      </w:tr>
      <w:tr w14:paraId="299C81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1" w:type="pct"/>
            <w:gridSpan w:val="2"/>
            <w:noWrap w:val="0"/>
            <w:tcMar>
              <w:top w:w="16" w:type="dxa"/>
              <w:left w:w="16" w:type="dxa"/>
              <w:right w:w="16" w:type="dxa"/>
            </w:tcMar>
            <w:vAlign w:val="center"/>
          </w:tcPr>
          <w:p w14:paraId="17DB6862">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4278" w:type="pct"/>
            <w:gridSpan w:val="3"/>
            <w:noWrap w:val="0"/>
            <w:vAlign w:val="center"/>
          </w:tcPr>
          <w:p w14:paraId="16B3A703">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u w:val="single"/>
                <w:lang w:eastAsia="zh-CN"/>
              </w:rPr>
              <w:t>云南</w:t>
            </w:r>
            <w:r>
              <w:rPr>
                <w:rFonts w:hint="default" w:ascii="Times New Roman" w:hAnsi="Times New Roman" w:eastAsia="宋体" w:cs="Times New Roman"/>
                <w:color w:val="auto"/>
                <w:sz w:val="24"/>
                <w:szCs w:val="24"/>
                <w:u w:val="single"/>
              </w:rPr>
              <w:t>省</w:t>
            </w:r>
            <w:r>
              <w:rPr>
                <w:rFonts w:hint="default" w:ascii="Times New Roman" w:hAnsi="Times New Roman" w:eastAsia="宋体" w:cs="Times New Roman"/>
                <w:color w:val="auto"/>
                <w:sz w:val="24"/>
                <w:szCs w:val="24"/>
                <w:u w:val="single"/>
                <w:lang w:eastAsia="zh-CN"/>
              </w:rPr>
              <w:t>昆明市</w:t>
            </w:r>
            <w:r>
              <w:rPr>
                <w:rFonts w:hint="eastAsia" w:ascii="Times New Roman" w:hAnsi="Times New Roman" w:eastAsia="宋体" w:cs="Times New Roman"/>
                <w:color w:val="auto"/>
                <w:sz w:val="24"/>
                <w:szCs w:val="24"/>
                <w:u w:val="single"/>
                <w:lang w:eastAsia="zh-CN"/>
              </w:rPr>
              <w:t>富民县富民工业园区哨箐机械加工园</w:t>
            </w:r>
          </w:p>
        </w:tc>
      </w:tr>
      <w:tr w14:paraId="740749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1" w:type="pct"/>
            <w:gridSpan w:val="2"/>
            <w:noWrap w:val="0"/>
            <w:tcMar>
              <w:top w:w="16" w:type="dxa"/>
              <w:left w:w="16" w:type="dxa"/>
              <w:right w:w="16" w:type="dxa"/>
            </w:tcMar>
            <w:vAlign w:val="center"/>
          </w:tcPr>
          <w:p w14:paraId="564C3E47">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地理坐标</w:t>
            </w:r>
          </w:p>
        </w:tc>
        <w:tc>
          <w:tcPr>
            <w:tcW w:w="4278" w:type="pct"/>
            <w:gridSpan w:val="3"/>
            <w:noWrap w:val="0"/>
            <w:vAlign w:val="center"/>
          </w:tcPr>
          <w:p w14:paraId="7EE107C9">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shd w:val="clear" w:color="auto" w:fill="auto"/>
              </w:rPr>
            </w:pPr>
            <w:r>
              <w:rPr>
                <w:rFonts w:hint="default" w:ascii="Times New Roman" w:hAnsi="Times New Roman" w:eastAsia="宋体" w:cs="Times New Roman"/>
                <w:color w:val="auto"/>
                <w:sz w:val="24"/>
                <w:szCs w:val="24"/>
                <w:shd w:val="clear" w:color="auto" w:fill="auto"/>
              </w:rPr>
              <w:t>（</w:t>
            </w:r>
            <w:r>
              <w:rPr>
                <w:rFonts w:hint="default" w:ascii="Times New Roman" w:hAnsi="Times New Roman" w:eastAsia="宋体" w:cs="Times New Roman"/>
                <w:color w:val="auto"/>
                <w:sz w:val="24"/>
                <w:szCs w:val="24"/>
                <w:u w:val="single"/>
                <w:shd w:val="clear" w:color="auto" w:fill="auto"/>
                <w:lang w:val="en-US" w:eastAsia="zh-CN"/>
              </w:rPr>
              <w:t>10</w:t>
            </w:r>
            <w:r>
              <w:rPr>
                <w:rFonts w:hint="eastAsia" w:ascii="Times New Roman" w:hAnsi="Times New Roman" w:eastAsia="宋体" w:cs="Times New Roman"/>
                <w:color w:val="auto"/>
                <w:sz w:val="24"/>
                <w:szCs w:val="24"/>
                <w:u w:val="single"/>
                <w:shd w:val="clear" w:color="auto" w:fill="auto"/>
                <w:lang w:val="en-US" w:eastAsia="zh-CN"/>
              </w:rPr>
              <w:t>2</w:t>
            </w:r>
            <w:r>
              <w:rPr>
                <w:rFonts w:hint="default" w:ascii="Times New Roman" w:hAnsi="Times New Roman" w:eastAsia="宋体" w:cs="Times New Roman"/>
                <w:color w:val="auto"/>
                <w:sz w:val="24"/>
                <w:szCs w:val="24"/>
                <w:shd w:val="clear" w:color="auto" w:fill="auto"/>
              </w:rPr>
              <w:t>度</w:t>
            </w:r>
            <w:r>
              <w:rPr>
                <w:rFonts w:hint="eastAsia" w:ascii="Times New Roman" w:hAnsi="Times New Roman" w:eastAsia="宋体" w:cs="Times New Roman"/>
                <w:color w:val="auto"/>
                <w:sz w:val="24"/>
                <w:szCs w:val="24"/>
                <w:u w:val="single"/>
                <w:shd w:val="clear" w:color="auto" w:fill="auto"/>
                <w:lang w:val="en-US" w:eastAsia="zh-CN"/>
              </w:rPr>
              <w:t>27</w:t>
            </w:r>
            <w:r>
              <w:rPr>
                <w:rFonts w:hint="default" w:ascii="Times New Roman" w:hAnsi="Times New Roman" w:eastAsia="宋体" w:cs="Times New Roman"/>
                <w:color w:val="auto"/>
                <w:sz w:val="24"/>
                <w:szCs w:val="24"/>
                <w:shd w:val="clear" w:color="auto" w:fill="auto"/>
              </w:rPr>
              <w:t>分</w:t>
            </w:r>
            <w:r>
              <w:rPr>
                <w:rFonts w:hint="eastAsia" w:ascii="Times New Roman" w:hAnsi="Times New Roman" w:eastAsia="宋体" w:cs="Times New Roman"/>
                <w:color w:val="auto"/>
                <w:sz w:val="24"/>
                <w:szCs w:val="24"/>
                <w:u w:val="single"/>
                <w:shd w:val="clear" w:color="auto" w:fill="auto"/>
                <w:lang w:val="en-US" w:eastAsia="zh-CN"/>
              </w:rPr>
              <w:t>44.478</w:t>
            </w:r>
            <w:r>
              <w:rPr>
                <w:rFonts w:hint="default" w:ascii="Times New Roman" w:hAnsi="Times New Roman" w:eastAsia="宋体" w:cs="Times New Roman"/>
                <w:color w:val="auto"/>
                <w:sz w:val="24"/>
                <w:szCs w:val="24"/>
                <w:shd w:val="clear" w:color="auto" w:fill="auto"/>
              </w:rPr>
              <w:t>秒，</w:t>
            </w:r>
            <w:r>
              <w:rPr>
                <w:rFonts w:hint="default" w:ascii="Times New Roman" w:hAnsi="Times New Roman" w:eastAsia="宋体" w:cs="Times New Roman"/>
                <w:color w:val="auto"/>
                <w:sz w:val="24"/>
                <w:szCs w:val="24"/>
                <w:u w:val="single"/>
                <w:shd w:val="clear" w:color="auto" w:fill="auto"/>
                <w:lang w:val="en-US" w:eastAsia="zh-CN"/>
              </w:rPr>
              <w:t>25</w:t>
            </w:r>
            <w:r>
              <w:rPr>
                <w:rFonts w:hint="default" w:ascii="Times New Roman" w:hAnsi="Times New Roman" w:eastAsia="宋体" w:cs="Times New Roman"/>
                <w:color w:val="auto"/>
                <w:sz w:val="24"/>
                <w:szCs w:val="24"/>
                <w:shd w:val="clear" w:color="auto" w:fill="auto"/>
              </w:rPr>
              <w:t>度</w:t>
            </w:r>
            <w:r>
              <w:rPr>
                <w:rFonts w:hint="eastAsia" w:ascii="Times New Roman" w:hAnsi="Times New Roman" w:eastAsia="宋体" w:cs="Times New Roman"/>
                <w:color w:val="auto"/>
                <w:sz w:val="24"/>
                <w:szCs w:val="24"/>
                <w:u w:val="single"/>
                <w:shd w:val="clear" w:color="auto" w:fill="auto"/>
                <w:lang w:val="en-US" w:eastAsia="zh-CN"/>
              </w:rPr>
              <w:t>16</w:t>
            </w:r>
            <w:r>
              <w:rPr>
                <w:rFonts w:hint="default" w:ascii="Times New Roman" w:hAnsi="Times New Roman" w:eastAsia="宋体" w:cs="Times New Roman"/>
                <w:color w:val="auto"/>
                <w:sz w:val="24"/>
                <w:szCs w:val="24"/>
                <w:shd w:val="clear" w:color="auto" w:fill="auto"/>
              </w:rPr>
              <w:t>分</w:t>
            </w:r>
            <w:r>
              <w:rPr>
                <w:rFonts w:hint="eastAsia" w:ascii="Times New Roman" w:hAnsi="Times New Roman" w:eastAsia="宋体" w:cs="Times New Roman"/>
                <w:color w:val="auto"/>
                <w:sz w:val="24"/>
                <w:szCs w:val="24"/>
                <w:u w:val="single"/>
                <w:shd w:val="clear" w:color="auto" w:fill="auto"/>
                <w:lang w:val="en-US" w:eastAsia="zh-CN"/>
              </w:rPr>
              <w:t>17.804</w:t>
            </w:r>
            <w:r>
              <w:rPr>
                <w:rFonts w:hint="default" w:ascii="Times New Roman" w:hAnsi="Times New Roman" w:eastAsia="宋体" w:cs="Times New Roman"/>
                <w:color w:val="auto"/>
                <w:sz w:val="24"/>
                <w:szCs w:val="24"/>
                <w:shd w:val="clear" w:color="auto" w:fill="auto"/>
              </w:rPr>
              <w:t>秒）</w:t>
            </w:r>
          </w:p>
        </w:tc>
      </w:tr>
      <w:tr w14:paraId="4054DE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1" w:type="pct"/>
            <w:gridSpan w:val="2"/>
            <w:noWrap w:val="0"/>
            <w:tcMar>
              <w:top w:w="16" w:type="dxa"/>
              <w:left w:w="16" w:type="dxa"/>
              <w:right w:w="16" w:type="dxa"/>
            </w:tcMar>
            <w:vAlign w:val="center"/>
          </w:tcPr>
          <w:p w14:paraId="4B805DE2">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国民经济</w:t>
            </w:r>
          </w:p>
          <w:p w14:paraId="67E5E8FD">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1039" w:type="pct"/>
            <w:noWrap w:val="0"/>
            <w:vAlign w:val="center"/>
          </w:tcPr>
          <w:p w14:paraId="26D21102">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shd w:val="clear" w:color="auto" w:fill="auto"/>
                <w:lang w:val="en-US" w:eastAsia="zh-CN"/>
              </w:rPr>
            </w:pPr>
            <w:r>
              <w:rPr>
                <w:rFonts w:hint="default" w:ascii="Times New Roman" w:hAnsi="Times New Roman" w:eastAsia="宋体" w:cs="Times New Roman"/>
                <w:color w:val="auto"/>
                <w:sz w:val="24"/>
                <w:szCs w:val="24"/>
                <w:shd w:val="clear" w:color="auto" w:fill="auto"/>
                <w:lang w:val="en-US" w:eastAsia="zh-CN"/>
              </w:rPr>
              <w:t>涂料制造（C2641）</w:t>
            </w:r>
          </w:p>
          <w:p w14:paraId="725D4867">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lang w:eastAsia="zh-CN"/>
              </w:rPr>
            </w:pPr>
          </w:p>
        </w:tc>
        <w:tc>
          <w:tcPr>
            <w:tcW w:w="1286" w:type="pct"/>
            <w:noWrap w:val="0"/>
            <w:vAlign w:val="center"/>
          </w:tcPr>
          <w:p w14:paraId="1E5F6DF3">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shd w:val="clear" w:color="auto" w:fill="auto"/>
              </w:rPr>
            </w:pPr>
            <w:bookmarkStart w:id="1" w:name="_Hlk49843745"/>
            <w:r>
              <w:rPr>
                <w:rFonts w:hint="default" w:ascii="Times New Roman" w:hAnsi="Times New Roman" w:eastAsia="宋体" w:cs="Times New Roman"/>
                <w:color w:val="auto"/>
                <w:sz w:val="24"/>
                <w:szCs w:val="24"/>
                <w:shd w:val="clear" w:color="auto" w:fill="auto"/>
              </w:rPr>
              <w:t>建设项目行业类别</w:t>
            </w:r>
            <w:bookmarkEnd w:id="1"/>
          </w:p>
        </w:tc>
        <w:tc>
          <w:tcPr>
            <w:tcW w:w="1953" w:type="pct"/>
            <w:noWrap w:val="0"/>
            <w:vAlign w:val="center"/>
          </w:tcPr>
          <w:p w14:paraId="233C44AD">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shd w:val="clear" w:color="auto" w:fill="auto"/>
                <w:lang w:val="en-US" w:eastAsia="zh-CN"/>
              </w:rPr>
              <w:t>二十三、化学原料和化学制品制造业-44涂料、油墨、颜料及类似产品制造264</w:t>
            </w:r>
          </w:p>
        </w:tc>
      </w:tr>
      <w:tr w14:paraId="70515D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1" w:type="pct"/>
            <w:gridSpan w:val="2"/>
            <w:noWrap w:val="0"/>
            <w:tcMar>
              <w:top w:w="16" w:type="dxa"/>
              <w:left w:w="16" w:type="dxa"/>
              <w:right w:w="16" w:type="dxa"/>
            </w:tcMar>
            <w:vAlign w:val="center"/>
          </w:tcPr>
          <w:p w14:paraId="782B30A0">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w:t>
            </w:r>
          </w:p>
        </w:tc>
        <w:tc>
          <w:tcPr>
            <w:tcW w:w="1039" w:type="pct"/>
            <w:noWrap w:val="0"/>
            <w:vAlign w:val="center"/>
          </w:tcPr>
          <w:p w14:paraId="2C501A91">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新建（迁建）</w:t>
            </w:r>
          </w:p>
          <w:p w14:paraId="2716F7FE">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□改建</w:t>
            </w:r>
          </w:p>
          <w:p w14:paraId="5948C885">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扩建</w:t>
            </w:r>
          </w:p>
          <w:p w14:paraId="75345B47">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□技术改造</w:t>
            </w:r>
          </w:p>
        </w:tc>
        <w:tc>
          <w:tcPr>
            <w:tcW w:w="1286" w:type="pct"/>
            <w:noWrap w:val="0"/>
            <w:vAlign w:val="center"/>
          </w:tcPr>
          <w:p w14:paraId="2979E502">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建设项目申报情形</w:t>
            </w:r>
          </w:p>
        </w:tc>
        <w:tc>
          <w:tcPr>
            <w:tcW w:w="1953" w:type="pct"/>
            <w:noWrap w:val="0"/>
            <w:vAlign w:val="center"/>
          </w:tcPr>
          <w:p w14:paraId="1EA434BF">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 xml:space="preserve">首次申报项目             </w:t>
            </w:r>
          </w:p>
          <w:p w14:paraId="414C8EEB">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不予批准后再次申报项目</w:t>
            </w:r>
          </w:p>
          <w:p w14:paraId="6B595C1C">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 xml:space="preserve">超五年重新审核项目     </w:t>
            </w:r>
          </w:p>
          <w:p w14:paraId="081D5C18">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□重大变动重新报批项目</w:t>
            </w:r>
          </w:p>
        </w:tc>
      </w:tr>
      <w:tr w14:paraId="461719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1" w:type="pct"/>
            <w:gridSpan w:val="2"/>
            <w:noWrap w:val="0"/>
            <w:tcMar>
              <w:top w:w="16" w:type="dxa"/>
              <w:left w:w="16" w:type="dxa"/>
              <w:right w:w="16" w:type="dxa"/>
            </w:tcMar>
            <w:vAlign w:val="center"/>
          </w:tcPr>
          <w:p w14:paraId="387F9811">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w:t>
            </w:r>
          </w:p>
          <w:p w14:paraId="223D72BA">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备案）部门（选填）</w:t>
            </w:r>
          </w:p>
        </w:tc>
        <w:tc>
          <w:tcPr>
            <w:tcW w:w="1039" w:type="pct"/>
            <w:noWrap w:val="0"/>
            <w:vAlign w:val="center"/>
          </w:tcPr>
          <w:p w14:paraId="32B40B1E">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富民</w:t>
            </w:r>
            <w:r>
              <w:rPr>
                <w:rFonts w:hint="default" w:ascii="Times New Roman" w:hAnsi="Times New Roman" w:eastAsia="宋体" w:cs="Times New Roman"/>
                <w:color w:val="auto"/>
                <w:sz w:val="24"/>
                <w:szCs w:val="24"/>
                <w:lang w:eastAsia="zh-CN"/>
              </w:rPr>
              <w:t>县发展和改革局</w:t>
            </w:r>
          </w:p>
        </w:tc>
        <w:tc>
          <w:tcPr>
            <w:tcW w:w="1286" w:type="pct"/>
            <w:noWrap w:val="0"/>
            <w:vAlign w:val="center"/>
          </w:tcPr>
          <w:p w14:paraId="332DA2A6">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w:t>
            </w:r>
          </w:p>
          <w:p w14:paraId="03C95EBA">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备案）文号（选填）</w:t>
            </w:r>
          </w:p>
        </w:tc>
        <w:tc>
          <w:tcPr>
            <w:tcW w:w="1953" w:type="pct"/>
            <w:noWrap w:val="0"/>
            <w:vAlign w:val="center"/>
          </w:tcPr>
          <w:p w14:paraId="72A2665B">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2302-530124-04-02-529015</w:t>
            </w:r>
          </w:p>
        </w:tc>
      </w:tr>
      <w:tr w14:paraId="4CF903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1" w:type="pct"/>
            <w:gridSpan w:val="2"/>
            <w:noWrap w:val="0"/>
            <w:tcMar>
              <w:top w:w="16" w:type="dxa"/>
              <w:left w:w="16" w:type="dxa"/>
              <w:right w:w="16" w:type="dxa"/>
            </w:tcMar>
            <w:vAlign w:val="center"/>
          </w:tcPr>
          <w:p w14:paraId="7C05F0DE">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总投资（万元）</w:t>
            </w:r>
          </w:p>
        </w:tc>
        <w:tc>
          <w:tcPr>
            <w:tcW w:w="1039" w:type="pct"/>
            <w:noWrap w:val="0"/>
            <w:vAlign w:val="center"/>
          </w:tcPr>
          <w:p w14:paraId="48806391">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170</w:t>
            </w:r>
          </w:p>
        </w:tc>
        <w:tc>
          <w:tcPr>
            <w:tcW w:w="1286" w:type="pct"/>
            <w:noWrap w:val="0"/>
            <w:tcMar>
              <w:top w:w="16" w:type="dxa"/>
              <w:left w:w="16" w:type="dxa"/>
              <w:right w:w="16" w:type="dxa"/>
            </w:tcMar>
            <w:vAlign w:val="center"/>
          </w:tcPr>
          <w:p w14:paraId="132A0367">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环保投资（万元）</w:t>
            </w:r>
          </w:p>
        </w:tc>
        <w:tc>
          <w:tcPr>
            <w:tcW w:w="1953" w:type="pct"/>
            <w:noWrap w:val="0"/>
            <w:vAlign w:val="center"/>
          </w:tcPr>
          <w:p w14:paraId="21DDA9B3">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32</w:t>
            </w:r>
          </w:p>
        </w:tc>
      </w:tr>
      <w:tr w14:paraId="27C9CA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1" w:type="pct"/>
            <w:gridSpan w:val="2"/>
            <w:noWrap w:val="0"/>
            <w:tcMar>
              <w:top w:w="16" w:type="dxa"/>
              <w:left w:w="16" w:type="dxa"/>
              <w:right w:w="16" w:type="dxa"/>
            </w:tcMar>
            <w:vAlign w:val="center"/>
          </w:tcPr>
          <w:p w14:paraId="195396C6">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环保投资占比（%）</w:t>
            </w:r>
          </w:p>
        </w:tc>
        <w:tc>
          <w:tcPr>
            <w:tcW w:w="1039" w:type="pct"/>
            <w:noWrap w:val="0"/>
            <w:vAlign w:val="center"/>
          </w:tcPr>
          <w:p w14:paraId="611ABA92">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18.8</w:t>
            </w:r>
          </w:p>
        </w:tc>
        <w:tc>
          <w:tcPr>
            <w:tcW w:w="1286" w:type="pct"/>
            <w:noWrap w:val="0"/>
            <w:tcMar>
              <w:top w:w="16" w:type="dxa"/>
              <w:left w:w="16" w:type="dxa"/>
              <w:right w:w="16" w:type="dxa"/>
            </w:tcMar>
            <w:vAlign w:val="center"/>
          </w:tcPr>
          <w:p w14:paraId="52D97537">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施工工期</w:t>
            </w:r>
          </w:p>
        </w:tc>
        <w:tc>
          <w:tcPr>
            <w:tcW w:w="1953" w:type="pct"/>
            <w:noWrap w:val="0"/>
            <w:vAlign w:val="center"/>
          </w:tcPr>
          <w:p w14:paraId="1AA6136C">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月</w:t>
            </w:r>
          </w:p>
        </w:tc>
      </w:tr>
      <w:tr w14:paraId="0F159C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1" w:type="pct"/>
            <w:gridSpan w:val="2"/>
            <w:noWrap w:val="0"/>
            <w:tcMar>
              <w:top w:w="16" w:type="dxa"/>
              <w:left w:w="16" w:type="dxa"/>
              <w:right w:w="16" w:type="dxa"/>
            </w:tcMar>
            <w:vAlign w:val="center"/>
          </w:tcPr>
          <w:p w14:paraId="68F40225">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是否开工建设</w:t>
            </w:r>
          </w:p>
        </w:tc>
        <w:tc>
          <w:tcPr>
            <w:tcW w:w="1039" w:type="pct"/>
            <w:noWrap w:val="0"/>
            <w:vAlign w:val="center"/>
          </w:tcPr>
          <w:p w14:paraId="6EAC927C">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否</w:t>
            </w:r>
          </w:p>
          <w:p w14:paraId="6069AB0B">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是：</w:t>
            </w:r>
            <w:r>
              <w:rPr>
                <w:rFonts w:hint="default" w:ascii="Times New Roman" w:hAnsi="Times New Roman" w:eastAsia="宋体" w:cs="Times New Roman"/>
                <w:color w:val="auto"/>
                <w:sz w:val="24"/>
                <w:szCs w:val="24"/>
                <w:u w:val="single"/>
                <w:lang w:val="en-US" w:eastAsia="zh-CN"/>
              </w:rPr>
              <w:t xml:space="preserve">       </w:t>
            </w:r>
          </w:p>
        </w:tc>
        <w:tc>
          <w:tcPr>
            <w:tcW w:w="1286" w:type="pct"/>
            <w:noWrap w:val="0"/>
            <w:tcMar>
              <w:top w:w="16" w:type="dxa"/>
              <w:left w:w="16" w:type="dxa"/>
              <w:right w:w="16" w:type="dxa"/>
            </w:tcMar>
            <w:vAlign w:val="center"/>
          </w:tcPr>
          <w:p w14:paraId="7B7435B2">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用地（用海）面积（m</w:t>
            </w:r>
            <w:r>
              <w:rPr>
                <w:rFonts w:hint="default" w:ascii="Times New Roman" w:hAnsi="Times New Roman" w:eastAsia="宋体" w:cs="Times New Roman"/>
                <w:color w:val="auto"/>
                <w:spacing w:val="-6"/>
                <w:sz w:val="24"/>
                <w:szCs w:val="24"/>
                <w:vertAlign w:val="superscript"/>
              </w:rPr>
              <w:t>2</w:t>
            </w:r>
            <w:r>
              <w:rPr>
                <w:rFonts w:hint="default" w:ascii="Times New Roman" w:hAnsi="Times New Roman" w:eastAsia="宋体" w:cs="Times New Roman"/>
                <w:color w:val="auto"/>
                <w:spacing w:val="-6"/>
                <w:sz w:val="24"/>
                <w:szCs w:val="24"/>
              </w:rPr>
              <w:t>）</w:t>
            </w:r>
          </w:p>
        </w:tc>
        <w:tc>
          <w:tcPr>
            <w:tcW w:w="1953" w:type="pct"/>
            <w:noWrap w:val="0"/>
            <w:vAlign w:val="center"/>
          </w:tcPr>
          <w:p w14:paraId="78BC05B1">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41355</w:t>
            </w:r>
          </w:p>
        </w:tc>
      </w:tr>
      <w:tr w14:paraId="6865E8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pct"/>
            <w:noWrap w:val="0"/>
            <w:vAlign w:val="center"/>
          </w:tcPr>
          <w:p w14:paraId="61CCE2CF">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专项评价设置情况</w:t>
            </w:r>
          </w:p>
        </w:tc>
        <w:tc>
          <w:tcPr>
            <w:tcW w:w="4562" w:type="pct"/>
            <w:gridSpan w:val="4"/>
            <w:noWrap w:val="0"/>
            <w:vAlign w:val="center"/>
          </w:tcPr>
          <w:p w14:paraId="15125890">
            <w:pPr>
              <w:keepNext w:val="0"/>
              <w:keepLines w:val="0"/>
              <w:pageBreakBefore w:val="0"/>
              <w:suppressLineNumbers w:val="0"/>
              <w:kinsoku/>
              <w:wordWrap/>
              <w:overflowPunct/>
              <w:bidi w:val="0"/>
              <w:adjustRightInd w:val="0"/>
              <w:snapToGrid w:val="0"/>
              <w:spacing w:before="0" w:beforeAutospacing="0" w:after="0" w:afterAutospacing="0" w:line="240" w:lineRule="auto"/>
              <w:ind w:left="0" w:leftChars="0" w:right="0" w:firstLine="422" w:firstLineChars="200"/>
              <w:jc w:val="center"/>
              <w:textAlignment w:val="auto"/>
              <w:rPr>
                <w:rFonts w:hint="default"/>
                <w:b/>
                <w:bCs/>
                <w:color w:val="auto"/>
                <w:lang w:val="en-US" w:eastAsia="zh-CN"/>
              </w:rPr>
            </w:pPr>
            <w:r>
              <w:rPr>
                <w:rFonts w:hint="eastAsia"/>
                <w:b/>
                <w:bCs/>
                <w:color w:val="auto"/>
                <w:lang w:val="en-US" w:eastAsia="zh-CN"/>
              </w:rPr>
              <w:t>表1-1  专项评价设置情况一览表</w:t>
            </w:r>
          </w:p>
          <w:tbl>
            <w:tblPr>
              <w:tblStyle w:val="2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15"/>
              <w:gridCol w:w="3900"/>
              <w:gridCol w:w="2174"/>
              <w:gridCol w:w="790"/>
            </w:tblGrid>
            <w:tr w14:paraId="2DC005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15" w:type="dxa"/>
                  <w:tcBorders>
                    <w:tl2br w:val="nil"/>
                    <w:tr2bl w:val="nil"/>
                  </w:tcBorders>
                  <w:noWrap w:val="0"/>
                  <w:tcMar>
                    <w:top w:w="0" w:type="dxa"/>
                    <w:left w:w="51" w:type="dxa"/>
                    <w:bottom w:w="0" w:type="dxa"/>
                    <w:right w:w="51" w:type="dxa"/>
                  </w:tcMar>
                  <w:vAlign w:val="center"/>
                </w:tcPr>
                <w:p w14:paraId="4DA09AC0">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专项评价的类别</w:t>
                  </w:r>
                </w:p>
              </w:tc>
              <w:tc>
                <w:tcPr>
                  <w:tcW w:w="3900" w:type="dxa"/>
                  <w:tcBorders>
                    <w:tl2br w:val="nil"/>
                    <w:tr2bl w:val="nil"/>
                  </w:tcBorders>
                  <w:noWrap w:val="0"/>
                  <w:tcMar>
                    <w:top w:w="0" w:type="dxa"/>
                    <w:left w:w="51" w:type="dxa"/>
                    <w:bottom w:w="0" w:type="dxa"/>
                    <w:right w:w="51" w:type="dxa"/>
                  </w:tcMar>
                  <w:vAlign w:val="center"/>
                </w:tcPr>
                <w:p w14:paraId="6BF6ACE6">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设置原则</w:t>
                  </w:r>
                </w:p>
              </w:tc>
              <w:tc>
                <w:tcPr>
                  <w:tcW w:w="2174" w:type="dxa"/>
                  <w:tcBorders>
                    <w:tl2br w:val="nil"/>
                    <w:tr2bl w:val="nil"/>
                  </w:tcBorders>
                  <w:noWrap w:val="0"/>
                  <w:tcMar>
                    <w:top w:w="0" w:type="dxa"/>
                    <w:left w:w="51" w:type="dxa"/>
                    <w:bottom w:w="0" w:type="dxa"/>
                    <w:right w:w="51" w:type="dxa"/>
                  </w:tcMar>
                  <w:vAlign w:val="center"/>
                </w:tcPr>
                <w:p w14:paraId="751DA28C">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本项目情况</w:t>
                  </w:r>
                </w:p>
              </w:tc>
              <w:tc>
                <w:tcPr>
                  <w:tcW w:w="790" w:type="dxa"/>
                  <w:tcBorders>
                    <w:tl2br w:val="nil"/>
                    <w:tr2bl w:val="nil"/>
                  </w:tcBorders>
                  <w:noWrap w:val="0"/>
                  <w:tcMar>
                    <w:top w:w="0" w:type="dxa"/>
                    <w:left w:w="51" w:type="dxa"/>
                    <w:bottom w:w="0" w:type="dxa"/>
                    <w:right w:w="51" w:type="dxa"/>
                  </w:tcMar>
                  <w:vAlign w:val="center"/>
                </w:tcPr>
                <w:p w14:paraId="2FF9AECF">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专项评价设置情况</w:t>
                  </w:r>
                </w:p>
              </w:tc>
            </w:tr>
            <w:tr w14:paraId="456FA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5" w:type="dxa"/>
                  <w:tcBorders>
                    <w:tl2br w:val="nil"/>
                    <w:tr2bl w:val="nil"/>
                  </w:tcBorders>
                  <w:noWrap w:val="0"/>
                  <w:tcMar>
                    <w:top w:w="0" w:type="dxa"/>
                    <w:left w:w="51" w:type="dxa"/>
                    <w:bottom w:w="0" w:type="dxa"/>
                    <w:right w:w="51" w:type="dxa"/>
                  </w:tcMar>
                  <w:vAlign w:val="center"/>
                </w:tcPr>
                <w:p w14:paraId="218499BB">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w:t>
                  </w:r>
                </w:p>
              </w:tc>
              <w:tc>
                <w:tcPr>
                  <w:tcW w:w="3900" w:type="dxa"/>
                  <w:tcBorders>
                    <w:tl2br w:val="nil"/>
                    <w:tr2bl w:val="nil"/>
                  </w:tcBorders>
                  <w:noWrap w:val="0"/>
                  <w:tcMar>
                    <w:top w:w="0" w:type="dxa"/>
                    <w:left w:w="51" w:type="dxa"/>
                    <w:bottom w:w="0" w:type="dxa"/>
                    <w:right w:w="51" w:type="dxa"/>
                  </w:tcMar>
                  <w:vAlign w:val="center"/>
                </w:tcPr>
                <w:p w14:paraId="44948C3E">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排放废气含有毒有害污染物、二噁英、苯并[</w:t>
                  </w:r>
                  <w:r>
                    <w:rPr>
                      <w:rFonts w:hint="default" w:ascii="Times New Roman" w:hAnsi="Times New Roman" w:eastAsia="宋体" w:cs="Times New Roman"/>
                      <w:i/>
                      <w:color w:val="auto"/>
                      <w:sz w:val="21"/>
                      <w:szCs w:val="21"/>
                      <w:highlight w:val="none"/>
                    </w:rPr>
                    <w:t>a</w:t>
                  </w:r>
                  <w:r>
                    <w:rPr>
                      <w:rFonts w:hint="default" w:ascii="Times New Roman" w:hAnsi="Times New Roman" w:eastAsia="宋体" w:cs="Times New Roman"/>
                      <w:color w:val="auto"/>
                      <w:sz w:val="21"/>
                      <w:szCs w:val="21"/>
                      <w:highlight w:val="none"/>
                    </w:rPr>
                    <w:t>]芘、氰化物、氯气且厂界外500米范围内有环境空气保护目标的建设项目</w:t>
                  </w:r>
                </w:p>
              </w:tc>
              <w:tc>
                <w:tcPr>
                  <w:tcW w:w="2174" w:type="dxa"/>
                  <w:tcBorders>
                    <w:tl2br w:val="nil"/>
                    <w:tr2bl w:val="nil"/>
                  </w:tcBorders>
                  <w:noWrap w:val="0"/>
                  <w:tcMar>
                    <w:top w:w="0" w:type="dxa"/>
                    <w:left w:w="51" w:type="dxa"/>
                    <w:bottom w:w="0" w:type="dxa"/>
                    <w:right w:w="51" w:type="dxa"/>
                  </w:tcMar>
                  <w:vAlign w:val="center"/>
                </w:tcPr>
                <w:p w14:paraId="5D7AD23C">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本项目废气主要为颗粒物、非甲烷总烃、氨等废气</w:t>
                  </w:r>
                  <w:r>
                    <w:rPr>
                      <w:rFonts w:hint="default" w:ascii="Times New Roman" w:hAnsi="Times New Roman" w:eastAsia="宋体" w:cs="Times New Roman"/>
                      <w:color w:val="auto"/>
                      <w:sz w:val="21"/>
                      <w:szCs w:val="21"/>
                      <w:highlight w:val="none"/>
                      <w:lang w:val="en-US" w:eastAsia="zh-CN"/>
                    </w:rPr>
                    <w:t>无</w:t>
                  </w:r>
                  <w:r>
                    <w:rPr>
                      <w:rFonts w:hint="default" w:ascii="Times New Roman" w:hAnsi="Times New Roman" w:eastAsia="宋体" w:cs="Times New Roman"/>
                      <w:color w:val="auto"/>
                      <w:sz w:val="21"/>
                      <w:szCs w:val="21"/>
                      <w:highlight w:val="none"/>
                    </w:rPr>
                    <w:t>有毒有害污染物、二噁英、苯并[</w:t>
                  </w:r>
                  <w:r>
                    <w:rPr>
                      <w:rFonts w:hint="default" w:ascii="Times New Roman" w:hAnsi="Times New Roman" w:eastAsia="宋体" w:cs="Times New Roman"/>
                      <w:i/>
                      <w:color w:val="auto"/>
                      <w:sz w:val="21"/>
                      <w:szCs w:val="21"/>
                      <w:highlight w:val="none"/>
                    </w:rPr>
                    <w:t>a</w:t>
                  </w:r>
                  <w:r>
                    <w:rPr>
                      <w:rFonts w:hint="default" w:ascii="Times New Roman" w:hAnsi="Times New Roman" w:eastAsia="宋体" w:cs="Times New Roman"/>
                      <w:color w:val="auto"/>
                      <w:sz w:val="21"/>
                      <w:szCs w:val="21"/>
                      <w:highlight w:val="none"/>
                    </w:rPr>
                    <w:t>]芘、氰化物、氯气</w:t>
                  </w:r>
                  <w:r>
                    <w:rPr>
                      <w:rFonts w:hint="default" w:ascii="Times New Roman" w:hAnsi="Times New Roman" w:eastAsia="宋体" w:cs="Times New Roman"/>
                      <w:color w:val="auto"/>
                      <w:sz w:val="21"/>
                      <w:szCs w:val="21"/>
                      <w:highlight w:val="none"/>
                      <w:lang w:val="en-US" w:eastAsia="zh-CN"/>
                    </w:rPr>
                    <w:t>排放</w:t>
                  </w:r>
                </w:p>
              </w:tc>
              <w:tc>
                <w:tcPr>
                  <w:tcW w:w="790" w:type="dxa"/>
                  <w:tcBorders>
                    <w:tl2br w:val="nil"/>
                    <w:tr2bl w:val="nil"/>
                  </w:tcBorders>
                  <w:noWrap w:val="0"/>
                  <w:tcMar>
                    <w:top w:w="0" w:type="dxa"/>
                    <w:left w:w="51" w:type="dxa"/>
                    <w:bottom w:w="0" w:type="dxa"/>
                    <w:right w:w="51" w:type="dxa"/>
                  </w:tcMar>
                  <w:vAlign w:val="center"/>
                </w:tcPr>
                <w:p w14:paraId="7815B608">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w:t>
                  </w:r>
                </w:p>
              </w:tc>
            </w:tr>
            <w:tr w14:paraId="40EAD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5" w:type="dxa"/>
                  <w:tcBorders>
                    <w:tl2br w:val="nil"/>
                    <w:tr2bl w:val="nil"/>
                  </w:tcBorders>
                  <w:noWrap w:val="0"/>
                  <w:tcMar>
                    <w:top w:w="0" w:type="dxa"/>
                    <w:left w:w="51" w:type="dxa"/>
                    <w:bottom w:w="0" w:type="dxa"/>
                    <w:right w:w="51" w:type="dxa"/>
                  </w:tcMar>
                  <w:vAlign w:val="center"/>
                </w:tcPr>
                <w:p w14:paraId="106CEC16">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w:t>
                  </w:r>
                </w:p>
              </w:tc>
              <w:tc>
                <w:tcPr>
                  <w:tcW w:w="3900" w:type="dxa"/>
                  <w:tcBorders>
                    <w:tl2br w:val="nil"/>
                    <w:tr2bl w:val="nil"/>
                  </w:tcBorders>
                  <w:noWrap w:val="0"/>
                  <w:tcMar>
                    <w:top w:w="0" w:type="dxa"/>
                    <w:left w:w="51" w:type="dxa"/>
                    <w:bottom w:w="0" w:type="dxa"/>
                    <w:right w:w="51" w:type="dxa"/>
                  </w:tcMar>
                  <w:vAlign w:val="center"/>
                </w:tcPr>
                <w:p w14:paraId="753882CF">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新增工业废水直排建设项目（槽罐车外送污水处理厂的除外）；新增废水直排的污水集中处理厂</w:t>
                  </w:r>
                </w:p>
              </w:tc>
              <w:tc>
                <w:tcPr>
                  <w:tcW w:w="2174" w:type="dxa"/>
                  <w:tcBorders>
                    <w:tl2br w:val="nil"/>
                    <w:tr2bl w:val="nil"/>
                  </w:tcBorders>
                  <w:noWrap w:val="0"/>
                  <w:tcMar>
                    <w:top w:w="0" w:type="dxa"/>
                    <w:left w:w="51" w:type="dxa"/>
                    <w:bottom w:w="0" w:type="dxa"/>
                    <w:right w:w="51" w:type="dxa"/>
                  </w:tcMar>
                  <w:vAlign w:val="center"/>
                </w:tcPr>
                <w:p w14:paraId="48B4A03D">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本项目生产废水</w:t>
                  </w:r>
                  <w:r>
                    <w:rPr>
                      <w:rFonts w:hint="eastAsia" w:cs="Times New Roman"/>
                      <w:color w:val="auto"/>
                      <w:sz w:val="21"/>
                      <w:szCs w:val="21"/>
                      <w:highlight w:val="none"/>
                      <w:lang w:val="en-US" w:eastAsia="zh-CN"/>
                    </w:rPr>
                    <w:t>经自建污水处理系统处理后进入园区污水管网，</w:t>
                  </w:r>
                  <w:r>
                    <w:rPr>
                      <w:rFonts w:hint="default" w:ascii="Times New Roman" w:hAnsi="Times New Roman" w:eastAsia="宋体" w:cs="Times New Roman"/>
                      <w:color w:val="auto"/>
                      <w:sz w:val="21"/>
                      <w:szCs w:val="21"/>
                      <w:highlight w:val="none"/>
                      <w:lang w:val="en-US" w:eastAsia="zh-CN"/>
                    </w:rPr>
                    <w:t>不外排</w:t>
                  </w:r>
                </w:p>
              </w:tc>
              <w:tc>
                <w:tcPr>
                  <w:tcW w:w="790" w:type="dxa"/>
                  <w:tcBorders>
                    <w:tl2br w:val="nil"/>
                    <w:tr2bl w:val="nil"/>
                  </w:tcBorders>
                  <w:noWrap w:val="0"/>
                  <w:tcMar>
                    <w:top w:w="0" w:type="dxa"/>
                    <w:left w:w="51" w:type="dxa"/>
                    <w:bottom w:w="0" w:type="dxa"/>
                    <w:right w:w="51" w:type="dxa"/>
                  </w:tcMar>
                  <w:vAlign w:val="center"/>
                </w:tcPr>
                <w:p w14:paraId="0F7926AF">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w:t>
                  </w:r>
                </w:p>
              </w:tc>
            </w:tr>
            <w:tr w14:paraId="0E97E8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5" w:type="dxa"/>
                  <w:tcBorders>
                    <w:tl2br w:val="nil"/>
                    <w:tr2bl w:val="nil"/>
                  </w:tcBorders>
                  <w:noWrap w:val="0"/>
                  <w:tcMar>
                    <w:top w:w="0" w:type="dxa"/>
                    <w:left w:w="51" w:type="dxa"/>
                    <w:bottom w:w="0" w:type="dxa"/>
                    <w:right w:w="51" w:type="dxa"/>
                  </w:tcMar>
                  <w:vAlign w:val="center"/>
                </w:tcPr>
                <w:p w14:paraId="5F7B148D">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w:t>
                  </w:r>
                </w:p>
              </w:tc>
              <w:tc>
                <w:tcPr>
                  <w:tcW w:w="3900" w:type="dxa"/>
                  <w:tcBorders>
                    <w:tl2br w:val="nil"/>
                    <w:tr2bl w:val="nil"/>
                  </w:tcBorders>
                  <w:noWrap w:val="0"/>
                  <w:tcMar>
                    <w:top w:w="0" w:type="dxa"/>
                    <w:left w:w="51" w:type="dxa"/>
                    <w:bottom w:w="0" w:type="dxa"/>
                    <w:right w:w="51" w:type="dxa"/>
                  </w:tcMar>
                  <w:vAlign w:val="center"/>
                </w:tcPr>
                <w:p w14:paraId="1160F98D">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有毒有害和易燃易爆危险物质存储量超过临界量的建设项目</w:t>
                  </w:r>
                </w:p>
              </w:tc>
              <w:tc>
                <w:tcPr>
                  <w:tcW w:w="2174" w:type="dxa"/>
                  <w:tcBorders>
                    <w:tl2br w:val="nil"/>
                    <w:tr2bl w:val="nil"/>
                  </w:tcBorders>
                  <w:noWrap w:val="0"/>
                  <w:tcMar>
                    <w:top w:w="0" w:type="dxa"/>
                    <w:left w:w="51" w:type="dxa"/>
                    <w:bottom w:w="0" w:type="dxa"/>
                    <w:right w:w="51" w:type="dxa"/>
                  </w:tcMar>
                  <w:vAlign w:val="center"/>
                </w:tcPr>
                <w:p w14:paraId="71DFA2B4">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w:t>
                  </w:r>
                  <w:r>
                    <w:rPr>
                      <w:rFonts w:hint="eastAsia" w:ascii="Times New Roman" w:hAnsi="Times New Roman" w:cs="Times New Roman"/>
                      <w:color w:val="auto"/>
                      <w:sz w:val="21"/>
                      <w:szCs w:val="21"/>
                      <w:highlight w:val="none"/>
                      <w:lang w:val="en-US" w:eastAsia="zh-CN"/>
                    </w:rPr>
                    <w:t>无</w:t>
                  </w:r>
                  <w:r>
                    <w:rPr>
                      <w:rFonts w:hint="default" w:ascii="Times New Roman" w:hAnsi="Times New Roman" w:eastAsia="宋体" w:cs="Times New Roman"/>
                      <w:color w:val="auto"/>
                      <w:sz w:val="21"/>
                      <w:szCs w:val="21"/>
                      <w:highlight w:val="none"/>
                    </w:rPr>
                    <w:t>有毒有害</w:t>
                  </w:r>
                  <w:r>
                    <w:rPr>
                      <w:rFonts w:hint="eastAsia" w:cs="Times New Roman"/>
                      <w:color w:val="auto"/>
                      <w:sz w:val="21"/>
                      <w:szCs w:val="21"/>
                      <w:highlight w:val="none"/>
                      <w:lang w:eastAsia="zh-CN"/>
                    </w:rPr>
                    <w:t>物质产生，</w:t>
                  </w:r>
                  <w:r>
                    <w:rPr>
                      <w:rFonts w:hint="default" w:ascii="Times New Roman" w:hAnsi="Times New Roman" w:eastAsia="宋体" w:cs="Times New Roman"/>
                      <w:color w:val="auto"/>
                      <w:sz w:val="21"/>
                      <w:szCs w:val="21"/>
                      <w:highlight w:val="none"/>
                    </w:rPr>
                    <w:t>易燃易爆危险物质存储量</w:t>
                  </w:r>
                  <w:r>
                    <w:rPr>
                      <w:rFonts w:hint="default" w:ascii="Times New Roman" w:hAnsi="Times New Roman" w:eastAsia="宋体" w:cs="Times New Roman"/>
                      <w:color w:val="auto"/>
                      <w:sz w:val="21"/>
                      <w:szCs w:val="21"/>
                      <w:highlight w:val="none"/>
                      <w:lang w:val="en-US" w:eastAsia="zh-CN"/>
                    </w:rPr>
                    <w:t>未</w:t>
                  </w:r>
                  <w:r>
                    <w:rPr>
                      <w:rFonts w:hint="default" w:ascii="Times New Roman" w:hAnsi="Times New Roman" w:eastAsia="宋体" w:cs="Times New Roman"/>
                      <w:color w:val="auto"/>
                      <w:sz w:val="21"/>
                      <w:szCs w:val="21"/>
                      <w:highlight w:val="none"/>
                    </w:rPr>
                    <w:t>超过临界量</w:t>
                  </w:r>
                </w:p>
              </w:tc>
              <w:tc>
                <w:tcPr>
                  <w:tcW w:w="790" w:type="dxa"/>
                  <w:tcBorders>
                    <w:tl2br w:val="nil"/>
                    <w:tr2bl w:val="nil"/>
                  </w:tcBorders>
                  <w:noWrap w:val="0"/>
                  <w:tcMar>
                    <w:top w:w="0" w:type="dxa"/>
                    <w:left w:w="51" w:type="dxa"/>
                    <w:bottom w:w="0" w:type="dxa"/>
                    <w:right w:w="51" w:type="dxa"/>
                  </w:tcMar>
                  <w:vAlign w:val="center"/>
                </w:tcPr>
                <w:p w14:paraId="48458EB0">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w:t>
                  </w:r>
                </w:p>
              </w:tc>
            </w:tr>
            <w:tr w14:paraId="34A9E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5" w:type="dxa"/>
                  <w:tcBorders>
                    <w:tl2br w:val="nil"/>
                    <w:tr2bl w:val="nil"/>
                  </w:tcBorders>
                  <w:noWrap w:val="0"/>
                  <w:tcMar>
                    <w:top w:w="0" w:type="dxa"/>
                    <w:left w:w="51" w:type="dxa"/>
                    <w:bottom w:w="0" w:type="dxa"/>
                    <w:right w:w="51" w:type="dxa"/>
                  </w:tcMar>
                  <w:vAlign w:val="center"/>
                </w:tcPr>
                <w:p w14:paraId="7E733E38">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w:t>
                  </w:r>
                </w:p>
              </w:tc>
              <w:tc>
                <w:tcPr>
                  <w:tcW w:w="3900" w:type="dxa"/>
                  <w:tcBorders>
                    <w:tl2br w:val="nil"/>
                    <w:tr2bl w:val="nil"/>
                  </w:tcBorders>
                  <w:noWrap w:val="0"/>
                  <w:tcMar>
                    <w:top w:w="0" w:type="dxa"/>
                    <w:left w:w="51" w:type="dxa"/>
                    <w:bottom w:w="0" w:type="dxa"/>
                    <w:right w:w="51" w:type="dxa"/>
                  </w:tcMar>
                  <w:vAlign w:val="center"/>
                </w:tcPr>
                <w:p w14:paraId="69063FAB">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取水口下游500米范围内有重要水生生物的自然产卵场、索饵场、越冬场和洄游通道的新增河道取水的污染类建设项目</w:t>
                  </w:r>
                </w:p>
              </w:tc>
              <w:tc>
                <w:tcPr>
                  <w:tcW w:w="2174" w:type="dxa"/>
                  <w:tcBorders>
                    <w:tl2br w:val="nil"/>
                    <w:tr2bl w:val="nil"/>
                  </w:tcBorders>
                  <w:noWrap w:val="0"/>
                  <w:tcMar>
                    <w:top w:w="0" w:type="dxa"/>
                    <w:left w:w="51" w:type="dxa"/>
                    <w:bottom w:w="0" w:type="dxa"/>
                    <w:right w:w="51" w:type="dxa"/>
                  </w:tcMar>
                  <w:vAlign w:val="center"/>
                </w:tcPr>
                <w:p w14:paraId="37AACA94">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项目无取水口</w:t>
                  </w:r>
                </w:p>
              </w:tc>
              <w:tc>
                <w:tcPr>
                  <w:tcW w:w="790" w:type="dxa"/>
                  <w:tcBorders>
                    <w:tl2br w:val="nil"/>
                    <w:tr2bl w:val="nil"/>
                  </w:tcBorders>
                  <w:noWrap w:val="0"/>
                  <w:tcMar>
                    <w:top w:w="0" w:type="dxa"/>
                    <w:left w:w="51" w:type="dxa"/>
                    <w:bottom w:w="0" w:type="dxa"/>
                    <w:right w:w="51" w:type="dxa"/>
                  </w:tcMar>
                  <w:vAlign w:val="center"/>
                </w:tcPr>
                <w:p w14:paraId="0BA224EC">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w:t>
                  </w:r>
                </w:p>
              </w:tc>
            </w:tr>
            <w:tr w14:paraId="63CBF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5" w:type="dxa"/>
                  <w:tcBorders>
                    <w:tl2br w:val="nil"/>
                    <w:tr2bl w:val="nil"/>
                  </w:tcBorders>
                  <w:noWrap w:val="0"/>
                  <w:tcMar>
                    <w:top w:w="0" w:type="dxa"/>
                    <w:left w:w="51" w:type="dxa"/>
                    <w:bottom w:w="0" w:type="dxa"/>
                    <w:right w:w="51" w:type="dxa"/>
                  </w:tcMar>
                  <w:vAlign w:val="center"/>
                </w:tcPr>
                <w:p w14:paraId="0618B7ED">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海洋</w:t>
                  </w:r>
                </w:p>
              </w:tc>
              <w:tc>
                <w:tcPr>
                  <w:tcW w:w="3900" w:type="dxa"/>
                  <w:tcBorders>
                    <w:tl2br w:val="nil"/>
                    <w:tr2bl w:val="nil"/>
                  </w:tcBorders>
                  <w:noWrap w:val="0"/>
                  <w:tcMar>
                    <w:top w:w="0" w:type="dxa"/>
                    <w:left w:w="51" w:type="dxa"/>
                    <w:bottom w:w="0" w:type="dxa"/>
                    <w:right w:w="51" w:type="dxa"/>
                  </w:tcMar>
                  <w:vAlign w:val="center"/>
                </w:tcPr>
                <w:p w14:paraId="723A1F74">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直接向海排放污染物的海洋工程建设项目</w:t>
                  </w:r>
                </w:p>
              </w:tc>
              <w:tc>
                <w:tcPr>
                  <w:tcW w:w="2174" w:type="dxa"/>
                  <w:tcBorders>
                    <w:tl2br w:val="nil"/>
                    <w:tr2bl w:val="nil"/>
                  </w:tcBorders>
                  <w:noWrap w:val="0"/>
                  <w:tcMar>
                    <w:top w:w="0" w:type="dxa"/>
                    <w:left w:w="51" w:type="dxa"/>
                    <w:bottom w:w="0" w:type="dxa"/>
                    <w:right w:w="51" w:type="dxa"/>
                  </w:tcMar>
                  <w:vAlign w:val="center"/>
                </w:tcPr>
                <w:p w14:paraId="2AAC1B28">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w:t>
                  </w:r>
                  <w:r>
                    <w:rPr>
                      <w:rFonts w:hint="default" w:ascii="Times New Roman" w:hAnsi="Times New Roman" w:eastAsia="宋体" w:cs="Times New Roman"/>
                      <w:color w:val="auto"/>
                      <w:sz w:val="21"/>
                      <w:szCs w:val="21"/>
                      <w:highlight w:val="none"/>
                    </w:rPr>
                    <w:t>海洋工程建设项目</w:t>
                  </w:r>
                </w:p>
              </w:tc>
              <w:tc>
                <w:tcPr>
                  <w:tcW w:w="790" w:type="dxa"/>
                  <w:tcBorders>
                    <w:tl2br w:val="nil"/>
                    <w:tr2bl w:val="nil"/>
                  </w:tcBorders>
                  <w:noWrap w:val="0"/>
                  <w:tcMar>
                    <w:top w:w="0" w:type="dxa"/>
                    <w:left w:w="51" w:type="dxa"/>
                    <w:bottom w:w="0" w:type="dxa"/>
                    <w:right w:w="51" w:type="dxa"/>
                  </w:tcMar>
                  <w:vAlign w:val="center"/>
                </w:tcPr>
                <w:p w14:paraId="338CA76C">
                  <w:pPr>
                    <w:keepNext w:val="0"/>
                    <w:keepLines w:val="0"/>
                    <w:pageBreakBefore w:val="0"/>
                    <w:suppressLineNumbers w:val="0"/>
                    <w:kinsoku/>
                    <w:wordWrap/>
                    <w:overflowPunct/>
                    <w:topLine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w:t>
                  </w:r>
                </w:p>
              </w:tc>
            </w:tr>
          </w:tbl>
          <w:p w14:paraId="43851EFD">
            <w:pPr>
              <w:pStyle w:val="12"/>
              <w:keepNext w:val="0"/>
              <w:keepLines w:val="0"/>
              <w:pageBreakBefore w:val="0"/>
              <w:suppressLineNumbers w:val="0"/>
              <w:kinsoku/>
              <w:wordWrap/>
              <w:overflowPunct/>
              <w:bidi w:val="0"/>
              <w:snapToGrid w:val="0"/>
              <w:spacing w:beforeAutospacing="0" w:afterAutospacing="0"/>
              <w:ind w:left="0" w:leftChars="0" w:right="0" w:firstLine="480" w:firstLineChars="200"/>
              <w:textAlignment w:val="auto"/>
              <w:rPr>
                <w:rFonts w:hint="default"/>
                <w:color w:val="auto"/>
                <w:lang w:val="en-US" w:eastAsia="zh-CN"/>
              </w:rPr>
            </w:pPr>
            <w:r>
              <w:rPr>
                <w:rFonts w:hint="eastAsia"/>
                <w:color w:val="auto"/>
                <w:sz w:val="24"/>
                <w:szCs w:val="24"/>
                <w:highlight w:val="none"/>
                <w:lang w:val="en-US" w:eastAsia="zh-CN"/>
              </w:rPr>
              <w:t>综上所述，本项目不设置专项评价。</w:t>
            </w:r>
          </w:p>
        </w:tc>
      </w:tr>
      <w:tr w14:paraId="0540F3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pct"/>
            <w:noWrap w:val="0"/>
            <w:vAlign w:val="center"/>
          </w:tcPr>
          <w:p w14:paraId="5905D95E">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规划情况</w:t>
            </w:r>
          </w:p>
        </w:tc>
        <w:tc>
          <w:tcPr>
            <w:tcW w:w="4562" w:type="pct"/>
            <w:gridSpan w:val="4"/>
            <w:noWrap w:val="0"/>
            <w:vAlign w:val="center"/>
          </w:tcPr>
          <w:p w14:paraId="43AC33ED">
            <w:pPr>
              <w:keepNext w:val="0"/>
              <w:keepLines w:val="0"/>
              <w:pageBreakBefore w:val="0"/>
              <w:suppressLineNumbers w:val="0"/>
              <w:kinsoku/>
              <w:wordWrap/>
              <w:overflowPunct/>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规划名称：富民工业园区总体规划修编（2015-2030）；</w:t>
            </w:r>
          </w:p>
          <w:p w14:paraId="322D8273">
            <w:pPr>
              <w:keepNext w:val="0"/>
              <w:keepLines w:val="0"/>
              <w:pageBreakBefore w:val="0"/>
              <w:suppressLineNumbers w:val="0"/>
              <w:kinsoku/>
              <w:wordWrap/>
              <w:overflowPunct/>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审批机关：昆明市工业和信息化委员会；</w:t>
            </w:r>
          </w:p>
          <w:p w14:paraId="4A639B6B">
            <w:pPr>
              <w:keepNext w:val="0"/>
              <w:keepLines w:val="0"/>
              <w:pageBreakBefore w:val="0"/>
              <w:suppressLineNumbers w:val="0"/>
              <w:kinsoku/>
              <w:wordWrap/>
              <w:overflowPunct/>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审批文件名称及文号：《关于实施&lt;富民工业园区总体规划修编（2015-2030）&gt;的意见》（昆工信发[2015]181号）。</w:t>
            </w:r>
          </w:p>
        </w:tc>
      </w:tr>
      <w:tr w14:paraId="049FC8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pct"/>
            <w:noWrap w:val="0"/>
            <w:vAlign w:val="center"/>
          </w:tcPr>
          <w:p w14:paraId="65D90A75">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规划环境影响</w:t>
            </w:r>
          </w:p>
          <w:p w14:paraId="5AE7CB52">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评价情况</w:t>
            </w:r>
          </w:p>
        </w:tc>
        <w:tc>
          <w:tcPr>
            <w:tcW w:w="4562" w:type="pct"/>
            <w:gridSpan w:val="4"/>
            <w:noWrap w:val="0"/>
            <w:vAlign w:val="center"/>
          </w:tcPr>
          <w:p w14:paraId="5A96F272">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文件名称：《富民工业园区总体规划修编（</w:t>
            </w:r>
            <w:r>
              <w:rPr>
                <w:rFonts w:hint="default" w:ascii="Times New Roman" w:hAnsi="Times New Roman" w:eastAsia="宋体" w:cs="Times New Roman"/>
                <w:color w:val="auto"/>
                <w:sz w:val="24"/>
                <w:szCs w:val="22"/>
                <w:highlight w:val="none"/>
                <w:lang w:val="en-US" w:eastAsia="zh-CN"/>
              </w:rPr>
              <w:t>2015-2030</w:t>
            </w:r>
            <w:r>
              <w:rPr>
                <w:rFonts w:hint="eastAsia" w:ascii="Times New Roman" w:hAnsi="Times New Roman" w:eastAsia="宋体" w:cs="Times New Roman"/>
                <w:color w:val="auto"/>
                <w:sz w:val="24"/>
                <w:szCs w:val="22"/>
                <w:highlight w:val="none"/>
                <w:lang w:val="en-US" w:eastAsia="zh-CN"/>
              </w:rPr>
              <w:t>）环境影响报告书》；</w:t>
            </w:r>
          </w:p>
          <w:p w14:paraId="327CFB9A">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审查机关：原云南省环境保护厅；</w:t>
            </w:r>
          </w:p>
          <w:p w14:paraId="4A742898">
            <w:pPr>
              <w:pStyle w:val="69"/>
              <w:keepNext w:val="0"/>
              <w:keepLines w:val="0"/>
              <w:pageBreakBefore w:val="0"/>
              <w:suppressLineNumbers w:val="0"/>
              <w:kinsoku/>
              <w:wordWrap/>
              <w:overflowPunct/>
              <w:bidi w:val="0"/>
              <w:adjustRightInd/>
              <w:snapToGrid w:val="0"/>
              <w:spacing w:before="0" w:beforeAutospacing="0" w:after="0" w:afterAutospacing="0"/>
              <w:ind w:left="0" w:leftChars="0" w:right="0" w:rightChars="0" w:firstLine="480" w:firstLineChars="200"/>
              <w:textAlignment w:val="auto"/>
              <w:rPr>
                <w:rFonts w:hint="default"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sz w:val="24"/>
                <w:szCs w:val="22"/>
                <w:highlight w:val="none"/>
                <w:lang w:val="en-US" w:eastAsia="zh-CN"/>
              </w:rPr>
              <w:t>审查文件名称及文号：云南省环境保护厅关于《富民工业园区总体规划修编（</w:t>
            </w:r>
            <w:r>
              <w:rPr>
                <w:rFonts w:hint="default" w:ascii="Times New Roman" w:hAnsi="Times New Roman" w:eastAsia="宋体" w:cs="Times New Roman"/>
                <w:color w:val="auto"/>
                <w:sz w:val="24"/>
                <w:szCs w:val="22"/>
                <w:highlight w:val="none"/>
                <w:lang w:val="en-US" w:eastAsia="zh-CN"/>
              </w:rPr>
              <w:t>2015-2030</w:t>
            </w:r>
            <w:r>
              <w:rPr>
                <w:rFonts w:hint="eastAsia" w:ascii="Times New Roman" w:hAnsi="Times New Roman" w:eastAsia="宋体" w:cs="Times New Roman"/>
                <w:color w:val="auto"/>
                <w:sz w:val="24"/>
                <w:szCs w:val="22"/>
                <w:highlight w:val="none"/>
                <w:lang w:val="en-US" w:eastAsia="zh-CN"/>
              </w:rPr>
              <w:t>）环境影响报告书》审查意见（云环审【</w:t>
            </w:r>
            <w:r>
              <w:rPr>
                <w:rFonts w:hint="default" w:ascii="Times New Roman" w:hAnsi="Times New Roman" w:eastAsia="宋体" w:cs="Times New Roman"/>
                <w:color w:val="auto"/>
                <w:sz w:val="24"/>
                <w:szCs w:val="22"/>
                <w:highlight w:val="none"/>
                <w:lang w:val="en-US" w:eastAsia="zh-CN"/>
              </w:rPr>
              <w:t>2016</w:t>
            </w: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10</w:t>
            </w:r>
            <w:r>
              <w:rPr>
                <w:rFonts w:hint="eastAsia" w:ascii="Times New Roman" w:hAnsi="Times New Roman" w:eastAsia="宋体" w:cs="Times New Roman"/>
                <w:color w:val="auto"/>
                <w:sz w:val="24"/>
                <w:szCs w:val="22"/>
                <w:highlight w:val="none"/>
                <w:lang w:val="en-US" w:eastAsia="zh-CN"/>
              </w:rPr>
              <w:t>号）。</w:t>
            </w:r>
          </w:p>
        </w:tc>
      </w:tr>
      <w:tr w14:paraId="07E2BD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pct"/>
            <w:noWrap w:val="0"/>
            <w:vAlign w:val="center"/>
          </w:tcPr>
          <w:p w14:paraId="13635324">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规划及规划环境</w:t>
            </w:r>
          </w:p>
          <w:p w14:paraId="77CEBA17">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影响评价符合性分析</w:t>
            </w:r>
          </w:p>
        </w:tc>
        <w:tc>
          <w:tcPr>
            <w:tcW w:w="4562" w:type="pct"/>
            <w:gridSpan w:val="4"/>
            <w:noWrap w:val="0"/>
            <w:vAlign w:val="center"/>
          </w:tcPr>
          <w:p w14:paraId="7CF73368">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2" w:firstLineChars="200"/>
              <w:textAlignment w:val="auto"/>
              <w:rPr>
                <w:rFonts w:hint="default" w:ascii="Times New Roman" w:hAnsi="Times New Roman" w:cs="Times New Roman"/>
                <w:b/>
                <w:bCs/>
                <w:color w:val="auto"/>
                <w:sz w:val="24"/>
                <w:szCs w:val="22"/>
                <w:highlight w:val="none"/>
              </w:rPr>
            </w:pPr>
            <w:r>
              <w:rPr>
                <w:rFonts w:hint="default" w:ascii="Times New Roman" w:hAnsi="Times New Roman" w:cs="Times New Roman"/>
                <w:b/>
                <w:bCs/>
                <w:color w:val="auto"/>
                <w:sz w:val="24"/>
                <w:szCs w:val="22"/>
                <w:highlight w:val="none"/>
              </w:rPr>
              <w:t>1、与</w:t>
            </w:r>
            <w:r>
              <w:rPr>
                <w:rFonts w:hint="eastAsia" w:ascii="Times New Roman" w:hAnsi="Times New Roman" w:eastAsia="宋体" w:cs="Times New Roman"/>
                <w:b/>
                <w:bCs/>
                <w:color w:val="auto"/>
                <w:sz w:val="24"/>
                <w:szCs w:val="22"/>
                <w:highlight w:val="none"/>
                <w:lang w:eastAsia="zh-CN"/>
              </w:rPr>
              <w:t>《</w:t>
            </w:r>
            <w:r>
              <w:rPr>
                <w:rFonts w:hint="eastAsia" w:ascii="Times New Roman" w:hAnsi="Times New Roman" w:eastAsia="宋体" w:cs="Times New Roman"/>
                <w:b/>
                <w:bCs/>
                <w:color w:val="auto"/>
                <w:sz w:val="24"/>
                <w:szCs w:val="22"/>
                <w:highlight w:val="none"/>
                <w:lang w:val="en-US" w:eastAsia="zh-CN"/>
              </w:rPr>
              <w:t>富民工业园区总体规划修编（</w:t>
            </w:r>
            <w:r>
              <w:rPr>
                <w:rFonts w:hint="default" w:ascii="Times New Roman" w:hAnsi="Times New Roman" w:eastAsia="宋体" w:cs="Times New Roman"/>
                <w:b/>
                <w:bCs/>
                <w:color w:val="auto"/>
                <w:sz w:val="24"/>
                <w:szCs w:val="22"/>
                <w:highlight w:val="none"/>
                <w:lang w:val="en-US" w:eastAsia="zh-CN"/>
              </w:rPr>
              <w:t>2015-2030</w:t>
            </w:r>
            <w:r>
              <w:rPr>
                <w:rFonts w:hint="eastAsia" w:ascii="Times New Roman" w:hAnsi="Times New Roman" w:eastAsia="宋体" w:cs="Times New Roman"/>
                <w:b/>
                <w:bCs/>
                <w:color w:val="auto"/>
                <w:sz w:val="24"/>
                <w:szCs w:val="22"/>
                <w:highlight w:val="none"/>
                <w:lang w:val="en-US" w:eastAsia="zh-CN"/>
              </w:rPr>
              <w:t>）</w:t>
            </w:r>
            <w:r>
              <w:rPr>
                <w:rFonts w:hint="eastAsia" w:ascii="Times New Roman" w:hAnsi="Times New Roman" w:eastAsia="宋体" w:cs="Times New Roman"/>
                <w:b/>
                <w:bCs/>
                <w:color w:val="auto"/>
                <w:sz w:val="24"/>
                <w:szCs w:val="22"/>
                <w:highlight w:val="none"/>
                <w:lang w:eastAsia="zh-CN"/>
              </w:rPr>
              <w:t>》</w:t>
            </w:r>
            <w:r>
              <w:rPr>
                <w:rFonts w:hint="default" w:ascii="Times New Roman" w:hAnsi="Times New Roman" w:cs="Times New Roman"/>
                <w:b/>
                <w:bCs/>
                <w:color w:val="auto"/>
                <w:sz w:val="24"/>
                <w:szCs w:val="22"/>
                <w:highlight w:val="none"/>
              </w:rPr>
              <w:t>符合性分析</w:t>
            </w:r>
          </w:p>
          <w:p w14:paraId="681B6E5A">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eastAsia" w:ascii="宋体" w:hAnsi="宋体" w:eastAsia="宋体" w:cs="宋体"/>
                <w:color w:val="auto"/>
                <w:kern w:val="0"/>
                <w:sz w:val="24"/>
                <w:szCs w:val="24"/>
                <w:highlight w:val="none"/>
                <w:lang w:val="en-US" w:eastAsia="zh-CN" w:bidi="ar"/>
              </w:rPr>
            </w:pPr>
            <w:r>
              <w:rPr>
                <w:rFonts w:hint="default" w:ascii="Times New Roman" w:hAnsi="Times New Roman" w:eastAsia="宋体" w:cs="Times New Roman"/>
                <w:color w:val="auto"/>
                <w:sz w:val="24"/>
                <w:szCs w:val="22"/>
                <w:highlight w:val="none"/>
                <w:lang w:val="en-US" w:eastAsia="zh-CN"/>
              </w:rPr>
              <w:t>根据</w:t>
            </w:r>
            <w:r>
              <w:rPr>
                <w:rFonts w:hint="default" w:ascii="Times New Roman" w:hAnsi="Times New Roman" w:cs="Times New Roman"/>
                <w:color w:val="auto"/>
                <w:sz w:val="24"/>
                <w:szCs w:val="22"/>
                <w:highlight w:val="none"/>
              </w:rPr>
              <w:t>《</w:t>
            </w:r>
            <w:r>
              <w:rPr>
                <w:rFonts w:hint="eastAsia" w:ascii="Times New Roman" w:hAnsi="Times New Roman" w:eastAsia="宋体" w:cs="Times New Roman"/>
                <w:color w:val="auto"/>
                <w:sz w:val="24"/>
                <w:szCs w:val="22"/>
                <w:highlight w:val="none"/>
                <w:lang w:val="en-US" w:eastAsia="zh-CN"/>
              </w:rPr>
              <w:t>富民工业园区总体规划修编（</w:t>
            </w:r>
            <w:r>
              <w:rPr>
                <w:rFonts w:hint="default" w:ascii="Times New Roman" w:hAnsi="Times New Roman" w:eastAsia="宋体" w:cs="Times New Roman"/>
                <w:color w:val="auto"/>
                <w:sz w:val="24"/>
                <w:szCs w:val="22"/>
                <w:highlight w:val="none"/>
                <w:lang w:val="en-US" w:eastAsia="zh-CN"/>
              </w:rPr>
              <w:t>2015-2030</w:t>
            </w: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cs="Times New Roman"/>
                <w:color w:val="auto"/>
                <w:sz w:val="24"/>
                <w:szCs w:val="22"/>
                <w:highlight w:val="none"/>
              </w:rPr>
              <w:t>》</w:t>
            </w:r>
            <w:r>
              <w:rPr>
                <w:rFonts w:hint="eastAsia" w:ascii="Times New Roman" w:hAnsi="Times New Roman" w:cs="Times New Roman"/>
                <w:color w:val="auto"/>
                <w:sz w:val="24"/>
                <w:szCs w:val="22"/>
                <w:highlight w:val="none"/>
                <w:lang w:eastAsia="zh-CN"/>
              </w:rPr>
              <w:t>：</w:t>
            </w:r>
          </w:p>
          <w:p w14:paraId="643BCF98">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1</w:t>
            </w:r>
            <w:r>
              <w:rPr>
                <w:rFonts w:hint="eastAsia" w:ascii="Times New Roman" w:hAnsi="Times New Roman" w:eastAsia="宋体" w:cs="Times New Roman"/>
                <w:color w:val="auto"/>
                <w:sz w:val="24"/>
                <w:szCs w:val="22"/>
                <w:highlight w:val="none"/>
                <w:lang w:val="en-US" w:eastAsia="zh-CN"/>
              </w:rPr>
              <w:t>）规划空间布局</w:t>
            </w:r>
          </w:p>
          <w:p w14:paraId="7FEE3039">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规划富民工业园区主要沿昆武高速公路、昆禄公路和轿子雪山旅游专线建设，并以昆禄公路、轿子雪山旅游专线、东散公路和北青公路作为各片区的交通联系纽带，呈带状组团发展格局，形成“一核、两轴、四片区、多组团、多节点”的总体空间发展结构。</w:t>
            </w:r>
          </w:p>
          <w:p w14:paraId="758222B3">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一核：县城综合服务中心，作为园区重要的生活及配套服务中心。</w:t>
            </w:r>
          </w:p>
          <w:p w14:paraId="698738AB">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两轴：是指沿昆武高速公路、昆禄公路和轿子雪山旅游专线形成的发展轴线。</w:t>
            </w:r>
          </w:p>
          <w:p w14:paraId="2FA5FE89">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四片区：是指在现有乡镇外开发建设的产业功能片区，包括白石岩——大白坡片区、大营——茨塘片区、散旦片区、款庄——东村片区四大工业片区。</w:t>
            </w:r>
          </w:p>
          <w:p w14:paraId="49582A4A">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多组团：指四个工业片区内部功能各异的产业组团，包括钛化工、装备制造、新材料、食品加工、机械加工等功能组团。</w:t>
            </w:r>
          </w:p>
          <w:p w14:paraId="7BA0397D">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多节点：指园区周边的关联乡镇以及四大工业片区中配套的综合服务节点，作为园区生活和配套服务的次级服务节点。</w:t>
            </w:r>
          </w:p>
          <w:p w14:paraId="6F6DB772">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2</w:t>
            </w:r>
            <w:r>
              <w:rPr>
                <w:rFonts w:hint="eastAsia" w:ascii="Times New Roman" w:hAnsi="Times New Roman" w:eastAsia="宋体" w:cs="Times New Roman"/>
                <w:color w:val="auto"/>
                <w:sz w:val="24"/>
                <w:szCs w:val="22"/>
                <w:highlight w:val="none"/>
                <w:lang w:val="en-US" w:eastAsia="zh-CN"/>
              </w:rPr>
              <w:t>）规划用地布局</w:t>
            </w:r>
          </w:p>
          <w:p w14:paraId="3C2755AB">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规划区用地主要以工业用地为主体，其余各类用地均围绕工业用地的发展需求而布局。</w:t>
            </w:r>
          </w:p>
          <w:p w14:paraId="084B0FF2">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①工业用地</w:t>
            </w:r>
          </w:p>
          <w:p w14:paraId="72CF32F7">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规划工业以集中分布为止，结合山地特征，采用分台式布局模式。各个工业片区与其他用地之间利用道路、绿化等加以适当隔离。对现状资源依托型、环境有一定污染的企业，逐步向富民工业园区集中发展。对现状零散且与居住区混杂的工业企业，建议逐步搬迁至工业区内集中发展。</w:t>
            </w:r>
          </w:p>
          <w:p w14:paraId="039E50F4">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结合园区产业发展战略和布局引导要求，结合产业特征及环境因素，规划园区主要以二类工业用地，作为传统产业、新型产业的主要发展空间。二类工业用地兼容一类工业用地。对于现在的三类工业，应当要求其提高产业发展水平，加速产业升级，并加强环境监管力度，逐步降低对生态环境的影响。三类工业用地在未来的改造或拆除重建过程中，应按照二类工业的要求进行建设。</w:t>
            </w:r>
          </w:p>
          <w:p w14:paraId="4D139354">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规划工业用地面积</w:t>
            </w:r>
            <w:r>
              <w:rPr>
                <w:rFonts w:hint="default" w:ascii="Times New Roman" w:hAnsi="Times New Roman" w:eastAsia="宋体" w:cs="Times New Roman"/>
                <w:color w:val="auto"/>
                <w:sz w:val="24"/>
                <w:szCs w:val="22"/>
                <w:highlight w:val="none"/>
                <w:lang w:val="en-US" w:eastAsia="zh-CN"/>
              </w:rPr>
              <w:t>2202.45</w:t>
            </w:r>
            <w:r>
              <w:rPr>
                <w:rFonts w:hint="eastAsia" w:ascii="Times New Roman" w:hAnsi="Times New Roman" w:eastAsia="宋体" w:cs="Times New Roman"/>
                <w:color w:val="auto"/>
                <w:sz w:val="24"/>
                <w:szCs w:val="22"/>
                <w:highlight w:val="none"/>
                <w:lang w:val="en-US" w:eastAsia="zh-CN"/>
              </w:rPr>
              <w:t>公顷，占规划建设用地面积的</w:t>
            </w:r>
            <w:r>
              <w:rPr>
                <w:rFonts w:hint="default" w:ascii="Times New Roman" w:hAnsi="Times New Roman" w:eastAsia="宋体" w:cs="Times New Roman"/>
                <w:color w:val="auto"/>
                <w:sz w:val="24"/>
                <w:szCs w:val="22"/>
                <w:highlight w:val="none"/>
                <w:lang w:val="en-US" w:eastAsia="zh-CN"/>
              </w:rPr>
              <w:t>72.43%</w:t>
            </w:r>
            <w:r>
              <w:rPr>
                <w:rFonts w:hint="eastAsia" w:ascii="Times New Roman" w:hAnsi="Times New Roman" w:eastAsia="宋体" w:cs="Times New Roman"/>
                <w:color w:val="auto"/>
                <w:sz w:val="24"/>
                <w:szCs w:val="22"/>
                <w:highlight w:val="none"/>
                <w:lang w:val="en-US" w:eastAsia="zh-CN"/>
              </w:rPr>
              <w:t>。</w:t>
            </w:r>
          </w:p>
          <w:p w14:paraId="323EB78F">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②物流仓储用地</w:t>
            </w:r>
          </w:p>
          <w:p w14:paraId="0126D493">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依托昆武高速公路县城下道口，在大营——茨塘片区规划布局园区的物流中心。依托轿子山专线，在散旦西组团布局园区物流中心。同时，在各片区结合用地功能、片区产业发展需要布置物流仓储用地，以满足各片区的需求。</w:t>
            </w:r>
          </w:p>
          <w:p w14:paraId="4132EF6D">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园区物流仓储用地以一类物流仓储用地为主，兼容二类物流仓储用地。规划仓储物流用地面积约</w:t>
            </w:r>
            <w:r>
              <w:rPr>
                <w:rFonts w:hint="default" w:ascii="Times New Roman" w:hAnsi="Times New Roman" w:eastAsia="宋体" w:cs="Times New Roman"/>
                <w:color w:val="auto"/>
                <w:sz w:val="24"/>
                <w:szCs w:val="22"/>
                <w:highlight w:val="none"/>
                <w:lang w:val="en-US" w:eastAsia="zh-CN"/>
              </w:rPr>
              <w:t>67.51</w:t>
            </w:r>
            <w:r>
              <w:rPr>
                <w:rFonts w:hint="eastAsia" w:ascii="Times New Roman" w:hAnsi="Times New Roman" w:eastAsia="宋体" w:cs="Times New Roman"/>
                <w:color w:val="auto"/>
                <w:sz w:val="24"/>
                <w:szCs w:val="22"/>
                <w:highlight w:val="none"/>
                <w:lang w:val="en-US" w:eastAsia="zh-CN"/>
              </w:rPr>
              <w:t>公顷，占建设用地总面积的</w:t>
            </w:r>
            <w:r>
              <w:rPr>
                <w:rFonts w:hint="default" w:ascii="Times New Roman" w:hAnsi="Times New Roman" w:eastAsia="宋体" w:cs="Times New Roman"/>
                <w:color w:val="auto"/>
                <w:sz w:val="24"/>
                <w:szCs w:val="22"/>
                <w:highlight w:val="none"/>
                <w:lang w:val="en-US" w:eastAsia="zh-CN"/>
              </w:rPr>
              <w:t>2.22%</w:t>
            </w:r>
            <w:r>
              <w:rPr>
                <w:rFonts w:hint="eastAsia" w:ascii="Times New Roman" w:hAnsi="Times New Roman" w:eastAsia="宋体" w:cs="Times New Roman"/>
                <w:color w:val="auto"/>
                <w:sz w:val="24"/>
                <w:szCs w:val="22"/>
                <w:highlight w:val="none"/>
                <w:lang w:val="en-US" w:eastAsia="zh-CN"/>
              </w:rPr>
              <w:t>。</w:t>
            </w:r>
          </w:p>
          <w:p w14:paraId="17A560B9">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③公共管理与公共服务设施用地、商业服务业设施用地</w:t>
            </w:r>
          </w:p>
          <w:p w14:paraId="410B34B4">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园区规划公共管理与公共服务设施用地面积约</w:t>
            </w:r>
            <w:r>
              <w:rPr>
                <w:rFonts w:hint="default" w:ascii="Times New Roman" w:hAnsi="Times New Roman" w:eastAsia="宋体" w:cs="Times New Roman"/>
                <w:color w:val="auto"/>
                <w:sz w:val="24"/>
                <w:szCs w:val="22"/>
                <w:highlight w:val="none"/>
                <w:lang w:val="en-US" w:eastAsia="zh-CN"/>
              </w:rPr>
              <w:t>39.84</w:t>
            </w:r>
            <w:r>
              <w:rPr>
                <w:rFonts w:hint="eastAsia" w:ascii="Times New Roman" w:hAnsi="Times New Roman" w:eastAsia="宋体" w:cs="Times New Roman"/>
                <w:color w:val="auto"/>
                <w:sz w:val="24"/>
                <w:szCs w:val="22"/>
                <w:highlight w:val="none"/>
                <w:lang w:val="en-US" w:eastAsia="zh-CN"/>
              </w:rPr>
              <w:t>公顷，约占园区总建设用地的</w:t>
            </w:r>
            <w:r>
              <w:rPr>
                <w:rFonts w:hint="default" w:ascii="Times New Roman" w:hAnsi="Times New Roman" w:eastAsia="宋体" w:cs="Times New Roman"/>
                <w:color w:val="auto"/>
                <w:sz w:val="24"/>
                <w:szCs w:val="22"/>
                <w:highlight w:val="none"/>
                <w:lang w:val="en-US" w:eastAsia="zh-CN"/>
              </w:rPr>
              <w:t>1.31%</w:t>
            </w:r>
            <w:r>
              <w:rPr>
                <w:rFonts w:hint="eastAsia" w:ascii="Times New Roman" w:hAnsi="Times New Roman" w:eastAsia="宋体" w:cs="Times New Roman"/>
                <w:color w:val="auto"/>
                <w:sz w:val="24"/>
                <w:szCs w:val="22"/>
                <w:highlight w:val="none"/>
                <w:lang w:val="en-US" w:eastAsia="zh-CN"/>
              </w:rPr>
              <w:t>；园区规划商业设施用地面积约</w:t>
            </w:r>
            <w:r>
              <w:rPr>
                <w:rFonts w:hint="default" w:ascii="Times New Roman" w:hAnsi="Times New Roman" w:eastAsia="宋体" w:cs="Times New Roman"/>
                <w:color w:val="auto"/>
                <w:sz w:val="24"/>
                <w:szCs w:val="22"/>
                <w:highlight w:val="none"/>
                <w:lang w:val="en-US" w:eastAsia="zh-CN"/>
              </w:rPr>
              <w:t>39.25</w:t>
            </w:r>
            <w:r>
              <w:rPr>
                <w:rFonts w:hint="eastAsia" w:ascii="Times New Roman" w:hAnsi="Times New Roman" w:eastAsia="宋体" w:cs="Times New Roman"/>
                <w:color w:val="auto"/>
                <w:sz w:val="24"/>
                <w:szCs w:val="22"/>
                <w:highlight w:val="none"/>
                <w:lang w:val="en-US" w:eastAsia="zh-CN"/>
              </w:rPr>
              <w:t>公顷，约占园区总建设用地的</w:t>
            </w:r>
            <w:r>
              <w:rPr>
                <w:rFonts w:hint="default" w:ascii="Times New Roman" w:hAnsi="Times New Roman" w:eastAsia="宋体" w:cs="Times New Roman"/>
                <w:color w:val="auto"/>
                <w:sz w:val="24"/>
                <w:szCs w:val="22"/>
                <w:highlight w:val="none"/>
                <w:lang w:val="en-US" w:eastAsia="zh-CN"/>
              </w:rPr>
              <w:t>1.29%</w:t>
            </w:r>
            <w:r>
              <w:rPr>
                <w:rFonts w:hint="eastAsia" w:ascii="Times New Roman" w:hAnsi="Times New Roman" w:eastAsia="宋体" w:cs="Times New Roman"/>
                <w:color w:val="auto"/>
                <w:sz w:val="24"/>
                <w:szCs w:val="22"/>
                <w:highlight w:val="none"/>
                <w:lang w:val="en-US" w:eastAsia="zh-CN"/>
              </w:rPr>
              <w:t>。</w:t>
            </w:r>
          </w:p>
          <w:p w14:paraId="306A8CDB">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④居住用地</w:t>
            </w:r>
          </w:p>
          <w:p w14:paraId="702A9415">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居住用地布局按照“产城融合”的原则，大多数产业工人到县城和就近集镇居住，在远离集镇的组团适当布局配套居住用地，居住用地均布置于工业用地的上风向，规划居住用地以二类居住用地为主，适当布局一些一类居住用地。</w:t>
            </w:r>
          </w:p>
          <w:p w14:paraId="05370874">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规划居住用地面积</w:t>
            </w:r>
            <w:r>
              <w:rPr>
                <w:rFonts w:hint="default" w:ascii="Times New Roman" w:hAnsi="Times New Roman" w:eastAsia="宋体" w:cs="Times New Roman"/>
                <w:color w:val="auto"/>
                <w:sz w:val="24"/>
                <w:szCs w:val="22"/>
                <w:highlight w:val="none"/>
                <w:lang w:val="en-US" w:eastAsia="zh-CN"/>
              </w:rPr>
              <w:t>59.05</w:t>
            </w:r>
            <w:r>
              <w:rPr>
                <w:rFonts w:hint="eastAsia" w:ascii="Times New Roman" w:hAnsi="Times New Roman" w:eastAsia="宋体" w:cs="Times New Roman"/>
                <w:color w:val="auto"/>
                <w:sz w:val="24"/>
                <w:szCs w:val="22"/>
                <w:highlight w:val="none"/>
                <w:lang w:val="en-US" w:eastAsia="zh-CN"/>
              </w:rPr>
              <w:t>公顷，占园区建设用地总面积的</w:t>
            </w:r>
            <w:r>
              <w:rPr>
                <w:rFonts w:hint="default" w:ascii="Times New Roman" w:hAnsi="Times New Roman" w:eastAsia="宋体" w:cs="Times New Roman"/>
                <w:color w:val="auto"/>
                <w:sz w:val="24"/>
                <w:szCs w:val="22"/>
                <w:highlight w:val="none"/>
                <w:lang w:val="en-US" w:eastAsia="zh-CN"/>
              </w:rPr>
              <w:t>1.94%</w:t>
            </w:r>
            <w:r>
              <w:rPr>
                <w:rFonts w:hint="eastAsia" w:ascii="Times New Roman" w:hAnsi="Times New Roman" w:eastAsia="宋体" w:cs="Times New Roman"/>
                <w:color w:val="auto"/>
                <w:sz w:val="24"/>
                <w:szCs w:val="22"/>
                <w:highlight w:val="none"/>
                <w:lang w:val="en-US" w:eastAsia="zh-CN"/>
              </w:rPr>
              <w:t>。</w:t>
            </w:r>
          </w:p>
          <w:p w14:paraId="6784A4A2">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⑤公用设施用地</w:t>
            </w:r>
          </w:p>
          <w:p w14:paraId="14BFAE3A">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规划公用设施用地面积约</w:t>
            </w:r>
            <w:r>
              <w:rPr>
                <w:rFonts w:hint="default" w:ascii="Times New Roman" w:hAnsi="Times New Roman" w:eastAsia="宋体" w:cs="Times New Roman"/>
                <w:color w:val="auto"/>
                <w:sz w:val="24"/>
                <w:szCs w:val="22"/>
                <w:highlight w:val="none"/>
                <w:lang w:val="en-US" w:eastAsia="zh-CN"/>
              </w:rPr>
              <w:t>37.88</w:t>
            </w:r>
            <w:r>
              <w:rPr>
                <w:rFonts w:hint="eastAsia" w:ascii="Times New Roman" w:hAnsi="Times New Roman" w:eastAsia="宋体" w:cs="Times New Roman"/>
                <w:color w:val="auto"/>
                <w:sz w:val="24"/>
                <w:szCs w:val="22"/>
                <w:highlight w:val="none"/>
                <w:lang w:val="en-US" w:eastAsia="zh-CN"/>
              </w:rPr>
              <w:t>公顷，占建设用地的面积约</w:t>
            </w:r>
            <w:r>
              <w:rPr>
                <w:rFonts w:hint="default" w:ascii="Times New Roman" w:hAnsi="Times New Roman" w:eastAsia="宋体" w:cs="Times New Roman"/>
                <w:color w:val="auto"/>
                <w:sz w:val="24"/>
                <w:szCs w:val="22"/>
                <w:highlight w:val="none"/>
                <w:lang w:val="en-US" w:eastAsia="zh-CN"/>
              </w:rPr>
              <w:t>1.25%</w:t>
            </w:r>
            <w:r>
              <w:rPr>
                <w:rFonts w:hint="eastAsia" w:ascii="Times New Roman" w:hAnsi="Times New Roman" w:eastAsia="宋体" w:cs="Times New Roman"/>
                <w:color w:val="auto"/>
                <w:sz w:val="24"/>
                <w:szCs w:val="22"/>
                <w:highlight w:val="none"/>
                <w:lang w:val="en-US" w:eastAsia="zh-CN"/>
              </w:rPr>
              <w:t>。</w:t>
            </w:r>
          </w:p>
          <w:p w14:paraId="5E941E3A">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3</w:t>
            </w:r>
            <w:r>
              <w:rPr>
                <w:rFonts w:hint="eastAsia" w:ascii="Times New Roman" w:hAnsi="Times New Roman" w:eastAsia="宋体" w:cs="Times New Roman"/>
                <w:color w:val="auto"/>
                <w:sz w:val="24"/>
                <w:szCs w:val="22"/>
                <w:highlight w:val="none"/>
                <w:lang w:val="en-US" w:eastAsia="zh-CN"/>
              </w:rPr>
              <w:t>）规划产业结构</w:t>
            </w:r>
          </w:p>
          <w:p w14:paraId="21DDA5AB">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园区产业规划构建“两轴三园六组团”的产业空间布局结构。</w:t>
            </w:r>
          </w:p>
          <w:p w14:paraId="6436F404">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①两轴</w:t>
            </w:r>
          </w:p>
          <w:p w14:paraId="6AC176FF">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沿昆武高速公路和轿子山旅游专线形成两条产业发展轴线，其中沿昆武高速公路的产业发展轴着重发展钛产业、装备制造产业，辅以发展食品加工、机械加工、商贸物流等产业，是一条综合性产业发展轴；轿子山旅游专线沿线以发展新材料产业为主，辅以发展新能源、农副产品加工等产业，是富民县的战略性新兴产业发展轴线。</w:t>
            </w:r>
          </w:p>
          <w:p w14:paraId="63FEC201">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②三园</w:t>
            </w:r>
          </w:p>
          <w:p w14:paraId="09C4FF09">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在富民工业园区主要布局装备制造产业园、钛化工产业园和新材料产业园三大产业园区。</w:t>
            </w:r>
          </w:p>
          <w:p w14:paraId="0D20B10B">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装备制造产业园：以白石岩——哨箐组团为主，重点发展装备制造产业，辅以发展精细化工、机械加工、商贸物流等产业类型；</w:t>
            </w:r>
          </w:p>
          <w:p w14:paraId="08F6AF44">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钛化工产业园：以大白坡组团为主，重点发展钛产业，向精细化工方向发展。打造全国重要的金属钛（钛材）生产基地；</w:t>
            </w:r>
          </w:p>
          <w:p w14:paraId="3445BE30">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新材料产业园：包括大营——茨塘组团、散旦组团、款庄——东村组团和赤鹫组团，主要发展以半导体为主导的新材料产业，辅以新能源、精细化工、农副产品加工、食品加工、商贸物流等产业的发展。</w:t>
            </w:r>
          </w:p>
          <w:p w14:paraId="2860A9D4">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③六个产业组团</w:t>
            </w:r>
          </w:p>
          <w:p w14:paraId="553EAF3E">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白石岩——哨筲组团：白石岩组团包含白石岩、</w:t>
            </w:r>
            <w:r>
              <w:rPr>
                <w:rFonts w:hint="eastAsia" w:cs="Times New Roman"/>
                <w:color w:val="auto"/>
                <w:sz w:val="24"/>
                <w:szCs w:val="22"/>
                <w:highlight w:val="none"/>
                <w:lang w:val="en-US" w:eastAsia="zh-CN"/>
              </w:rPr>
              <w:t>哨箐</w:t>
            </w:r>
            <w:r>
              <w:rPr>
                <w:rFonts w:hint="eastAsia" w:ascii="Times New Roman" w:hAnsi="Times New Roman" w:eastAsia="宋体" w:cs="Times New Roman"/>
                <w:color w:val="auto"/>
                <w:sz w:val="24"/>
                <w:szCs w:val="22"/>
                <w:highlight w:val="none"/>
                <w:lang w:val="en-US" w:eastAsia="zh-CN"/>
              </w:rPr>
              <w:t>、烟墩、麦竜四个片区，现状产业主要包括环保产业、机械加工、化工产业等。未来，白石岩组团将重点发展以节能环保设备为主导的装备制造业，同时，辅以发展精细化工产业，麦竜片区现有的磷化工产业在有条件的情况下应考虑逐步向钛化工产业园转移，形成化工产业集群。现状机械加工、环保产业可适当保留。</w:t>
            </w:r>
          </w:p>
          <w:p w14:paraId="01B2A093">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大白坡组团：大白坡组团现状产业发展主要包括大白坡钛产业园。未来应在现状钛化工发展的基础上，开发中高端钛化工产品，推动钛化工向精细化工方向发展。</w:t>
            </w:r>
          </w:p>
          <w:p w14:paraId="1F4A77B6">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赤组团：半导体为主的新材料，并延伸其产业链，打造半导体新材料产业园。</w:t>
            </w:r>
          </w:p>
          <w:p w14:paraId="7F2AC974">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大营——茨塘组团：积极引导以半导体为主导的新材料产业的发展，并在现状东元食品产业园和大营五金建材产业园的发展基础上，延续食品加工、五金建材等产业的发展，重点建设云南台湾食品加工园，推动新型建材企业的入驻。</w:t>
            </w:r>
          </w:p>
          <w:p w14:paraId="6FE16DAE">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散旦组团：积极引导以半导体为主导的新材料产业的发展，充分发挥片区林产品资源丰富的优势，积极发展林产品加工、新材料等产业类型，同时适度发展农副产品加工业等产业。</w:t>
            </w:r>
          </w:p>
          <w:p w14:paraId="35CDAD3D">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款庄——东村组团：积极引导以半导体为主导的新材料产业的发展，辅以发展光伏发电、风力发电等新能源产业，依托东村片区已有的薰衣草产业园发展以芳香产业为主的精细化工产业，适度发展现状钛化工的基础上，钛化工向精细化工方向发展。</w:t>
            </w:r>
          </w:p>
          <w:p w14:paraId="1CC17429">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2" w:firstLineChars="200"/>
              <w:textAlignment w:val="auto"/>
              <w:rPr>
                <w:rFonts w:hint="default"/>
                <w:color w:val="auto"/>
              </w:rPr>
            </w:pPr>
            <w:r>
              <w:rPr>
                <w:rFonts w:hint="eastAsia" w:ascii="宋体" w:hAnsi="宋体" w:eastAsia="宋体" w:cs="宋体"/>
                <w:b/>
                <w:bCs/>
                <w:color w:val="auto"/>
                <w:kern w:val="0"/>
                <w:sz w:val="24"/>
                <w:szCs w:val="24"/>
                <w:lang w:val="en-US" w:eastAsia="zh-CN" w:bidi="ar"/>
              </w:rPr>
              <w:t>环保产业园组团：</w:t>
            </w:r>
            <w:r>
              <w:rPr>
                <w:rFonts w:hint="eastAsia" w:ascii="宋体" w:hAnsi="宋体" w:eastAsia="宋体" w:cs="宋体"/>
                <w:color w:val="auto"/>
                <w:kern w:val="0"/>
                <w:sz w:val="24"/>
                <w:szCs w:val="24"/>
                <w:lang w:val="en-US" w:eastAsia="zh-CN" w:bidi="ar"/>
              </w:rPr>
              <w:t>环保产业园组团按照“三生”理念（即生产、生活、生态）及新型工业综合体的先进工业园区建设模式进行建设，是集研发、生产、商务、物流、会展、销售、服务、教培、居住为一体的复合型园区。以环保装备技术与制造为核心，以环保设备制造业、清洁生产工艺示范产业、环境保护服务产业和园区配套产业为主要产业形态的环保产业园区。为此，环保产业园组团的产业群配置总体分为两大部分：一是环保装备生产制造业，二是环保现代服务业。</w:t>
            </w:r>
          </w:p>
          <w:p w14:paraId="6ED9EDA7">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color w:val="auto"/>
              </w:rPr>
            </w:pPr>
            <w:r>
              <w:rPr>
                <w:rFonts w:hint="eastAsia" w:ascii="宋体" w:hAnsi="宋体" w:eastAsia="宋体" w:cs="宋体"/>
                <w:color w:val="auto"/>
                <w:kern w:val="0"/>
                <w:sz w:val="24"/>
                <w:szCs w:val="24"/>
                <w:lang w:val="en-US" w:eastAsia="zh-CN" w:bidi="ar"/>
              </w:rPr>
              <w:t>环保产业园组团发展的定位为：云南省乃至中国西部地区最大的环保产业核心区，以工业化推进的城市拓展新区和绿色生态产业园区。</w:t>
            </w:r>
          </w:p>
          <w:p w14:paraId="3A1F1998">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本项目位于哨箐</w:t>
            </w:r>
            <w:r>
              <w:rPr>
                <w:rFonts w:hint="eastAsia" w:cs="Times New Roman"/>
                <w:color w:val="auto"/>
                <w:sz w:val="24"/>
                <w:szCs w:val="22"/>
                <w:highlight w:val="none"/>
                <w:lang w:val="en-US" w:eastAsia="zh-CN"/>
              </w:rPr>
              <w:t>组团</w:t>
            </w:r>
            <w:r>
              <w:rPr>
                <w:rFonts w:hint="eastAsia" w:ascii="Times New Roman" w:hAnsi="Times New Roman" w:eastAsia="宋体" w:cs="Times New Roman"/>
                <w:color w:val="auto"/>
                <w:sz w:val="24"/>
                <w:szCs w:val="22"/>
                <w:highlight w:val="none"/>
                <w:lang w:val="en-US" w:eastAsia="zh-CN"/>
              </w:rPr>
              <w:t>，重点发展装备制造业、辅助发展精细化工、机械加工、商贸物流等行业类型。本项目产品为</w:t>
            </w:r>
            <w:r>
              <w:rPr>
                <w:rFonts w:hint="eastAsia" w:cs="Times New Roman"/>
                <w:color w:val="auto"/>
                <w:sz w:val="24"/>
                <w:szCs w:val="22"/>
                <w:highlight w:val="none"/>
                <w:lang w:val="en-US" w:eastAsia="zh-CN"/>
              </w:rPr>
              <w:t>腻子粉和水性涂料</w:t>
            </w:r>
            <w:r>
              <w:rPr>
                <w:rFonts w:hint="eastAsia" w:ascii="Times New Roman" w:hAnsi="Times New Roman" w:eastAsia="宋体" w:cs="Times New Roman"/>
                <w:color w:val="auto"/>
                <w:sz w:val="24"/>
                <w:szCs w:val="22"/>
                <w:highlight w:val="none"/>
                <w:lang w:val="en-US" w:eastAsia="zh-CN"/>
              </w:rPr>
              <w:t>，</w:t>
            </w:r>
            <w:r>
              <w:rPr>
                <w:rFonts w:hint="eastAsia" w:cs="Times New Roman"/>
                <w:color w:val="auto"/>
                <w:sz w:val="24"/>
                <w:szCs w:val="22"/>
                <w:highlight w:val="none"/>
                <w:lang w:val="en-US" w:eastAsia="zh-CN"/>
              </w:rPr>
              <w:t>属于精细化工</w:t>
            </w:r>
            <w:r>
              <w:rPr>
                <w:rFonts w:hint="eastAsia" w:ascii="Times New Roman" w:hAnsi="Times New Roman" w:eastAsia="宋体" w:cs="Times New Roman"/>
                <w:color w:val="auto"/>
                <w:sz w:val="24"/>
                <w:szCs w:val="22"/>
                <w:highlight w:val="none"/>
                <w:lang w:val="en-US" w:eastAsia="zh-CN"/>
              </w:rPr>
              <w:t>，不属于</w:t>
            </w:r>
            <w:r>
              <w:rPr>
                <w:rFonts w:hint="default" w:ascii="Times New Roman" w:hAnsi="Times New Roman" w:eastAsia="宋体" w:cs="Times New Roman"/>
                <w:color w:val="auto"/>
                <w:sz w:val="24"/>
                <w:szCs w:val="22"/>
                <w:highlight w:val="none"/>
                <w:lang w:val="en-US" w:eastAsia="zh-CN"/>
              </w:rPr>
              <w:t>《规划》中</w:t>
            </w:r>
            <w:r>
              <w:rPr>
                <w:rFonts w:hint="eastAsia" w:ascii="Times New Roman" w:hAnsi="Times New Roman" w:eastAsia="宋体" w:cs="Times New Roman"/>
                <w:color w:val="auto"/>
                <w:sz w:val="24"/>
                <w:szCs w:val="22"/>
                <w:highlight w:val="none"/>
                <w:lang w:val="en-US" w:eastAsia="zh-CN"/>
              </w:rPr>
              <w:t>不符合规划产业的项目，且富民工业园区管理委员会已同意本项目入园，因此，本项目与哨箐</w:t>
            </w:r>
            <w:r>
              <w:rPr>
                <w:rFonts w:hint="eastAsia" w:cs="Times New Roman"/>
                <w:color w:val="auto"/>
                <w:sz w:val="24"/>
                <w:szCs w:val="22"/>
                <w:highlight w:val="none"/>
                <w:lang w:val="en-US" w:eastAsia="zh-CN"/>
              </w:rPr>
              <w:t>组团</w:t>
            </w:r>
            <w:r>
              <w:rPr>
                <w:rFonts w:hint="eastAsia" w:ascii="Times New Roman" w:hAnsi="Times New Roman" w:eastAsia="宋体" w:cs="Times New Roman"/>
                <w:color w:val="auto"/>
                <w:sz w:val="24"/>
                <w:szCs w:val="22"/>
                <w:highlight w:val="none"/>
                <w:lang w:val="en-US" w:eastAsia="zh-CN"/>
              </w:rPr>
              <w:t>定位不冲突</w:t>
            </w:r>
            <w:r>
              <w:rPr>
                <w:rFonts w:hint="default" w:ascii="Times New Roman" w:hAnsi="Times New Roman"/>
                <w:color w:val="auto"/>
                <w:szCs w:val="24"/>
                <w:highlight w:val="none"/>
              </w:rPr>
              <w:t>，</w:t>
            </w:r>
            <w:r>
              <w:rPr>
                <w:rFonts w:hint="eastAsia" w:ascii="Times New Roman" w:hAnsi="Times New Roman"/>
                <w:color w:val="auto"/>
                <w:sz w:val="24"/>
                <w:szCs w:val="24"/>
                <w:highlight w:val="none"/>
                <w:lang w:val="en-US" w:eastAsia="zh-CN"/>
              </w:rPr>
              <w:t>此外，</w:t>
            </w:r>
            <w:r>
              <w:rPr>
                <w:rFonts w:hint="default" w:ascii="Times New Roman" w:hAnsi="Times New Roman" w:cs="Times New Roman"/>
                <w:color w:val="auto"/>
                <w:sz w:val="24"/>
                <w:szCs w:val="24"/>
                <w:highlight w:val="none"/>
              </w:rPr>
              <w:t>项目所在地块属于M</w:t>
            </w:r>
            <w:r>
              <w:rPr>
                <w:rFonts w:hint="eastAsia" w:ascii="Times New Roman" w:hAnsi="Times New Roman" w:cs="Times New Roman"/>
                <w:color w:val="auto"/>
                <w:sz w:val="24"/>
                <w:szCs w:val="24"/>
                <w:highlight w:val="none"/>
                <w:lang w:val="en-US" w:eastAsia="zh-CN"/>
              </w:rPr>
              <w:t>2二类</w:t>
            </w:r>
            <w:r>
              <w:rPr>
                <w:rFonts w:hint="default" w:ascii="Times New Roman" w:hAnsi="Times New Roman" w:cs="Times New Roman"/>
                <w:color w:val="auto"/>
                <w:sz w:val="24"/>
                <w:szCs w:val="24"/>
                <w:highlight w:val="none"/>
              </w:rPr>
              <w:t>工业用地，</w:t>
            </w:r>
            <w:r>
              <w:rPr>
                <w:rFonts w:hint="eastAsia" w:ascii="Times New Roman" w:hAnsi="Times New Roman" w:eastAsia="宋体" w:cs="Times New Roman"/>
                <w:color w:val="auto"/>
                <w:sz w:val="24"/>
                <w:szCs w:val="24"/>
                <w:highlight w:val="none"/>
                <w:lang w:val="en-US" w:eastAsia="zh-CN"/>
              </w:rPr>
              <w:t>与园区规划用地类型相符。故本项目建设符合《富民工业园区总体规划修编（</w:t>
            </w:r>
            <w:r>
              <w:rPr>
                <w:rFonts w:hint="default" w:ascii="Times New Roman" w:hAnsi="Times New Roman" w:eastAsia="宋体" w:cs="Times New Roman"/>
                <w:color w:val="auto"/>
                <w:sz w:val="24"/>
                <w:szCs w:val="24"/>
                <w:highlight w:val="none"/>
                <w:lang w:val="en-US" w:eastAsia="zh-CN"/>
              </w:rPr>
              <w:t>2015~2030</w:t>
            </w:r>
            <w:r>
              <w:rPr>
                <w:rFonts w:hint="eastAsia" w:ascii="Times New Roman" w:hAnsi="Times New Roman" w:eastAsia="宋体" w:cs="Times New Roman"/>
                <w:color w:val="auto"/>
                <w:sz w:val="24"/>
                <w:szCs w:val="24"/>
                <w:highlight w:val="none"/>
                <w:lang w:val="en-US" w:eastAsia="zh-CN"/>
              </w:rPr>
              <w:t>年）》的相关规划要求。</w:t>
            </w:r>
          </w:p>
          <w:p w14:paraId="49167730">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2" w:firstLineChars="200"/>
              <w:textAlignment w:val="auto"/>
              <w:rPr>
                <w:rFonts w:hint="default" w:ascii="Times New Roman" w:hAnsi="Times New Roman" w:cs="Times New Roman"/>
                <w:b/>
                <w:bCs/>
                <w:color w:val="auto"/>
                <w:sz w:val="24"/>
                <w:szCs w:val="22"/>
                <w:highlight w:val="none"/>
              </w:rPr>
            </w:pPr>
            <w:r>
              <w:rPr>
                <w:rFonts w:hint="default" w:ascii="Times New Roman" w:hAnsi="Times New Roman" w:cs="Times New Roman"/>
                <w:b/>
                <w:bCs/>
                <w:color w:val="auto"/>
                <w:sz w:val="24"/>
                <w:szCs w:val="22"/>
                <w:highlight w:val="none"/>
              </w:rPr>
              <w:t>2、与《</w:t>
            </w:r>
            <w:r>
              <w:rPr>
                <w:rFonts w:hint="eastAsia" w:ascii="Times New Roman" w:hAnsi="Times New Roman" w:eastAsia="宋体" w:cs="Times New Roman"/>
                <w:b/>
                <w:bCs/>
                <w:color w:val="auto"/>
                <w:sz w:val="24"/>
                <w:szCs w:val="22"/>
                <w:highlight w:val="none"/>
                <w:lang w:val="en-US" w:eastAsia="zh-CN"/>
              </w:rPr>
              <w:t>富民工业园区总体规划修编（</w:t>
            </w:r>
            <w:r>
              <w:rPr>
                <w:rFonts w:hint="default" w:ascii="Times New Roman" w:hAnsi="Times New Roman" w:eastAsia="宋体" w:cs="Times New Roman"/>
                <w:b/>
                <w:bCs/>
                <w:color w:val="auto"/>
                <w:sz w:val="24"/>
                <w:szCs w:val="22"/>
                <w:highlight w:val="none"/>
                <w:lang w:val="en-US" w:eastAsia="zh-CN"/>
              </w:rPr>
              <w:t>2015~2030</w:t>
            </w:r>
            <w:r>
              <w:rPr>
                <w:rFonts w:hint="eastAsia" w:ascii="Times New Roman" w:hAnsi="Times New Roman" w:eastAsia="宋体" w:cs="Times New Roman"/>
                <w:b/>
                <w:bCs/>
                <w:color w:val="auto"/>
                <w:sz w:val="24"/>
                <w:szCs w:val="22"/>
                <w:highlight w:val="none"/>
                <w:lang w:val="en-US" w:eastAsia="zh-CN"/>
              </w:rPr>
              <w:t>年）</w:t>
            </w:r>
            <w:r>
              <w:rPr>
                <w:rFonts w:hint="default" w:ascii="Times New Roman" w:hAnsi="Times New Roman" w:cs="Times New Roman"/>
                <w:b/>
                <w:bCs/>
                <w:color w:val="auto"/>
                <w:sz w:val="24"/>
                <w:szCs w:val="22"/>
                <w:highlight w:val="none"/>
              </w:rPr>
              <w:t>环境影响报告书》及审查意见符合性分析</w:t>
            </w:r>
          </w:p>
          <w:p w14:paraId="4C72A5A4">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《富民工业园区总体规划修编（2015-2030）环境影响报告书》已于2016年6月11日取得了云南省环境保护厅关于《富民工业园区总体规划修编（2015-2030）环境影响报告书》审查意见的函（云环函〔2016〕10号）。</w:t>
            </w:r>
          </w:p>
          <w:p w14:paraId="61FD0530">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根据《富民工业园区总体规划修编（2015-2030）环境影响报告书》及审查意见，富民工业园区定位为新型工业园区，以装备制造、钛化工和新材料三大产业为主导的产业基地，集生产、生活配套为</w:t>
            </w:r>
            <w:r>
              <w:rPr>
                <w:rFonts w:hint="eastAsia" w:ascii="Times New Roman" w:hAnsi="Times New Roman"/>
                <w:color w:val="auto"/>
                <w:sz w:val="24"/>
                <w:szCs w:val="24"/>
                <w:highlight w:val="none"/>
                <w:lang w:val="en-US" w:eastAsia="zh-CN"/>
              </w:rPr>
              <w:t>一</w:t>
            </w:r>
            <w:r>
              <w:rPr>
                <w:rFonts w:hint="default" w:ascii="Times New Roman" w:hAnsi="Times New Roman"/>
                <w:color w:val="auto"/>
                <w:sz w:val="24"/>
                <w:szCs w:val="24"/>
                <w:highlight w:val="none"/>
              </w:rPr>
              <w:t>体的生态工业园。园区包括白石岩-大白坡、大营-茨塘、散旦</w:t>
            </w:r>
            <w:r>
              <w:rPr>
                <w:rFonts w:hint="eastAsia" w:ascii="Times New Roman" w:hAnsi="Times New Roman"/>
                <w:color w:val="auto"/>
                <w:sz w:val="24"/>
                <w:szCs w:val="24"/>
                <w:highlight w:val="none"/>
                <w:lang w:eastAsia="zh-CN"/>
              </w:rPr>
              <w:t>、</w:t>
            </w:r>
            <w:r>
              <w:rPr>
                <w:rFonts w:hint="default" w:ascii="Times New Roman" w:hAnsi="Times New Roman"/>
                <w:color w:val="auto"/>
                <w:sz w:val="24"/>
                <w:szCs w:val="24"/>
                <w:highlight w:val="none"/>
              </w:rPr>
              <w:t>款庄-东村四个工业片区。白石岩-大白坡片区规划为钛产业、装备制造、精细化工产业区；大营茨塘片区规划为以半导体为主导的新材料产业、食品加工、五金建材产业区；散旦片区规划为以半导体为主导的新材料产业、林产品加工、农副产品加工业产业区；款庄东村片区规划为以半导体为主导的新材料产业，辅以发光伏发电、风力发电等新能源产业区。</w:t>
            </w:r>
          </w:p>
          <w:p w14:paraId="52DC58D0">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本项目位于富民工业园区白石岩——大白坡片区</w:t>
            </w:r>
            <w:r>
              <w:rPr>
                <w:rFonts w:hint="eastAsia" w:cs="Times New Roman"/>
                <w:color w:val="auto"/>
                <w:sz w:val="24"/>
                <w:szCs w:val="24"/>
                <w:highlight w:val="none"/>
                <w:lang w:val="en-US" w:eastAsia="zh-CN"/>
              </w:rPr>
              <w:t>哨箐</w:t>
            </w:r>
            <w:r>
              <w:rPr>
                <w:rFonts w:hint="eastAsia" w:ascii="Times New Roman" w:hAnsi="Times New Roman" w:eastAsia="宋体" w:cs="Times New Roman"/>
                <w:color w:val="auto"/>
                <w:sz w:val="24"/>
                <w:szCs w:val="24"/>
                <w:highlight w:val="none"/>
                <w:lang w:val="en-US" w:eastAsia="zh-CN"/>
              </w:rPr>
              <w:t>组团，项目产品为</w:t>
            </w:r>
            <w:r>
              <w:rPr>
                <w:rFonts w:hint="eastAsia" w:cs="Times New Roman"/>
                <w:color w:val="auto"/>
                <w:sz w:val="24"/>
                <w:szCs w:val="24"/>
                <w:highlight w:val="none"/>
                <w:lang w:val="en-US" w:eastAsia="zh-CN"/>
              </w:rPr>
              <w:t>腻子粉、水性涂料</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属于精细化工产业</w:t>
            </w:r>
            <w:r>
              <w:rPr>
                <w:rFonts w:hint="eastAsia" w:ascii="Times New Roman" w:hAnsi="Times New Roman" w:eastAsia="宋体" w:cs="Times New Roman"/>
                <w:color w:val="auto"/>
                <w:sz w:val="24"/>
                <w:szCs w:val="24"/>
                <w:highlight w:val="none"/>
                <w:lang w:val="en-US" w:eastAsia="zh-CN"/>
              </w:rPr>
              <w:t>，与</w:t>
            </w:r>
            <w:r>
              <w:rPr>
                <w:rFonts w:hint="eastAsia" w:cs="Times New Roman"/>
                <w:color w:val="auto"/>
                <w:sz w:val="24"/>
                <w:szCs w:val="24"/>
                <w:highlight w:val="none"/>
                <w:lang w:val="en-US" w:eastAsia="zh-CN"/>
              </w:rPr>
              <w:t>哨箐</w:t>
            </w:r>
            <w:r>
              <w:rPr>
                <w:rFonts w:hint="eastAsia" w:ascii="Times New Roman" w:hAnsi="Times New Roman" w:eastAsia="宋体" w:cs="Times New Roman"/>
                <w:color w:val="auto"/>
                <w:sz w:val="24"/>
                <w:szCs w:val="24"/>
                <w:highlight w:val="none"/>
                <w:lang w:val="en-US" w:eastAsia="zh-CN"/>
              </w:rPr>
              <w:t>组团产业定位</w:t>
            </w:r>
            <w:r>
              <w:rPr>
                <w:rFonts w:hint="eastAsia" w:cs="Times New Roman"/>
                <w:color w:val="auto"/>
                <w:sz w:val="24"/>
                <w:szCs w:val="24"/>
                <w:highlight w:val="none"/>
                <w:lang w:val="en-US" w:eastAsia="zh-CN"/>
              </w:rPr>
              <w:t>相符</w:t>
            </w:r>
            <w:r>
              <w:rPr>
                <w:rFonts w:hint="default" w:ascii="Times New Roman" w:hAnsi="Times New Roman"/>
                <w:color w:val="auto"/>
                <w:sz w:val="24"/>
                <w:szCs w:val="24"/>
                <w:highlight w:val="none"/>
              </w:rPr>
              <w:t>，符合《富民工业园区总体规划修编（2015-2030）环境影响报告书》及审查意见</w:t>
            </w:r>
            <w:r>
              <w:rPr>
                <w:rFonts w:hint="default"/>
                <w:color w:val="auto"/>
                <w:sz w:val="24"/>
                <w:szCs w:val="24"/>
              </w:rPr>
              <w:t>中环境保护要求</w:t>
            </w:r>
            <w:r>
              <w:rPr>
                <w:rFonts w:hint="default" w:ascii="Times New Roman" w:hAnsi="Times New Roman"/>
                <w:color w:val="auto"/>
                <w:sz w:val="24"/>
                <w:szCs w:val="24"/>
                <w:highlight w:val="none"/>
              </w:rPr>
              <w:t>。</w:t>
            </w:r>
          </w:p>
          <w:p w14:paraId="323DA8F2">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项目选址与《富民工业园区总体规划修编（2015-2030）环境影响报告书》符合性分析详见表1-</w:t>
            </w:r>
            <w:r>
              <w:rPr>
                <w:rFonts w:hint="eastAsia"/>
                <w:color w:val="auto"/>
                <w:sz w:val="24"/>
                <w:szCs w:val="24"/>
                <w:highlight w:val="none"/>
                <w:lang w:val="en-US" w:eastAsia="zh-CN"/>
              </w:rPr>
              <w:t>2</w:t>
            </w:r>
            <w:r>
              <w:rPr>
                <w:rFonts w:hint="default" w:ascii="Times New Roman" w:hAnsi="Times New Roman"/>
                <w:color w:val="auto"/>
                <w:sz w:val="24"/>
                <w:szCs w:val="24"/>
                <w:highlight w:val="none"/>
              </w:rPr>
              <w:t>、项目选址与《富民工业园区总体规划修编（2015-2030）环境影响报告书》审查意见符合性分析详见表1-</w:t>
            </w:r>
            <w:r>
              <w:rPr>
                <w:rFonts w:hint="eastAsia"/>
                <w:color w:val="auto"/>
                <w:sz w:val="24"/>
                <w:szCs w:val="24"/>
                <w:highlight w:val="none"/>
                <w:lang w:val="en-US" w:eastAsia="zh-CN"/>
              </w:rPr>
              <w:t>3</w:t>
            </w:r>
            <w:r>
              <w:rPr>
                <w:rFonts w:hint="default" w:ascii="Times New Roman" w:hAnsi="Times New Roman"/>
                <w:color w:val="auto"/>
                <w:sz w:val="24"/>
                <w:szCs w:val="24"/>
                <w:highlight w:val="none"/>
              </w:rPr>
              <w:t>。</w:t>
            </w:r>
          </w:p>
          <w:p w14:paraId="28D45197">
            <w:pPr>
              <w:keepNext w:val="0"/>
              <w:keepLines w:val="0"/>
              <w:pageBreakBefore w:val="0"/>
              <w:suppressLineNumbers w:val="0"/>
              <w:kinsoku/>
              <w:wordWrap/>
              <w:overflowPunct/>
              <w:bidi w:val="0"/>
              <w:snapToGrid w:val="0"/>
              <w:spacing w:before="0" w:beforeAutospacing="0" w:after="0" w:afterAutospacing="0" w:line="240" w:lineRule="auto"/>
              <w:ind w:left="0" w:leftChars="0" w:right="0"/>
              <w:jc w:val="center"/>
              <w:textAlignment w:val="auto"/>
              <w:rPr>
                <w:rFonts w:hint="default" w:ascii="Times New Roman" w:hAnsi="Times New Roman"/>
                <w:b/>
                <w:bCs/>
                <w:color w:val="auto"/>
                <w:sz w:val="21"/>
                <w:szCs w:val="21"/>
                <w:highlight w:val="none"/>
              </w:rPr>
            </w:pPr>
            <w:r>
              <w:rPr>
                <w:rFonts w:hint="default" w:ascii="Times New Roman" w:hAnsi="Times New Roman"/>
                <w:b/>
                <w:bCs/>
                <w:color w:val="auto"/>
                <w:sz w:val="21"/>
                <w:szCs w:val="21"/>
                <w:highlight w:val="none"/>
              </w:rPr>
              <w:t>表1</w:t>
            </w:r>
            <w:r>
              <w:rPr>
                <w:rFonts w:hint="eastAsia"/>
                <w:b/>
                <w:bCs/>
                <w:color w:val="auto"/>
                <w:sz w:val="21"/>
                <w:szCs w:val="21"/>
                <w:highlight w:val="none"/>
                <w:lang w:val="en-US" w:eastAsia="zh-CN"/>
              </w:rPr>
              <w:t>-2</w:t>
            </w:r>
            <w:r>
              <w:rPr>
                <w:rFonts w:hint="default" w:ascii="Times New Roman" w:hAnsi="Times New Roman"/>
                <w:b/>
                <w:bCs/>
                <w:color w:val="auto"/>
                <w:sz w:val="21"/>
                <w:szCs w:val="21"/>
                <w:highlight w:val="none"/>
              </w:rPr>
              <w:t xml:space="preserve"> 项目选址与《富民工业园区总体规划修编（2015-2030）环境影响报告书》符合性分析</w:t>
            </w:r>
          </w:p>
          <w:tbl>
            <w:tblPr>
              <w:tblStyle w:val="28"/>
              <w:tblW w:w="777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52"/>
              <w:gridCol w:w="2683"/>
              <w:gridCol w:w="3699"/>
              <w:gridCol w:w="745"/>
            </w:tblGrid>
            <w:tr w14:paraId="74222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 w:hRule="atLeast"/>
                <w:jc w:val="center"/>
              </w:trPr>
              <w:tc>
                <w:tcPr>
                  <w:tcW w:w="652" w:type="dxa"/>
                  <w:noWrap w:val="0"/>
                  <w:vAlign w:val="center"/>
                </w:tcPr>
                <w:p w14:paraId="025D40DC">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序号</w:t>
                  </w:r>
                </w:p>
              </w:tc>
              <w:tc>
                <w:tcPr>
                  <w:tcW w:w="2683" w:type="dxa"/>
                  <w:noWrap w:val="0"/>
                  <w:vAlign w:val="center"/>
                </w:tcPr>
                <w:p w14:paraId="1454C17D">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《富民工业园区总体规划修编（2015-2030）环境影响报告书》要求</w:t>
                  </w:r>
                </w:p>
              </w:tc>
              <w:tc>
                <w:tcPr>
                  <w:tcW w:w="3699" w:type="dxa"/>
                  <w:noWrap w:val="0"/>
                  <w:vAlign w:val="center"/>
                </w:tcPr>
                <w:p w14:paraId="52FBFB0F">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项目情况</w:t>
                  </w:r>
                </w:p>
              </w:tc>
              <w:tc>
                <w:tcPr>
                  <w:tcW w:w="745" w:type="dxa"/>
                  <w:noWrap w:val="0"/>
                  <w:vAlign w:val="center"/>
                </w:tcPr>
                <w:p w14:paraId="1D7C858A">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符合性</w:t>
                  </w:r>
                </w:p>
              </w:tc>
            </w:tr>
            <w:tr w14:paraId="73FA3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7779" w:type="dxa"/>
                  <w:gridSpan w:val="4"/>
                  <w:noWrap w:val="0"/>
                  <w:vAlign w:val="center"/>
                </w:tcPr>
                <w:p w14:paraId="627BCBC4">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一、项目入园要求</w:t>
                  </w:r>
                </w:p>
              </w:tc>
            </w:tr>
            <w:tr w14:paraId="304B1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38436040">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w:t>
                  </w:r>
                </w:p>
              </w:tc>
              <w:tc>
                <w:tcPr>
                  <w:tcW w:w="2683" w:type="dxa"/>
                  <w:noWrap w:val="0"/>
                  <w:vAlign w:val="center"/>
                </w:tcPr>
                <w:p w14:paraId="395B3000">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禁止国家及云南省产业政策中明令淘汰或限制的产业入园</w:t>
                  </w:r>
                </w:p>
              </w:tc>
              <w:tc>
                <w:tcPr>
                  <w:tcW w:w="3699" w:type="dxa"/>
                  <w:noWrap w:val="0"/>
                  <w:vAlign w:val="center"/>
                </w:tcPr>
                <w:p w14:paraId="0EDA2211">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本项目建设不属于国家发展改革委员《产业结构调整指导目录（2019年本）》中限制和淘汰类规定的范围，项目符合国家当前的产业</w:t>
                  </w:r>
                  <w:r>
                    <w:rPr>
                      <w:rFonts w:hint="eastAsia" w:ascii="Times New Roman" w:hAnsi="Times New Roman" w:eastAsia="宋体" w:cs="Times New Roman"/>
                      <w:color w:val="auto"/>
                      <w:sz w:val="21"/>
                      <w:szCs w:val="21"/>
                      <w:highlight w:val="none"/>
                      <w:lang w:val="en-US" w:eastAsia="zh-CN" w:bidi="ar-SA"/>
                    </w:rPr>
                    <w:t>政策</w:t>
                  </w:r>
                  <w:r>
                    <w:rPr>
                      <w:rFonts w:hint="default" w:ascii="Times New Roman" w:hAnsi="Times New Roman" w:eastAsia="宋体" w:cs="Times New Roman"/>
                      <w:color w:val="auto"/>
                      <w:sz w:val="21"/>
                      <w:szCs w:val="21"/>
                      <w:highlight w:val="none"/>
                      <w:lang w:val="en-US" w:eastAsia="zh-CN" w:bidi="ar-SA"/>
                    </w:rPr>
                    <w:t>。</w:t>
                  </w:r>
                </w:p>
              </w:tc>
              <w:tc>
                <w:tcPr>
                  <w:tcW w:w="745" w:type="dxa"/>
                  <w:noWrap w:val="0"/>
                  <w:vAlign w:val="center"/>
                </w:tcPr>
                <w:p w14:paraId="48C5F128">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134A0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1E9B4DB7">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w:t>
                  </w:r>
                </w:p>
              </w:tc>
              <w:tc>
                <w:tcPr>
                  <w:tcW w:w="2683" w:type="dxa"/>
                  <w:noWrap w:val="0"/>
                  <w:vAlign w:val="center"/>
                </w:tcPr>
                <w:p w14:paraId="4061DDEB">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严格控制不符合《规划》中规划产业的项目入园</w:t>
                  </w:r>
                </w:p>
              </w:tc>
              <w:tc>
                <w:tcPr>
                  <w:tcW w:w="3699" w:type="dxa"/>
                  <w:noWrap w:val="0"/>
                  <w:vAlign w:val="center"/>
                </w:tcPr>
                <w:p w14:paraId="0AB7F91B">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本项目位于富民工业园区白石岩——大白坡片区</w:t>
                  </w:r>
                  <w:r>
                    <w:rPr>
                      <w:rFonts w:hint="eastAsia" w:cs="Times New Roman"/>
                      <w:color w:val="auto"/>
                      <w:sz w:val="21"/>
                      <w:szCs w:val="21"/>
                      <w:highlight w:val="none"/>
                      <w:lang w:val="en-US" w:eastAsia="zh-CN" w:bidi="ar-SA"/>
                    </w:rPr>
                    <w:t>哨箐</w:t>
                  </w:r>
                  <w:r>
                    <w:rPr>
                      <w:rFonts w:hint="eastAsia" w:ascii="Times New Roman" w:hAnsi="Times New Roman" w:eastAsia="宋体" w:cs="Times New Roman"/>
                      <w:color w:val="auto"/>
                      <w:sz w:val="21"/>
                      <w:szCs w:val="21"/>
                      <w:highlight w:val="none"/>
                      <w:lang w:val="en-US" w:eastAsia="zh-CN" w:bidi="ar-SA"/>
                    </w:rPr>
                    <w:t>组团，重点发展装备制造业、辅助发展精细化工、机械加工、商贸物流等行业类型，</w:t>
                  </w:r>
                  <w:r>
                    <w:rPr>
                      <w:rFonts w:hint="default" w:ascii="Times New Roman" w:hAnsi="Times New Roman" w:eastAsia="宋体" w:cs="Times New Roman"/>
                      <w:color w:val="auto"/>
                      <w:sz w:val="21"/>
                      <w:szCs w:val="21"/>
                      <w:highlight w:val="none"/>
                      <w:lang w:val="en-US" w:eastAsia="zh-CN" w:bidi="ar-SA"/>
                    </w:rPr>
                    <w:t>项目</w:t>
                  </w:r>
                  <w:r>
                    <w:rPr>
                      <w:rFonts w:hint="eastAsia" w:ascii="Times New Roman" w:hAnsi="Times New Roman" w:eastAsia="宋体" w:cs="Times New Roman"/>
                      <w:color w:val="auto"/>
                      <w:sz w:val="21"/>
                      <w:szCs w:val="21"/>
                      <w:highlight w:val="none"/>
                      <w:lang w:val="en-US" w:eastAsia="zh-CN" w:bidi="ar-SA"/>
                    </w:rPr>
                    <w:t>产品为</w:t>
                  </w:r>
                  <w:r>
                    <w:rPr>
                      <w:rFonts w:hint="eastAsia" w:cs="Times New Roman"/>
                      <w:color w:val="auto"/>
                      <w:sz w:val="21"/>
                      <w:szCs w:val="21"/>
                      <w:highlight w:val="none"/>
                      <w:lang w:val="en-US" w:eastAsia="zh-CN" w:bidi="ar-SA"/>
                    </w:rPr>
                    <w:t>腻子粉、水性涂料</w:t>
                  </w:r>
                  <w:r>
                    <w:rPr>
                      <w:rFonts w:hint="eastAsia" w:ascii="Times New Roman" w:hAnsi="Times New Roman" w:eastAsia="宋体" w:cs="Times New Roman"/>
                      <w:color w:val="auto"/>
                      <w:sz w:val="21"/>
                      <w:szCs w:val="21"/>
                      <w:highlight w:val="none"/>
                      <w:lang w:val="en-US" w:eastAsia="zh-CN" w:bidi="ar-SA"/>
                    </w:rPr>
                    <w:t>，</w:t>
                  </w:r>
                  <w:r>
                    <w:rPr>
                      <w:rFonts w:hint="eastAsia" w:cs="Times New Roman"/>
                      <w:color w:val="auto"/>
                      <w:sz w:val="21"/>
                      <w:szCs w:val="21"/>
                      <w:highlight w:val="none"/>
                      <w:lang w:val="en-US" w:eastAsia="zh-CN" w:bidi="ar-SA"/>
                    </w:rPr>
                    <w:t>精细化工类项目</w:t>
                  </w:r>
                  <w:r>
                    <w:rPr>
                      <w:rFonts w:hint="eastAsia" w:ascii="Times New Roman" w:hAnsi="Times New Roman" w:eastAsia="宋体" w:cs="Times New Roman"/>
                      <w:color w:val="auto"/>
                      <w:sz w:val="21"/>
                      <w:szCs w:val="21"/>
                      <w:highlight w:val="none"/>
                      <w:lang w:val="en-US" w:eastAsia="zh-CN" w:bidi="ar-SA"/>
                    </w:rPr>
                    <w:t>，且</w:t>
                  </w:r>
                  <w:r>
                    <w:rPr>
                      <w:rFonts w:hint="eastAsia" w:cs="Times New Roman"/>
                      <w:color w:val="auto"/>
                      <w:sz w:val="21"/>
                      <w:szCs w:val="21"/>
                      <w:highlight w:val="none"/>
                      <w:lang w:val="en-US" w:eastAsia="zh-CN" w:bidi="ar-SA"/>
                    </w:rPr>
                    <w:t>已取得</w:t>
                  </w:r>
                  <w:r>
                    <w:rPr>
                      <w:rFonts w:hint="eastAsia" w:ascii="Times New Roman" w:hAnsi="Times New Roman" w:eastAsia="宋体" w:cs="Times New Roman"/>
                      <w:color w:val="auto"/>
                      <w:sz w:val="21"/>
                      <w:szCs w:val="21"/>
                      <w:highlight w:val="none"/>
                      <w:lang w:val="en-US" w:eastAsia="zh-CN" w:bidi="ar-SA"/>
                    </w:rPr>
                    <w:t>富民工业园区管理委员同意入园，因此，本项目与白石岩—大白坡片区</w:t>
                  </w:r>
                  <w:r>
                    <w:rPr>
                      <w:rFonts w:hint="eastAsia" w:cs="Times New Roman"/>
                      <w:color w:val="auto"/>
                      <w:sz w:val="21"/>
                      <w:szCs w:val="21"/>
                      <w:highlight w:val="none"/>
                      <w:lang w:val="en-US" w:eastAsia="zh-CN" w:bidi="ar-SA"/>
                    </w:rPr>
                    <w:t>哨箐</w:t>
                  </w:r>
                  <w:r>
                    <w:rPr>
                      <w:rFonts w:hint="eastAsia" w:ascii="Times New Roman" w:hAnsi="Times New Roman" w:eastAsia="宋体" w:cs="Times New Roman"/>
                      <w:color w:val="auto"/>
                      <w:sz w:val="21"/>
                      <w:szCs w:val="21"/>
                      <w:highlight w:val="none"/>
                      <w:lang w:val="en-US" w:eastAsia="zh-CN" w:bidi="ar-SA"/>
                    </w:rPr>
                    <w:t>组团</w:t>
                  </w:r>
                  <w:r>
                    <w:rPr>
                      <w:rFonts w:hint="eastAsia" w:cs="Times New Roman"/>
                      <w:color w:val="auto"/>
                      <w:sz w:val="21"/>
                      <w:szCs w:val="21"/>
                      <w:highlight w:val="none"/>
                      <w:lang w:val="en-US" w:eastAsia="zh-CN" w:bidi="ar-SA"/>
                    </w:rPr>
                    <w:t>，</w:t>
                  </w:r>
                  <w:r>
                    <w:rPr>
                      <w:rFonts w:hint="eastAsia" w:ascii="Times New Roman" w:hAnsi="Times New Roman" w:eastAsia="宋体" w:cs="Times New Roman"/>
                      <w:color w:val="auto"/>
                      <w:sz w:val="21"/>
                      <w:szCs w:val="21"/>
                      <w:highlight w:val="none"/>
                      <w:lang w:val="en-US" w:eastAsia="zh-CN" w:bidi="ar-SA"/>
                    </w:rPr>
                    <w:t>产业定位不冲突，项目与园区总体规划</w:t>
                  </w:r>
                  <w:r>
                    <w:rPr>
                      <w:rFonts w:hint="eastAsia" w:cs="Times New Roman"/>
                      <w:color w:val="auto"/>
                      <w:sz w:val="21"/>
                      <w:szCs w:val="21"/>
                      <w:highlight w:val="none"/>
                      <w:lang w:val="en-US" w:eastAsia="zh-CN" w:bidi="ar-SA"/>
                    </w:rPr>
                    <w:t>相符</w:t>
                  </w:r>
                  <w:r>
                    <w:rPr>
                      <w:rFonts w:hint="eastAsia" w:ascii="Times New Roman" w:hAnsi="Times New Roman" w:eastAsia="宋体" w:cs="Times New Roman"/>
                      <w:color w:val="auto"/>
                      <w:sz w:val="21"/>
                      <w:szCs w:val="21"/>
                      <w:highlight w:val="none"/>
                      <w:lang w:val="en-US" w:eastAsia="zh-CN" w:bidi="ar-SA"/>
                    </w:rPr>
                    <w:t>。</w:t>
                  </w:r>
                </w:p>
              </w:tc>
              <w:tc>
                <w:tcPr>
                  <w:tcW w:w="745" w:type="dxa"/>
                  <w:noWrap w:val="0"/>
                  <w:vAlign w:val="center"/>
                </w:tcPr>
                <w:p w14:paraId="6D24BCD5">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17CE2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67ACACCA">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3</w:t>
                  </w:r>
                </w:p>
              </w:tc>
              <w:tc>
                <w:tcPr>
                  <w:tcW w:w="2683" w:type="dxa"/>
                  <w:noWrap w:val="0"/>
                  <w:vAlign w:val="center"/>
                </w:tcPr>
                <w:p w14:paraId="12AF6C5E">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禁止未满足区域总量控制要求的项目入园</w:t>
                  </w:r>
                </w:p>
              </w:tc>
              <w:tc>
                <w:tcPr>
                  <w:tcW w:w="3699" w:type="dxa"/>
                  <w:noWrap w:val="0"/>
                  <w:vAlign w:val="center"/>
                </w:tcPr>
                <w:p w14:paraId="51DE345A">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根据《</w:t>
                  </w:r>
                  <w:r>
                    <w:rPr>
                      <w:rFonts w:hint="default" w:ascii="Times New Roman" w:hAnsi="Times New Roman" w:eastAsia="宋体" w:cs="Times New Roman"/>
                      <w:color w:val="auto"/>
                      <w:sz w:val="21"/>
                      <w:szCs w:val="21"/>
                      <w:highlight w:val="none"/>
                      <w:lang w:val="en-US" w:eastAsia="zh-CN" w:bidi="ar-SA"/>
                    </w:rPr>
                    <w:t>富民工业园区总体规划修编（2015-2030）环境影响报告书</w:t>
                  </w:r>
                  <w:r>
                    <w:rPr>
                      <w:rFonts w:hint="eastAsia" w:ascii="Times New Roman" w:hAnsi="Times New Roman" w:eastAsia="宋体" w:cs="Times New Roman"/>
                      <w:color w:val="auto"/>
                      <w:sz w:val="21"/>
                      <w:szCs w:val="21"/>
                      <w:highlight w:val="none"/>
                      <w:lang w:val="en-US" w:eastAsia="zh-CN" w:bidi="ar-SA"/>
                    </w:rPr>
                    <w:t>》，区域总量控制指标为：SO</w:t>
                  </w:r>
                  <w:r>
                    <w:rPr>
                      <w:rFonts w:hint="eastAsia" w:ascii="Times New Roman" w:hAnsi="Times New Roman" w:eastAsia="宋体" w:cs="Times New Roman"/>
                      <w:color w:val="auto"/>
                      <w:sz w:val="21"/>
                      <w:szCs w:val="21"/>
                      <w:highlight w:val="none"/>
                      <w:vertAlign w:val="subscript"/>
                      <w:lang w:val="en-US" w:eastAsia="zh-CN" w:bidi="ar-SA"/>
                    </w:rPr>
                    <w:t>2</w:t>
                  </w:r>
                  <w:r>
                    <w:rPr>
                      <w:rFonts w:hint="eastAsia" w:ascii="Times New Roman" w:hAnsi="Times New Roman" w:eastAsia="宋体" w:cs="Times New Roman"/>
                      <w:color w:val="auto"/>
                      <w:sz w:val="21"/>
                      <w:szCs w:val="21"/>
                      <w:highlight w:val="none"/>
                      <w:lang w:val="en-US" w:eastAsia="zh-CN" w:bidi="ar-SA"/>
                    </w:rPr>
                    <w:t>、NO</w:t>
                  </w:r>
                  <w:r>
                    <w:rPr>
                      <w:rFonts w:hint="eastAsia" w:ascii="Times New Roman" w:hAnsi="Times New Roman" w:eastAsia="宋体" w:cs="Times New Roman"/>
                      <w:color w:val="auto"/>
                      <w:sz w:val="21"/>
                      <w:szCs w:val="21"/>
                      <w:highlight w:val="none"/>
                      <w:vertAlign w:val="subscript"/>
                      <w:lang w:val="en-US" w:eastAsia="zh-CN" w:bidi="ar-SA"/>
                    </w:rPr>
                    <w:t>2</w:t>
                  </w:r>
                  <w:r>
                    <w:rPr>
                      <w:rFonts w:hint="eastAsia" w:ascii="Times New Roman" w:hAnsi="Times New Roman" w:eastAsia="宋体" w:cs="Times New Roman"/>
                      <w:color w:val="auto"/>
                      <w:sz w:val="21"/>
                      <w:szCs w:val="21"/>
                      <w:highlight w:val="none"/>
                      <w:lang w:val="en-US" w:eastAsia="zh-CN" w:bidi="ar-SA"/>
                    </w:rPr>
                    <w:t>、CODcr和氨氮，本项目不涉及SO</w:t>
                  </w:r>
                  <w:r>
                    <w:rPr>
                      <w:rFonts w:hint="eastAsia" w:ascii="Times New Roman" w:hAnsi="Times New Roman" w:eastAsia="宋体" w:cs="Times New Roman"/>
                      <w:color w:val="auto"/>
                      <w:sz w:val="21"/>
                      <w:szCs w:val="21"/>
                      <w:highlight w:val="none"/>
                      <w:vertAlign w:val="subscript"/>
                      <w:lang w:val="en-US" w:eastAsia="zh-CN" w:bidi="ar-SA"/>
                    </w:rPr>
                    <w:t>2</w:t>
                  </w:r>
                  <w:r>
                    <w:rPr>
                      <w:rFonts w:hint="eastAsia" w:ascii="Times New Roman" w:hAnsi="Times New Roman" w:eastAsia="宋体" w:cs="Times New Roman"/>
                      <w:color w:val="auto"/>
                      <w:sz w:val="21"/>
                      <w:szCs w:val="21"/>
                      <w:highlight w:val="none"/>
                      <w:lang w:val="en-US" w:eastAsia="zh-CN" w:bidi="ar-SA"/>
                    </w:rPr>
                    <w:t>、NO</w:t>
                  </w:r>
                  <w:r>
                    <w:rPr>
                      <w:rFonts w:hint="eastAsia" w:ascii="Times New Roman" w:hAnsi="Times New Roman" w:eastAsia="宋体" w:cs="Times New Roman"/>
                      <w:color w:val="auto"/>
                      <w:sz w:val="21"/>
                      <w:szCs w:val="21"/>
                      <w:highlight w:val="none"/>
                      <w:vertAlign w:val="subscript"/>
                      <w:lang w:val="en-US" w:eastAsia="zh-CN" w:bidi="ar-SA"/>
                    </w:rPr>
                    <w:t>2</w:t>
                  </w:r>
                  <w:r>
                    <w:rPr>
                      <w:rFonts w:hint="eastAsia" w:ascii="Times New Roman" w:hAnsi="Times New Roman" w:eastAsia="宋体" w:cs="Times New Roman"/>
                      <w:color w:val="auto"/>
                      <w:sz w:val="21"/>
                      <w:szCs w:val="21"/>
                      <w:highlight w:val="none"/>
                      <w:lang w:val="en-US" w:eastAsia="zh-CN" w:bidi="ar-SA"/>
                    </w:rPr>
                    <w:t>、CODcr和氨氮的排放，项目涉及“十四五”控制指标VOCs排放，但排放量较小，且能达标排放。</w:t>
                  </w:r>
                </w:p>
              </w:tc>
              <w:tc>
                <w:tcPr>
                  <w:tcW w:w="745" w:type="dxa"/>
                  <w:noWrap w:val="0"/>
                  <w:vAlign w:val="center"/>
                </w:tcPr>
                <w:p w14:paraId="54E4D4F9">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35CC9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15508157">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w:t>
                  </w:r>
                </w:p>
              </w:tc>
              <w:tc>
                <w:tcPr>
                  <w:tcW w:w="2683" w:type="dxa"/>
                  <w:noWrap w:val="0"/>
                  <w:vAlign w:val="center"/>
                </w:tcPr>
                <w:p w14:paraId="57F21A68">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入园企业必须建设生产废水处理和回用设施，工业生产废水循环利用率应不低于80%。</w:t>
                  </w:r>
                </w:p>
              </w:tc>
              <w:tc>
                <w:tcPr>
                  <w:tcW w:w="3699" w:type="dxa"/>
                  <w:noWrap w:val="0"/>
                  <w:vAlign w:val="center"/>
                </w:tcPr>
                <w:p w14:paraId="3314018C">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本项目</w:t>
                  </w:r>
                  <w:r>
                    <w:rPr>
                      <w:rFonts w:hint="eastAsia" w:cs="Times New Roman"/>
                      <w:color w:val="auto"/>
                      <w:sz w:val="21"/>
                      <w:szCs w:val="21"/>
                      <w:highlight w:val="none"/>
                      <w:lang w:val="en-US" w:eastAsia="zh-CN" w:bidi="ar-SA"/>
                    </w:rPr>
                    <w:t>无工艺废水，</w:t>
                  </w:r>
                  <w:r>
                    <w:rPr>
                      <w:rFonts w:hint="default" w:ascii="Times New Roman" w:hAnsi="Times New Roman" w:eastAsia="宋体" w:cs="Times New Roman"/>
                      <w:color w:val="auto"/>
                      <w:sz w:val="21"/>
                      <w:szCs w:val="21"/>
                      <w:highlight w:val="none"/>
                      <w:lang w:val="en-US" w:eastAsia="zh-CN" w:bidi="ar-SA"/>
                    </w:rPr>
                    <w:t>生产废水</w:t>
                  </w:r>
                  <w:r>
                    <w:rPr>
                      <w:rFonts w:hint="eastAsia" w:cs="Times New Roman"/>
                      <w:color w:val="auto"/>
                      <w:sz w:val="21"/>
                      <w:szCs w:val="21"/>
                      <w:highlight w:val="none"/>
                      <w:lang w:val="en-US" w:eastAsia="zh-CN" w:bidi="ar-SA"/>
                    </w:rPr>
                    <w:t>经入自建污水处理站处理达《污水排入城镇下水道水质标准》（GB/T31962-2015）表1 中A 等级标准后进入园区污水管网</w:t>
                  </w:r>
                  <w:r>
                    <w:rPr>
                      <w:rFonts w:hint="default" w:ascii="Times New Roman" w:hAnsi="Times New Roman" w:eastAsia="宋体" w:cs="Times New Roman"/>
                      <w:color w:val="auto"/>
                      <w:sz w:val="21"/>
                      <w:szCs w:val="21"/>
                      <w:highlight w:val="none"/>
                      <w:lang w:val="en-US" w:eastAsia="zh-CN" w:bidi="ar-SA"/>
                    </w:rPr>
                    <w:t>。</w:t>
                  </w:r>
                </w:p>
              </w:tc>
              <w:tc>
                <w:tcPr>
                  <w:tcW w:w="745" w:type="dxa"/>
                  <w:noWrap w:val="0"/>
                  <w:vAlign w:val="center"/>
                </w:tcPr>
                <w:p w14:paraId="286B2499">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68471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4C78C1ED">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w:t>
                  </w:r>
                </w:p>
              </w:tc>
              <w:tc>
                <w:tcPr>
                  <w:tcW w:w="2683" w:type="dxa"/>
                  <w:noWrap w:val="0"/>
                  <w:vAlign w:val="center"/>
                </w:tcPr>
                <w:p w14:paraId="21B9A1D2">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大营-茨塘片区的大营组团不宜布局大气污染较重的工业企业，减轻工业污染对县城规划区域的影响。</w:t>
                  </w:r>
                </w:p>
              </w:tc>
              <w:tc>
                <w:tcPr>
                  <w:tcW w:w="3699" w:type="dxa"/>
                  <w:noWrap w:val="0"/>
                  <w:vAlign w:val="center"/>
                </w:tcPr>
                <w:p w14:paraId="4EBC66C6">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本项目</w:t>
                  </w:r>
                  <w:r>
                    <w:rPr>
                      <w:rFonts w:hint="eastAsia" w:ascii="Times New Roman" w:hAnsi="Times New Roman" w:eastAsia="宋体" w:cs="Times New Roman"/>
                      <w:color w:val="auto"/>
                      <w:sz w:val="21"/>
                      <w:szCs w:val="21"/>
                      <w:highlight w:val="none"/>
                      <w:lang w:val="en-US" w:eastAsia="zh-CN" w:bidi="ar-SA"/>
                    </w:rPr>
                    <w:t>不在</w:t>
                  </w:r>
                  <w:r>
                    <w:rPr>
                      <w:rFonts w:hint="default" w:ascii="Times New Roman" w:hAnsi="Times New Roman" w:eastAsia="宋体" w:cs="Times New Roman"/>
                      <w:color w:val="auto"/>
                      <w:sz w:val="21"/>
                      <w:szCs w:val="21"/>
                      <w:highlight w:val="none"/>
                      <w:lang w:val="en-US" w:eastAsia="zh-CN" w:bidi="ar-SA"/>
                    </w:rPr>
                    <w:t>大营-茨塘片区</w:t>
                  </w:r>
                  <w:r>
                    <w:rPr>
                      <w:rFonts w:hint="eastAsia" w:ascii="Times New Roman" w:hAnsi="Times New Roman" w:eastAsia="宋体" w:cs="Times New Roman"/>
                      <w:color w:val="auto"/>
                      <w:sz w:val="21"/>
                      <w:szCs w:val="21"/>
                      <w:highlight w:val="none"/>
                      <w:lang w:val="en-US" w:eastAsia="zh-CN" w:bidi="ar-SA"/>
                    </w:rPr>
                    <w:t>，且项目</w:t>
                  </w:r>
                  <w:r>
                    <w:rPr>
                      <w:rFonts w:hint="default" w:ascii="Times New Roman" w:hAnsi="Times New Roman" w:eastAsia="宋体" w:cs="Times New Roman"/>
                      <w:color w:val="auto"/>
                      <w:sz w:val="21"/>
                      <w:szCs w:val="21"/>
                      <w:highlight w:val="none"/>
                      <w:lang w:val="en-US" w:eastAsia="zh-CN" w:bidi="ar-SA"/>
                    </w:rPr>
                    <w:t>不属于高污染工业企业</w:t>
                  </w:r>
                </w:p>
              </w:tc>
              <w:tc>
                <w:tcPr>
                  <w:tcW w:w="745" w:type="dxa"/>
                  <w:noWrap w:val="0"/>
                  <w:vAlign w:val="center"/>
                </w:tcPr>
                <w:p w14:paraId="08F05864">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0074E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7779" w:type="dxa"/>
                  <w:gridSpan w:val="4"/>
                  <w:noWrap w:val="0"/>
                  <w:vAlign w:val="center"/>
                </w:tcPr>
                <w:p w14:paraId="43D415BE">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入驻项目环保要</w:t>
                  </w:r>
                  <w:r>
                    <w:rPr>
                      <w:rFonts w:hint="eastAsia" w:ascii="Times New Roman" w:hAnsi="Times New Roman" w:eastAsia="宋体" w:cs="Times New Roman"/>
                      <w:color w:val="auto"/>
                      <w:sz w:val="21"/>
                      <w:szCs w:val="21"/>
                      <w:highlight w:val="none"/>
                      <w:lang w:val="en-US" w:eastAsia="zh-CN" w:bidi="ar-SA"/>
                    </w:rPr>
                    <w:t>求</w:t>
                  </w:r>
                </w:p>
              </w:tc>
            </w:tr>
            <w:tr w14:paraId="5AAC4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56072ECC">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w:t>
                  </w:r>
                </w:p>
              </w:tc>
              <w:tc>
                <w:tcPr>
                  <w:tcW w:w="2683" w:type="dxa"/>
                  <w:noWrap w:val="0"/>
                  <w:vAlign w:val="center"/>
                </w:tcPr>
                <w:p w14:paraId="67E728B6">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项目必须实现达标排放，同时满足规划区总量控制要求</w:t>
                  </w:r>
                </w:p>
              </w:tc>
              <w:tc>
                <w:tcPr>
                  <w:tcW w:w="3699" w:type="dxa"/>
                  <w:noWrap w:val="0"/>
                  <w:vAlign w:val="center"/>
                </w:tcPr>
                <w:p w14:paraId="26D3AAB7">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根据工程分析，本项目可实现达标排放</w:t>
                  </w:r>
                  <w:r>
                    <w:rPr>
                      <w:rFonts w:hint="eastAsia" w:ascii="Times New Roman" w:hAnsi="Times New Roman" w:eastAsia="宋体" w:cs="Times New Roman"/>
                      <w:color w:val="auto"/>
                      <w:sz w:val="21"/>
                      <w:szCs w:val="21"/>
                      <w:highlight w:val="none"/>
                      <w:lang w:val="en-US" w:eastAsia="zh-CN" w:bidi="ar-SA"/>
                    </w:rPr>
                    <w:t>，根据《</w:t>
                  </w:r>
                  <w:r>
                    <w:rPr>
                      <w:rFonts w:hint="default" w:ascii="Times New Roman" w:hAnsi="Times New Roman" w:eastAsia="宋体" w:cs="Times New Roman"/>
                      <w:color w:val="auto"/>
                      <w:sz w:val="21"/>
                      <w:szCs w:val="21"/>
                      <w:highlight w:val="none"/>
                      <w:lang w:val="en-US" w:eastAsia="zh-CN" w:bidi="ar-SA"/>
                    </w:rPr>
                    <w:t>富民工业园区总体规划修编（2015-2030）环境影响报告书</w:t>
                  </w:r>
                  <w:r>
                    <w:rPr>
                      <w:rFonts w:hint="eastAsia" w:ascii="Times New Roman" w:hAnsi="Times New Roman" w:eastAsia="宋体" w:cs="Times New Roman"/>
                      <w:color w:val="auto"/>
                      <w:sz w:val="21"/>
                      <w:szCs w:val="21"/>
                      <w:highlight w:val="none"/>
                      <w:lang w:val="en-US" w:eastAsia="zh-CN" w:bidi="ar-SA"/>
                    </w:rPr>
                    <w:t>》，区域总量控制指标为：SO</w:t>
                  </w:r>
                  <w:r>
                    <w:rPr>
                      <w:rFonts w:hint="eastAsia" w:ascii="Times New Roman" w:hAnsi="Times New Roman" w:eastAsia="宋体" w:cs="Times New Roman"/>
                      <w:color w:val="auto"/>
                      <w:sz w:val="21"/>
                      <w:szCs w:val="21"/>
                      <w:highlight w:val="none"/>
                      <w:vertAlign w:val="subscript"/>
                      <w:lang w:val="en-US" w:eastAsia="zh-CN" w:bidi="ar-SA"/>
                    </w:rPr>
                    <w:t>2</w:t>
                  </w:r>
                  <w:r>
                    <w:rPr>
                      <w:rFonts w:hint="eastAsia" w:ascii="Times New Roman" w:hAnsi="Times New Roman" w:eastAsia="宋体" w:cs="Times New Roman"/>
                      <w:color w:val="auto"/>
                      <w:sz w:val="21"/>
                      <w:szCs w:val="21"/>
                      <w:highlight w:val="none"/>
                      <w:lang w:val="en-US" w:eastAsia="zh-CN" w:bidi="ar-SA"/>
                    </w:rPr>
                    <w:t>、NO</w:t>
                  </w:r>
                  <w:r>
                    <w:rPr>
                      <w:rFonts w:hint="eastAsia" w:ascii="Times New Roman" w:hAnsi="Times New Roman" w:eastAsia="宋体" w:cs="Times New Roman"/>
                      <w:color w:val="auto"/>
                      <w:sz w:val="21"/>
                      <w:szCs w:val="21"/>
                      <w:highlight w:val="none"/>
                      <w:vertAlign w:val="subscript"/>
                      <w:lang w:val="en-US" w:eastAsia="zh-CN" w:bidi="ar-SA"/>
                    </w:rPr>
                    <w:t>2</w:t>
                  </w:r>
                  <w:r>
                    <w:rPr>
                      <w:rFonts w:hint="eastAsia" w:ascii="Times New Roman" w:hAnsi="Times New Roman" w:eastAsia="宋体" w:cs="Times New Roman"/>
                      <w:color w:val="auto"/>
                      <w:sz w:val="21"/>
                      <w:szCs w:val="21"/>
                      <w:highlight w:val="none"/>
                      <w:lang w:val="en-US" w:eastAsia="zh-CN" w:bidi="ar-SA"/>
                    </w:rPr>
                    <w:t>、CODcr和氨氮，本项目不涉及SO</w:t>
                  </w:r>
                  <w:r>
                    <w:rPr>
                      <w:rFonts w:hint="eastAsia" w:ascii="Times New Roman" w:hAnsi="Times New Roman" w:eastAsia="宋体" w:cs="Times New Roman"/>
                      <w:color w:val="auto"/>
                      <w:sz w:val="21"/>
                      <w:szCs w:val="21"/>
                      <w:highlight w:val="none"/>
                      <w:vertAlign w:val="subscript"/>
                      <w:lang w:val="en-US" w:eastAsia="zh-CN" w:bidi="ar-SA"/>
                    </w:rPr>
                    <w:t>2</w:t>
                  </w:r>
                  <w:r>
                    <w:rPr>
                      <w:rFonts w:hint="eastAsia" w:ascii="Times New Roman" w:hAnsi="Times New Roman" w:eastAsia="宋体" w:cs="Times New Roman"/>
                      <w:color w:val="auto"/>
                      <w:sz w:val="21"/>
                      <w:szCs w:val="21"/>
                      <w:highlight w:val="none"/>
                      <w:lang w:val="en-US" w:eastAsia="zh-CN" w:bidi="ar-SA"/>
                    </w:rPr>
                    <w:t>、NO</w:t>
                  </w:r>
                  <w:r>
                    <w:rPr>
                      <w:rFonts w:hint="eastAsia" w:ascii="Times New Roman" w:hAnsi="Times New Roman" w:eastAsia="宋体" w:cs="Times New Roman"/>
                      <w:color w:val="auto"/>
                      <w:sz w:val="21"/>
                      <w:szCs w:val="21"/>
                      <w:highlight w:val="none"/>
                      <w:vertAlign w:val="subscript"/>
                      <w:lang w:val="en-US" w:eastAsia="zh-CN" w:bidi="ar-SA"/>
                    </w:rPr>
                    <w:t>2</w:t>
                  </w:r>
                  <w:r>
                    <w:rPr>
                      <w:rFonts w:hint="eastAsia" w:ascii="Times New Roman" w:hAnsi="Times New Roman" w:eastAsia="宋体" w:cs="Times New Roman"/>
                      <w:color w:val="auto"/>
                      <w:sz w:val="21"/>
                      <w:szCs w:val="21"/>
                      <w:highlight w:val="none"/>
                      <w:lang w:val="en-US" w:eastAsia="zh-CN" w:bidi="ar-SA"/>
                    </w:rPr>
                    <w:t>、CODcr和氨氮的排放，项目涉及“十四五”控制指标VOCs排放，但排放量较小，且能达标排放</w:t>
                  </w:r>
                </w:p>
              </w:tc>
              <w:tc>
                <w:tcPr>
                  <w:tcW w:w="745" w:type="dxa"/>
                  <w:noWrap w:val="0"/>
                  <w:vAlign w:val="center"/>
                </w:tcPr>
                <w:p w14:paraId="3B215066">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45C3D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39E77ED7">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w:t>
                  </w:r>
                </w:p>
              </w:tc>
              <w:tc>
                <w:tcPr>
                  <w:tcW w:w="2683" w:type="dxa"/>
                  <w:noWrap w:val="0"/>
                  <w:vAlign w:val="center"/>
                </w:tcPr>
                <w:p w14:paraId="469462E5">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入驻项目应采取满足</w:t>
                  </w:r>
                  <w:r>
                    <w:rPr>
                      <w:rFonts w:hint="eastAsia" w:ascii="Times New Roman" w:hAnsi="Times New Roman" w:eastAsia="宋体" w:cs="Times New Roman"/>
                      <w:color w:val="auto"/>
                      <w:sz w:val="21"/>
                      <w:szCs w:val="21"/>
                      <w:highlight w:val="none"/>
                      <w:lang w:val="en-US" w:eastAsia="zh-CN" w:bidi="ar-SA"/>
                    </w:rPr>
                    <w:t>达</w:t>
                  </w:r>
                  <w:r>
                    <w:rPr>
                      <w:rFonts w:hint="default" w:ascii="Times New Roman" w:hAnsi="Times New Roman" w:eastAsia="宋体" w:cs="Times New Roman"/>
                      <w:color w:val="auto"/>
                      <w:sz w:val="21"/>
                      <w:szCs w:val="21"/>
                      <w:highlight w:val="none"/>
                      <w:lang w:val="en-US" w:eastAsia="zh-CN" w:bidi="ar-SA"/>
                    </w:rPr>
                    <w:t>标排放要求、运行稳定、技术先进、经济效益好的污染治理设施、措施；</w:t>
                  </w:r>
                </w:p>
              </w:tc>
              <w:tc>
                <w:tcPr>
                  <w:tcW w:w="3699" w:type="dxa"/>
                  <w:noWrap w:val="0"/>
                  <w:vAlign w:val="center"/>
                </w:tcPr>
                <w:p w14:paraId="7C8077FB">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本项目大气污染物主要为颗粒物，</w:t>
                  </w:r>
                  <w:r>
                    <w:rPr>
                      <w:rFonts w:hint="eastAsia" w:cs="Times New Roman"/>
                      <w:color w:val="auto"/>
                      <w:sz w:val="21"/>
                      <w:szCs w:val="21"/>
                      <w:highlight w:val="none"/>
                      <w:lang w:val="en-US" w:eastAsia="zh-CN" w:bidi="ar-SA"/>
                    </w:rPr>
                    <w:t>非甲烷总烃等、氨，</w:t>
                  </w:r>
                  <w:r>
                    <w:rPr>
                      <w:rFonts w:hint="eastAsia" w:ascii="Times New Roman" w:hAnsi="Times New Roman" w:eastAsia="宋体" w:cs="Times New Roman"/>
                      <w:color w:val="auto"/>
                      <w:sz w:val="21"/>
                      <w:szCs w:val="21"/>
                      <w:highlight w:val="none"/>
                      <w:lang w:val="en-US" w:eastAsia="zh-CN" w:bidi="ar-SA"/>
                    </w:rPr>
                    <w:t>项目生产期间</w:t>
                  </w:r>
                  <w:r>
                    <w:rPr>
                      <w:rFonts w:hint="eastAsia" w:cs="Times New Roman"/>
                      <w:color w:val="auto"/>
                      <w:sz w:val="21"/>
                      <w:szCs w:val="21"/>
                      <w:highlight w:val="none"/>
                      <w:lang w:val="en-US" w:eastAsia="zh-CN" w:bidi="ar-SA"/>
                    </w:rPr>
                    <w:t>投料产生的粉尘</w:t>
                  </w:r>
                  <w:r>
                    <w:rPr>
                      <w:rFonts w:hint="eastAsia" w:ascii="Times New Roman" w:hAnsi="Times New Roman" w:eastAsia="宋体" w:cs="Times New Roman"/>
                      <w:color w:val="auto"/>
                      <w:sz w:val="21"/>
                      <w:szCs w:val="21"/>
                      <w:highlight w:val="none"/>
                      <w:lang w:val="en-US" w:eastAsia="zh-CN" w:bidi="ar-SA"/>
                    </w:rPr>
                    <w:t>经布袋除尘处理后可达标排放，</w:t>
                  </w:r>
                  <w:r>
                    <w:rPr>
                      <w:rFonts w:hint="eastAsia" w:cs="Times New Roman"/>
                      <w:color w:val="auto"/>
                      <w:sz w:val="21"/>
                      <w:szCs w:val="21"/>
                      <w:highlight w:val="none"/>
                      <w:lang w:val="en-US" w:eastAsia="zh-CN" w:bidi="ar-SA"/>
                    </w:rPr>
                    <w:t>水性涂料生产产生的非甲烷总烃采用UV光解+活性炭吸附装置处理后达标排放，</w:t>
                  </w:r>
                  <w:r>
                    <w:rPr>
                      <w:rFonts w:hint="eastAsia" w:ascii="Times New Roman" w:hAnsi="Times New Roman" w:eastAsia="宋体" w:cs="Times New Roman"/>
                      <w:color w:val="auto"/>
                      <w:sz w:val="21"/>
                      <w:szCs w:val="21"/>
                      <w:highlight w:val="none"/>
                      <w:lang w:val="en-US" w:eastAsia="zh-CN" w:bidi="ar-SA"/>
                    </w:rPr>
                    <w:t>对环境影响可接受；</w:t>
                  </w:r>
                  <w:r>
                    <w:rPr>
                      <w:rFonts w:hint="default" w:ascii="Times New Roman" w:hAnsi="Times New Roman" w:eastAsia="宋体" w:cs="Times New Roman"/>
                      <w:color w:val="auto"/>
                      <w:sz w:val="21"/>
                      <w:szCs w:val="21"/>
                      <w:highlight w:val="none"/>
                      <w:lang w:val="en-US" w:eastAsia="zh-CN" w:bidi="ar-SA"/>
                    </w:rPr>
                    <w:t>项目生产废水</w:t>
                  </w:r>
                  <w:r>
                    <w:rPr>
                      <w:rFonts w:hint="eastAsia" w:ascii="Times New Roman" w:hAnsi="Times New Roman" w:eastAsia="宋体" w:cs="Times New Roman"/>
                      <w:color w:val="auto"/>
                      <w:sz w:val="21"/>
                      <w:szCs w:val="21"/>
                      <w:highlight w:val="none"/>
                      <w:lang w:val="en-US" w:eastAsia="zh-CN" w:bidi="ar-SA"/>
                    </w:rPr>
                    <w:t>及</w:t>
                  </w:r>
                  <w:r>
                    <w:rPr>
                      <w:rFonts w:hint="default" w:ascii="Times New Roman" w:hAnsi="Times New Roman" w:eastAsia="宋体" w:cs="Times New Roman"/>
                      <w:color w:val="auto"/>
                      <w:sz w:val="21"/>
                      <w:szCs w:val="21"/>
                      <w:highlight w:val="none"/>
                      <w:lang w:val="en-US" w:eastAsia="zh-CN" w:bidi="ar-SA"/>
                    </w:rPr>
                    <w:t>生活污水</w:t>
                  </w:r>
                  <w:r>
                    <w:rPr>
                      <w:rFonts w:hint="eastAsia" w:cs="Times New Roman"/>
                      <w:color w:val="auto"/>
                      <w:sz w:val="21"/>
                      <w:szCs w:val="21"/>
                      <w:highlight w:val="none"/>
                      <w:lang w:val="en-US" w:eastAsia="zh-CN" w:bidi="ar-SA"/>
                    </w:rPr>
                    <w:t>经自建污水处理站处理后进入园区污水管网</w:t>
                  </w:r>
                  <w:r>
                    <w:rPr>
                      <w:rFonts w:hint="default" w:ascii="Times New Roman" w:hAnsi="Times New Roman" w:eastAsia="宋体" w:cs="Times New Roman"/>
                      <w:color w:val="auto"/>
                      <w:sz w:val="21"/>
                      <w:szCs w:val="21"/>
                      <w:highlight w:val="none"/>
                      <w:lang w:val="en-US" w:eastAsia="zh-CN" w:bidi="ar-SA"/>
                    </w:rPr>
                    <w:t>。废水、废气、噪声均属于满足达标排放要求、运行稳定、技术先进、经济效益好的污染治理设施、措施。</w:t>
                  </w:r>
                </w:p>
              </w:tc>
              <w:tc>
                <w:tcPr>
                  <w:tcW w:w="745" w:type="dxa"/>
                  <w:noWrap w:val="0"/>
                  <w:vAlign w:val="center"/>
                </w:tcPr>
                <w:p w14:paraId="41688446">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773D0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73AF4A80">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3</w:t>
                  </w:r>
                </w:p>
              </w:tc>
              <w:tc>
                <w:tcPr>
                  <w:tcW w:w="2683" w:type="dxa"/>
                  <w:noWrap w:val="0"/>
                  <w:vAlign w:val="center"/>
                </w:tcPr>
                <w:p w14:paraId="684AA3B3">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对排放相同特征污染物的企业，应鼓励企业之间设联合污染治理措施，以降低污染治理成本；</w:t>
                  </w:r>
                </w:p>
              </w:tc>
              <w:tc>
                <w:tcPr>
                  <w:tcW w:w="3699" w:type="dxa"/>
                  <w:noWrap w:val="0"/>
                  <w:vAlign w:val="center"/>
                </w:tcPr>
                <w:p w14:paraId="1CF7095D">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本项目与项目周边</w:t>
                  </w:r>
                  <w:r>
                    <w:rPr>
                      <w:rFonts w:hint="default" w:ascii="Times New Roman" w:hAnsi="Times New Roman" w:eastAsia="宋体" w:cs="Times New Roman"/>
                      <w:color w:val="auto"/>
                      <w:sz w:val="21"/>
                      <w:szCs w:val="21"/>
                      <w:highlight w:val="none"/>
                      <w:lang w:val="en-US" w:eastAsia="zh-CN" w:bidi="ar-SA"/>
                    </w:rPr>
                    <w:t>公司</w:t>
                  </w:r>
                  <w:r>
                    <w:rPr>
                      <w:rFonts w:hint="eastAsia" w:ascii="Times New Roman" w:hAnsi="Times New Roman" w:eastAsia="宋体" w:cs="Times New Roman"/>
                      <w:color w:val="auto"/>
                      <w:sz w:val="21"/>
                      <w:szCs w:val="21"/>
                      <w:highlight w:val="none"/>
                      <w:lang w:val="en-US" w:eastAsia="zh-CN" w:bidi="ar-SA"/>
                    </w:rPr>
                    <w:t>之间不属于同类型企业，不具备</w:t>
                  </w:r>
                  <w:r>
                    <w:rPr>
                      <w:rFonts w:hint="default" w:ascii="Times New Roman" w:hAnsi="Times New Roman" w:eastAsia="宋体" w:cs="Times New Roman"/>
                      <w:color w:val="auto"/>
                      <w:sz w:val="21"/>
                      <w:szCs w:val="21"/>
                      <w:highlight w:val="none"/>
                      <w:lang w:val="en-US" w:eastAsia="zh-CN" w:bidi="ar-SA"/>
                    </w:rPr>
                    <w:t>建设联合污染治理措施</w:t>
                  </w:r>
                  <w:r>
                    <w:rPr>
                      <w:rFonts w:hint="eastAsia" w:ascii="Times New Roman" w:hAnsi="Times New Roman" w:eastAsia="宋体" w:cs="Times New Roman"/>
                      <w:color w:val="auto"/>
                      <w:sz w:val="21"/>
                      <w:szCs w:val="21"/>
                      <w:highlight w:val="none"/>
                      <w:lang w:val="en-US" w:eastAsia="zh-CN" w:bidi="ar-SA"/>
                    </w:rPr>
                    <w:t>的条件</w:t>
                  </w:r>
                </w:p>
              </w:tc>
              <w:tc>
                <w:tcPr>
                  <w:tcW w:w="745" w:type="dxa"/>
                  <w:noWrap w:val="0"/>
                  <w:vAlign w:val="center"/>
                </w:tcPr>
                <w:p w14:paraId="70BDB081">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799EB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4841E7A4">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w:t>
                  </w:r>
                </w:p>
              </w:tc>
              <w:tc>
                <w:tcPr>
                  <w:tcW w:w="2683" w:type="dxa"/>
                  <w:noWrap w:val="0"/>
                  <w:vAlign w:val="center"/>
                </w:tcPr>
                <w:p w14:paraId="2D4B894B">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入驻企业产生的各种工业固体</w:t>
                  </w:r>
                  <w:r>
                    <w:rPr>
                      <w:rFonts w:hint="default" w:ascii="Times New Roman" w:hAnsi="Times New Roman" w:eastAsia="宋体" w:cs="Times New Roman"/>
                      <w:color w:val="auto"/>
                      <w:sz w:val="21"/>
                      <w:szCs w:val="21"/>
                      <w:highlight w:val="none"/>
                      <w:lang w:val="en-US" w:eastAsia="zh-CN" w:bidi="ar-SA"/>
                    </w:rPr>
                    <w:cr/>
                  </w:r>
                  <w:r>
                    <w:rPr>
                      <w:rFonts w:hint="default" w:ascii="Times New Roman" w:hAnsi="Times New Roman" w:eastAsia="宋体" w:cs="Times New Roman"/>
                      <w:color w:val="auto"/>
                      <w:sz w:val="21"/>
                      <w:szCs w:val="21"/>
                      <w:highlight w:val="none"/>
                      <w:lang w:val="en-US" w:eastAsia="zh-CN" w:bidi="ar-SA"/>
                    </w:rPr>
                    <w:t>弃物，应满足“减量化、资源化、无害化”要求，实现废物的零排放；</w:t>
                  </w:r>
                </w:p>
              </w:tc>
              <w:tc>
                <w:tcPr>
                  <w:tcW w:w="3699" w:type="dxa"/>
                  <w:noWrap w:val="0"/>
                  <w:vAlign w:val="center"/>
                </w:tcPr>
                <w:p w14:paraId="10D92D18">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项目固体废物做到有效处置，处置率100%。</w:t>
                  </w:r>
                </w:p>
              </w:tc>
              <w:tc>
                <w:tcPr>
                  <w:tcW w:w="745" w:type="dxa"/>
                  <w:noWrap w:val="0"/>
                  <w:vAlign w:val="center"/>
                </w:tcPr>
                <w:p w14:paraId="762D28BA">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5CBEC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52FA6C70">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w:t>
                  </w:r>
                </w:p>
              </w:tc>
              <w:tc>
                <w:tcPr>
                  <w:tcW w:w="2683" w:type="dxa"/>
                  <w:noWrap w:val="0"/>
                  <w:vAlign w:val="center"/>
                </w:tcPr>
                <w:p w14:paraId="782D92EE">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限制发展高</w:t>
                  </w:r>
                  <w:r>
                    <w:rPr>
                      <w:rFonts w:hint="eastAsia" w:ascii="Times New Roman" w:hAnsi="Times New Roman" w:eastAsia="宋体" w:cs="Times New Roman"/>
                      <w:color w:val="auto"/>
                      <w:sz w:val="21"/>
                      <w:szCs w:val="21"/>
                      <w:highlight w:val="none"/>
                      <w:lang w:val="en-US" w:eastAsia="zh-CN" w:bidi="ar-SA"/>
                    </w:rPr>
                    <w:t>耗</w:t>
                  </w:r>
                  <w:r>
                    <w:rPr>
                      <w:rFonts w:hint="default" w:ascii="Times New Roman" w:hAnsi="Times New Roman" w:eastAsia="宋体" w:cs="Times New Roman"/>
                      <w:color w:val="auto"/>
                      <w:sz w:val="21"/>
                      <w:szCs w:val="21"/>
                      <w:highlight w:val="none"/>
                      <w:lang w:val="en-US" w:eastAsia="zh-CN" w:bidi="ar-SA"/>
                    </w:rPr>
                    <w:t>水、高排水产业；</w:t>
                  </w:r>
                </w:p>
              </w:tc>
              <w:tc>
                <w:tcPr>
                  <w:tcW w:w="3699" w:type="dxa"/>
                  <w:noWrap w:val="0"/>
                  <w:vAlign w:val="center"/>
                </w:tcPr>
                <w:p w14:paraId="0805E6AD">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本项目不属于高</w:t>
                  </w:r>
                  <w:r>
                    <w:rPr>
                      <w:rFonts w:hint="eastAsia" w:ascii="Times New Roman" w:hAnsi="Times New Roman" w:eastAsia="宋体" w:cs="Times New Roman"/>
                      <w:color w:val="auto"/>
                      <w:sz w:val="21"/>
                      <w:szCs w:val="21"/>
                      <w:highlight w:val="none"/>
                      <w:lang w:val="en-US" w:eastAsia="zh-CN" w:bidi="ar-SA"/>
                    </w:rPr>
                    <w:t>耗</w:t>
                  </w:r>
                  <w:r>
                    <w:rPr>
                      <w:rFonts w:hint="default" w:ascii="Times New Roman" w:hAnsi="Times New Roman" w:eastAsia="宋体" w:cs="Times New Roman"/>
                      <w:color w:val="auto"/>
                      <w:sz w:val="21"/>
                      <w:szCs w:val="21"/>
                      <w:highlight w:val="none"/>
                      <w:lang w:val="en-US" w:eastAsia="zh-CN" w:bidi="ar-SA"/>
                    </w:rPr>
                    <w:t>水、高排水企业</w:t>
                  </w:r>
                </w:p>
              </w:tc>
              <w:tc>
                <w:tcPr>
                  <w:tcW w:w="745" w:type="dxa"/>
                  <w:noWrap w:val="0"/>
                  <w:vAlign w:val="center"/>
                </w:tcPr>
                <w:p w14:paraId="772E90BB">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10245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3B4B728B">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6</w:t>
                  </w:r>
                </w:p>
              </w:tc>
              <w:tc>
                <w:tcPr>
                  <w:tcW w:w="2683" w:type="dxa"/>
                  <w:noWrap w:val="0"/>
                  <w:vAlign w:val="center"/>
                </w:tcPr>
                <w:p w14:paraId="381FBE1C">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应鼓励各入驻企业积极参与和本企业有关的环保技术的研发，并尽快形成生产力</w:t>
                  </w:r>
                </w:p>
              </w:tc>
              <w:tc>
                <w:tcPr>
                  <w:tcW w:w="3699" w:type="dxa"/>
                  <w:noWrap w:val="0"/>
                  <w:vAlign w:val="center"/>
                </w:tcPr>
                <w:p w14:paraId="4130EBF0">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p>
              </w:tc>
              <w:tc>
                <w:tcPr>
                  <w:tcW w:w="745" w:type="dxa"/>
                  <w:noWrap w:val="0"/>
                  <w:vAlign w:val="center"/>
                </w:tcPr>
                <w:p w14:paraId="0A5E797D">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不冲突</w:t>
                  </w:r>
                </w:p>
              </w:tc>
            </w:tr>
            <w:tr w14:paraId="17B75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049D5DA2">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7</w:t>
                  </w:r>
                </w:p>
              </w:tc>
              <w:tc>
                <w:tcPr>
                  <w:tcW w:w="2683" w:type="dxa"/>
                  <w:noWrap w:val="0"/>
                  <w:vAlign w:val="center"/>
                </w:tcPr>
                <w:p w14:paraId="7AE3AE80">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企业选址应符合《昆明市河道管理条例》的相关要求；</w:t>
                  </w:r>
                </w:p>
              </w:tc>
              <w:tc>
                <w:tcPr>
                  <w:tcW w:w="3699" w:type="dxa"/>
                  <w:noWrap w:val="0"/>
                  <w:vAlign w:val="center"/>
                </w:tcPr>
                <w:p w14:paraId="6E26D310">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根据《昆明市河道管理条例（2016年修订版）》，无堤防的河道管理范围为水域、沙洲、湿地、滩地及河口两侧不小于10m距离、河道管理范围以外10-100m范围为河道的保护范围。本项目距离最近河道超过</w:t>
                  </w:r>
                  <w:r>
                    <w:rPr>
                      <w:rFonts w:hint="eastAsia" w:cs="Times New Roman"/>
                      <w:color w:val="auto"/>
                      <w:sz w:val="21"/>
                      <w:szCs w:val="21"/>
                      <w:highlight w:val="none"/>
                      <w:lang w:val="en-US" w:eastAsia="zh-CN" w:bidi="ar-SA"/>
                    </w:rPr>
                    <w:t>1.3k</w:t>
                  </w:r>
                  <w:r>
                    <w:rPr>
                      <w:rFonts w:hint="default" w:ascii="Times New Roman" w:hAnsi="Times New Roman" w:eastAsia="宋体" w:cs="Times New Roman"/>
                      <w:color w:val="auto"/>
                      <w:sz w:val="21"/>
                      <w:szCs w:val="21"/>
                      <w:highlight w:val="none"/>
                      <w:lang w:val="en-US" w:eastAsia="zh-CN" w:bidi="ar-SA"/>
                    </w:rPr>
                    <w:t>m</w:t>
                  </w:r>
                  <w:r>
                    <w:rPr>
                      <w:rFonts w:hint="eastAsia" w:ascii="Times New Roman" w:hAnsi="Times New Roman" w:eastAsia="宋体" w:cs="Times New Roman"/>
                      <w:color w:val="auto"/>
                      <w:sz w:val="21"/>
                      <w:szCs w:val="21"/>
                      <w:highlight w:val="none"/>
                      <w:lang w:val="en-US" w:eastAsia="zh-CN" w:bidi="ar-SA"/>
                    </w:rPr>
                    <w:t>（螳螂川），不在河道管理范围内</w:t>
                  </w:r>
                  <w:r>
                    <w:rPr>
                      <w:rFonts w:hint="default" w:ascii="Times New Roman" w:hAnsi="Times New Roman" w:eastAsia="宋体" w:cs="Times New Roman"/>
                      <w:color w:val="auto"/>
                      <w:sz w:val="21"/>
                      <w:szCs w:val="21"/>
                      <w:highlight w:val="none"/>
                      <w:lang w:val="en-US" w:eastAsia="zh-CN" w:bidi="ar-SA"/>
                    </w:rPr>
                    <w:t>。</w:t>
                  </w:r>
                </w:p>
              </w:tc>
              <w:tc>
                <w:tcPr>
                  <w:tcW w:w="745" w:type="dxa"/>
                  <w:noWrap w:val="0"/>
                  <w:vAlign w:val="center"/>
                </w:tcPr>
                <w:p w14:paraId="6D7B6F1E">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符合</w:t>
                  </w:r>
                </w:p>
              </w:tc>
            </w:tr>
            <w:tr w14:paraId="1BB55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7BBE17C9">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8</w:t>
                  </w:r>
                </w:p>
              </w:tc>
              <w:tc>
                <w:tcPr>
                  <w:tcW w:w="2683" w:type="dxa"/>
                  <w:noWrap w:val="0"/>
                  <w:vAlign w:val="center"/>
                </w:tcPr>
                <w:p w14:paraId="2800ECD5">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入驻企业清洁生产水平应达到国内先进水平以上</w:t>
                  </w:r>
                </w:p>
              </w:tc>
              <w:tc>
                <w:tcPr>
                  <w:tcW w:w="3699" w:type="dxa"/>
                  <w:noWrap w:val="0"/>
                  <w:vAlign w:val="center"/>
                </w:tcPr>
                <w:p w14:paraId="2B0AF10A">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项目能耗较低，对所在地完成能源消耗总量和强度目标、煤炭消费减量替代目标的影响等方面的分析评价</w:t>
                  </w:r>
                  <w:r>
                    <w:rPr>
                      <w:rFonts w:hint="eastAsia" w:ascii="Times New Roman" w:hAnsi="Times New Roman" w:eastAsia="宋体" w:cs="Times New Roman"/>
                      <w:color w:val="auto"/>
                      <w:sz w:val="21"/>
                      <w:szCs w:val="21"/>
                      <w:highlight w:val="none"/>
                      <w:lang w:val="en-US" w:eastAsia="zh-CN" w:bidi="ar-SA"/>
                    </w:rPr>
                    <w:t>，能满足</w:t>
                  </w:r>
                  <w:r>
                    <w:rPr>
                      <w:rFonts w:hint="default" w:ascii="Times New Roman" w:hAnsi="Times New Roman" w:eastAsia="宋体" w:cs="Times New Roman"/>
                      <w:color w:val="auto"/>
                      <w:sz w:val="21"/>
                      <w:szCs w:val="21"/>
                      <w:highlight w:val="none"/>
                      <w:lang w:val="en-US" w:eastAsia="zh-CN" w:bidi="ar-SA"/>
                    </w:rPr>
                    <w:t>国内先进水平。</w:t>
                  </w:r>
                </w:p>
              </w:tc>
              <w:tc>
                <w:tcPr>
                  <w:tcW w:w="745" w:type="dxa"/>
                  <w:noWrap w:val="0"/>
                  <w:vAlign w:val="center"/>
                </w:tcPr>
                <w:p w14:paraId="2DFF61F8">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48FD7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45383202">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9</w:t>
                  </w:r>
                </w:p>
              </w:tc>
              <w:tc>
                <w:tcPr>
                  <w:tcW w:w="2683" w:type="dxa"/>
                  <w:noWrap w:val="0"/>
                  <w:vAlign w:val="center"/>
                </w:tcPr>
                <w:p w14:paraId="75A1625B">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入驻企业与居民点的距离应满足大气防护距离要求。</w:t>
                  </w:r>
                </w:p>
              </w:tc>
              <w:tc>
                <w:tcPr>
                  <w:tcW w:w="3699" w:type="dxa"/>
                  <w:noWrap w:val="0"/>
                  <w:vAlign w:val="center"/>
                </w:tcPr>
                <w:p w14:paraId="6B2BED7E">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本项目无需设置大气防护距离且最近居民点距离项目</w:t>
                  </w:r>
                  <w:r>
                    <w:rPr>
                      <w:rFonts w:hint="eastAsia" w:cs="Times New Roman"/>
                      <w:color w:val="auto"/>
                      <w:sz w:val="21"/>
                      <w:szCs w:val="21"/>
                      <w:highlight w:val="none"/>
                      <w:lang w:val="en-US" w:eastAsia="zh-CN" w:bidi="ar-SA"/>
                    </w:rPr>
                    <w:t>130</w:t>
                  </w:r>
                  <w:r>
                    <w:rPr>
                      <w:rFonts w:hint="default" w:ascii="Times New Roman" w:hAnsi="Times New Roman" w:eastAsia="宋体" w:cs="Times New Roman"/>
                      <w:color w:val="auto"/>
                      <w:sz w:val="21"/>
                      <w:szCs w:val="21"/>
                      <w:highlight w:val="none"/>
                      <w:lang w:val="en-US" w:eastAsia="zh-CN" w:bidi="ar-SA"/>
                    </w:rPr>
                    <w:t>m</w:t>
                  </w:r>
                  <w:r>
                    <w:rPr>
                      <w:rFonts w:hint="eastAsia" w:ascii="Times New Roman" w:hAnsi="Times New Roman" w:eastAsia="宋体" w:cs="Times New Roman"/>
                      <w:color w:val="auto"/>
                      <w:sz w:val="21"/>
                      <w:szCs w:val="21"/>
                      <w:highlight w:val="none"/>
                      <w:lang w:val="en-US" w:eastAsia="zh-CN" w:bidi="ar-SA"/>
                    </w:rPr>
                    <w:t>（</w:t>
                  </w:r>
                  <w:r>
                    <w:rPr>
                      <w:rFonts w:hint="eastAsia" w:cs="Times New Roman"/>
                      <w:color w:val="auto"/>
                      <w:sz w:val="21"/>
                      <w:szCs w:val="21"/>
                      <w:highlight w:val="none"/>
                      <w:lang w:val="en-US" w:eastAsia="zh-CN" w:bidi="ar-SA"/>
                    </w:rPr>
                    <w:t>哨箐村散户</w:t>
                  </w: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w:t>
                  </w:r>
                </w:p>
              </w:tc>
              <w:tc>
                <w:tcPr>
                  <w:tcW w:w="745" w:type="dxa"/>
                  <w:noWrap w:val="0"/>
                  <w:vAlign w:val="center"/>
                </w:tcPr>
                <w:p w14:paraId="3CDB2A9E">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6FAC2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39938194">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10</w:t>
                  </w:r>
                </w:p>
              </w:tc>
              <w:tc>
                <w:tcPr>
                  <w:tcW w:w="2683" w:type="dxa"/>
                  <w:noWrap w:val="0"/>
                  <w:vAlign w:val="center"/>
                </w:tcPr>
                <w:p w14:paraId="103E0661">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入驻企业废水污染物含重金属、有毒、有害和难于生物降解的，需</w:t>
                  </w:r>
                  <w:r>
                    <w:rPr>
                      <w:rFonts w:hint="default" w:ascii="Times New Roman" w:hAnsi="Times New Roman" w:eastAsia="宋体" w:cs="Times New Roman"/>
                      <w:color w:val="auto"/>
                      <w:sz w:val="21"/>
                      <w:szCs w:val="21"/>
                      <w:highlight w:val="none"/>
                      <w:lang w:val="en-US" w:eastAsia="zh-CN" w:bidi="ar-SA"/>
                    </w:rPr>
                    <w:cr/>
                  </w:r>
                  <w:r>
                    <w:rPr>
                      <w:rFonts w:hint="default" w:ascii="Times New Roman" w:hAnsi="Times New Roman" w:eastAsia="宋体" w:cs="Times New Roman"/>
                      <w:color w:val="auto"/>
                      <w:sz w:val="21"/>
                      <w:szCs w:val="21"/>
                      <w:highlight w:val="none"/>
                      <w:lang w:val="en-US" w:eastAsia="zh-CN" w:bidi="ar-SA"/>
                    </w:rPr>
                    <w:t>取严格的污水处理措施。</w:t>
                  </w:r>
                </w:p>
              </w:tc>
              <w:tc>
                <w:tcPr>
                  <w:tcW w:w="3699" w:type="dxa"/>
                  <w:noWrap w:val="0"/>
                  <w:vAlign w:val="center"/>
                </w:tcPr>
                <w:p w14:paraId="52612525">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本项目废水不含重金属、有毒、有害和难于生物</w:t>
                  </w:r>
                  <w:r>
                    <w:rPr>
                      <w:rFonts w:hint="eastAsia" w:ascii="Times New Roman" w:hAnsi="Times New Roman" w:eastAsia="宋体" w:cs="Times New Roman"/>
                      <w:color w:val="auto"/>
                      <w:sz w:val="21"/>
                      <w:szCs w:val="21"/>
                      <w:highlight w:val="none"/>
                      <w:lang w:val="en-US" w:eastAsia="zh-CN" w:bidi="ar-SA"/>
                    </w:rPr>
                    <w:t>降</w:t>
                  </w:r>
                  <w:r>
                    <w:rPr>
                      <w:rFonts w:hint="default" w:ascii="Times New Roman" w:hAnsi="Times New Roman" w:eastAsia="宋体" w:cs="Times New Roman"/>
                      <w:color w:val="auto"/>
                      <w:sz w:val="21"/>
                      <w:szCs w:val="21"/>
                      <w:highlight w:val="none"/>
                      <w:lang w:val="en-US" w:eastAsia="zh-CN" w:bidi="ar-SA"/>
                    </w:rPr>
                    <w:t>解的污染物</w:t>
                  </w:r>
                </w:p>
              </w:tc>
              <w:tc>
                <w:tcPr>
                  <w:tcW w:w="745" w:type="dxa"/>
                  <w:noWrap w:val="0"/>
                  <w:vAlign w:val="center"/>
                </w:tcPr>
                <w:p w14:paraId="4787C95D">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符合</w:t>
                  </w:r>
                </w:p>
              </w:tc>
            </w:tr>
            <w:tr w14:paraId="77F55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7779" w:type="dxa"/>
                  <w:gridSpan w:val="4"/>
                  <w:noWrap w:val="0"/>
                  <w:vAlign w:val="center"/>
                </w:tcPr>
                <w:p w14:paraId="2DCD8716">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禁止入园要求</w:t>
                  </w:r>
                </w:p>
              </w:tc>
            </w:tr>
            <w:tr w14:paraId="25D67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55A38839">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w:t>
                  </w:r>
                </w:p>
              </w:tc>
              <w:tc>
                <w:tcPr>
                  <w:tcW w:w="2683" w:type="dxa"/>
                  <w:noWrap w:val="0"/>
                  <w:vAlign w:val="center"/>
                </w:tcPr>
                <w:p w14:paraId="0AE3A336">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禁止国家及云南省产业政策中明令淘汰或限制的产业入园。</w:t>
                  </w:r>
                </w:p>
              </w:tc>
              <w:tc>
                <w:tcPr>
                  <w:tcW w:w="3699" w:type="dxa"/>
                  <w:noWrap w:val="0"/>
                  <w:vAlign w:val="center"/>
                </w:tcPr>
                <w:p w14:paraId="0AA92067">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项目</w:t>
                  </w:r>
                  <w:r>
                    <w:rPr>
                      <w:rFonts w:hint="eastAsia" w:ascii="Times New Roman" w:hAnsi="Times New Roman" w:eastAsia="宋体" w:cs="Times New Roman"/>
                      <w:color w:val="auto"/>
                      <w:sz w:val="21"/>
                      <w:szCs w:val="21"/>
                      <w:highlight w:val="none"/>
                      <w:lang w:val="en-US" w:eastAsia="zh-CN" w:bidi="ar-SA"/>
                    </w:rPr>
                    <w:t>不属于</w:t>
                  </w:r>
                  <w:r>
                    <w:rPr>
                      <w:rFonts w:hint="default" w:ascii="Times New Roman" w:hAnsi="Times New Roman" w:eastAsia="宋体" w:cs="Times New Roman"/>
                      <w:color w:val="auto"/>
                      <w:sz w:val="21"/>
                      <w:szCs w:val="21"/>
                      <w:highlight w:val="none"/>
                      <w:lang w:val="en-US" w:eastAsia="zh-CN" w:bidi="ar-SA"/>
                    </w:rPr>
                    <w:t>国家及云南省产业政策中明令淘汰或限制</w:t>
                  </w:r>
                </w:p>
              </w:tc>
              <w:tc>
                <w:tcPr>
                  <w:tcW w:w="745" w:type="dxa"/>
                  <w:noWrap w:val="0"/>
                  <w:vAlign w:val="center"/>
                </w:tcPr>
                <w:p w14:paraId="44DC03EB">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071DE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7F039E38">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w:t>
                  </w:r>
                </w:p>
              </w:tc>
              <w:tc>
                <w:tcPr>
                  <w:tcW w:w="2683" w:type="dxa"/>
                  <w:noWrap w:val="0"/>
                  <w:vAlign w:val="center"/>
                </w:tcPr>
                <w:p w14:paraId="08BD2467">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严格控制不符合《规划》中规划产业的项目入园。</w:t>
                  </w:r>
                </w:p>
              </w:tc>
              <w:tc>
                <w:tcPr>
                  <w:tcW w:w="3699" w:type="dxa"/>
                  <w:noWrap w:val="0"/>
                  <w:vAlign w:val="center"/>
                </w:tcPr>
                <w:p w14:paraId="4C86FE03">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本项目位于富民工业园区白石岩—大白坡片区</w:t>
                  </w:r>
                  <w:r>
                    <w:rPr>
                      <w:rFonts w:hint="eastAsia" w:cs="Times New Roman"/>
                      <w:color w:val="auto"/>
                      <w:sz w:val="21"/>
                      <w:szCs w:val="21"/>
                      <w:highlight w:val="none"/>
                      <w:lang w:val="en-US" w:eastAsia="zh-CN" w:bidi="ar-SA"/>
                    </w:rPr>
                    <w:t>哨箐</w:t>
                  </w:r>
                  <w:r>
                    <w:rPr>
                      <w:rFonts w:hint="eastAsia" w:ascii="Times New Roman" w:hAnsi="Times New Roman" w:eastAsia="宋体" w:cs="Times New Roman"/>
                      <w:color w:val="auto"/>
                      <w:sz w:val="21"/>
                      <w:szCs w:val="21"/>
                      <w:highlight w:val="none"/>
                      <w:lang w:val="en-US" w:eastAsia="zh-CN" w:bidi="ar-SA"/>
                    </w:rPr>
                    <w:t>组团，重点发展装备制造业、辅助发展精细化工，</w:t>
                  </w:r>
                  <w:r>
                    <w:rPr>
                      <w:rFonts w:hint="eastAsia" w:cs="Times New Roman"/>
                      <w:color w:val="auto"/>
                      <w:sz w:val="21"/>
                      <w:szCs w:val="21"/>
                      <w:highlight w:val="none"/>
                      <w:lang w:val="en-US" w:eastAsia="zh-CN" w:bidi="ar-SA"/>
                    </w:rPr>
                    <w:t>本项目属于精细化工，</w:t>
                  </w:r>
                  <w:r>
                    <w:rPr>
                      <w:rFonts w:hint="eastAsia" w:ascii="Times New Roman" w:hAnsi="Times New Roman" w:eastAsia="宋体" w:cs="Times New Roman"/>
                      <w:color w:val="auto"/>
                      <w:sz w:val="21"/>
                      <w:szCs w:val="21"/>
                      <w:highlight w:val="none"/>
                      <w:lang w:val="en-US" w:eastAsia="zh-CN" w:bidi="ar-SA"/>
                    </w:rPr>
                    <w:t>且富民工业园区管理委员会</w:t>
                  </w:r>
                  <w:r>
                    <w:rPr>
                      <w:rFonts w:hint="eastAsia" w:cs="Times New Roman"/>
                      <w:color w:val="auto"/>
                      <w:sz w:val="21"/>
                      <w:szCs w:val="21"/>
                      <w:highlight w:val="none"/>
                      <w:lang w:val="en-US" w:eastAsia="zh-CN" w:bidi="ar-SA"/>
                    </w:rPr>
                    <w:t>同意项目入园。</w:t>
                  </w:r>
                  <w:r>
                    <w:rPr>
                      <w:rFonts w:hint="eastAsia" w:ascii="Times New Roman" w:hAnsi="Times New Roman" w:eastAsia="宋体" w:cs="Times New Roman"/>
                      <w:color w:val="auto"/>
                      <w:sz w:val="21"/>
                      <w:szCs w:val="21"/>
                      <w:highlight w:val="none"/>
                      <w:lang w:val="en-US" w:eastAsia="zh-CN" w:bidi="ar-SA"/>
                    </w:rPr>
                    <w:t>因此，本项目与白石岩—大白坡片区</w:t>
                  </w:r>
                  <w:r>
                    <w:rPr>
                      <w:rFonts w:hint="eastAsia" w:cs="Times New Roman"/>
                      <w:color w:val="auto"/>
                      <w:sz w:val="21"/>
                      <w:szCs w:val="21"/>
                      <w:highlight w:val="none"/>
                      <w:lang w:val="en-US" w:eastAsia="zh-CN" w:bidi="ar-SA"/>
                    </w:rPr>
                    <w:t>哨箐</w:t>
                  </w:r>
                  <w:r>
                    <w:rPr>
                      <w:rFonts w:hint="eastAsia" w:ascii="Times New Roman" w:hAnsi="Times New Roman" w:eastAsia="宋体" w:cs="Times New Roman"/>
                      <w:color w:val="auto"/>
                      <w:sz w:val="21"/>
                      <w:szCs w:val="21"/>
                      <w:highlight w:val="none"/>
                      <w:lang w:val="en-US" w:eastAsia="zh-CN" w:bidi="ar-SA"/>
                    </w:rPr>
                    <w:t>产业定位不冲突，项目与园区总体规划不冲突。</w:t>
                  </w:r>
                </w:p>
              </w:tc>
              <w:tc>
                <w:tcPr>
                  <w:tcW w:w="745" w:type="dxa"/>
                  <w:noWrap w:val="0"/>
                  <w:vAlign w:val="center"/>
                </w:tcPr>
                <w:p w14:paraId="4DCB4749">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77A04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652" w:type="dxa"/>
                  <w:noWrap w:val="0"/>
                  <w:vAlign w:val="center"/>
                </w:tcPr>
                <w:p w14:paraId="08306821">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3</w:t>
                  </w:r>
                </w:p>
              </w:tc>
              <w:tc>
                <w:tcPr>
                  <w:tcW w:w="2683" w:type="dxa"/>
                  <w:noWrap w:val="0"/>
                  <w:vAlign w:val="center"/>
                </w:tcPr>
                <w:p w14:paraId="546FCB6A">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（3）禁止未满足区域总量控制要求的项目入园。</w:t>
                  </w:r>
                </w:p>
              </w:tc>
              <w:tc>
                <w:tcPr>
                  <w:tcW w:w="3699" w:type="dxa"/>
                  <w:noWrap w:val="0"/>
                  <w:vAlign w:val="center"/>
                </w:tcPr>
                <w:p w14:paraId="14949FF6">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项目</w:t>
                  </w:r>
                  <w:r>
                    <w:rPr>
                      <w:rFonts w:hint="eastAsia" w:ascii="Times New Roman" w:hAnsi="Times New Roman" w:eastAsia="宋体" w:cs="Times New Roman"/>
                      <w:color w:val="auto"/>
                      <w:sz w:val="21"/>
                      <w:szCs w:val="21"/>
                      <w:highlight w:val="none"/>
                      <w:lang w:val="en-US" w:eastAsia="zh-CN" w:bidi="ar-SA"/>
                    </w:rPr>
                    <w:t>不涉及SO</w:t>
                  </w:r>
                  <w:r>
                    <w:rPr>
                      <w:rFonts w:hint="eastAsia" w:ascii="Times New Roman" w:hAnsi="Times New Roman" w:eastAsia="宋体" w:cs="Times New Roman"/>
                      <w:color w:val="auto"/>
                      <w:sz w:val="21"/>
                      <w:szCs w:val="21"/>
                      <w:highlight w:val="none"/>
                      <w:vertAlign w:val="subscript"/>
                      <w:lang w:val="en-US" w:eastAsia="zh-CN" w:bidi="ar-SA"/>
                    </w:rPr>
                    <w:t>2</w:t>
                  </w:r>
                  <w:r>
                    <w:rPr>
                      <w:rFonts w:hint="eastAsia" w:ascii="Times New Roman" w:hAnsi="Times New Roman" w:eastAsia="宋体" w:cs="Times New Roman"/>
                      <w:color w:val="auto"/>
                      <w:sz w:val="21"/>
                      <w:szCs w:val="21"/>
                      <w:highlight w:val="none"/>
                      <w:lang w:val="en-US" w:eastAsia="zh-CN" w:bidi="ar-SA"/>
                    </w:rPr>
                    <w:t>、NO</w:t>
                  </w:r>
                  <w:r>
                    <w:rPr>
                      <w:rFonts w:hint="eastAsia" w:ascii="Times New Roman" w:hAnsi="Times New Roman" w:eastAsia="宋体" w:cs="Times New Roman"/>
                      <w:color w:val="auto"/>
                      <w:sz w:val="21"/>
                      <w:szCs w:val="21"/>
                      <w:highlight w:val="none"/>
                      <w:vertAlign w:val="subscript"/>
                      <w:lang w:val="en-US" w:eastAsia="zh-CN" w:bidi="ar-SA"/>
                    </w:rPr>
                    <w:t>2</w:t>
                  </w:r>
                  <w:r>
                    <w:rPr>
                      <w:rFonts w:hint="eastAsia" w:ascii="Times New Roman" w:hAnsi="Times New Roman" w:eastAsia="宋体" w:cs="Times New Roman"/>
                      <w:color w:val="auto"/>
                      <w:sz w:val="21"/>
                      <w:szCs w:val="21"/>
                      <w:highlight w:val="none"/>
                      <w:lang w:val="en-US" w:eastAsia="zh-CN" w:bidi="ar-SA"/>
                    </w:rPr>
                    <w:t>、CODcr和氨氮等总量指标的排放。项目涉及“十四五”控制指标VOCs排放，但排放量较小，且能</w:t>
                  </w:r>
                  <w:r>
                    <w:rPr>
                      <w:rFonts w:hint="eastAsia" w:cs="Times New Roman"/>
                      <w:color w:val="auto"/>
                      <w:sz w:val="21"/>
                      <w:szCs w:val="21"/>
                      <w:highlight w:val="none"/>
                      <w:lang w:val="en-US" w:eastAsia="zh-CN" w:bidi="ar-SA"/>
                    </w:rPr>
                    <w:t>满足</w:t>
                  </w:r>
                  <w:r>
                    <w:rPr>
                      <w:rFonts w:hint="eastAsia" w:ascii="Times New Roman" w:hAnsi="Times New Roman" w:eastAsia="宋体" w:cs="Times New Roman"/>
                      <w:color w:val="auto"/>
                      <w:sz w:val="21"/>
                      <w:szCs w:val="21"/>
                      <w:highlight w:val="none"/>
                      <w:lang w:val="en-US" w:eastAsia="zh-CN" w:bidi="ar-SA"/>
                    </w:rPr>
                    <w:t>达标排放。</w:t>
                  </w:r>
                </w:p>
              </w:tc>
              <w:tc>
                <w:tcPr>
                  <w:tcW w:w="745" w:type="dxa"/>
                  <w:noWrap w:val="0"/>
                  <w:vAlign w:val="center"/>
                </w:tcPr>
                <w:p w14:paraId="35C3FAFC">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179AC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52" w:type="dxa"/>
                  <w:noWrap w:val="0"/>
                  <w:vAlign w:val="center"/>
                </w:tcPr>
                <w:p w14:paraId="1646B205">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w:t>
                  </w:r>
                </w:p>
              </w:tc>
              <w:tc>
                <w:tcPr>
                  <w:tcW w:w="2683" w:type="dxa"/>
                  <w:noWrap w:val="0"/>
                  <w:vAlign w:val="center"/>
                </w:tcPr>
                <w:p w14:paraId="1F0B4C37">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（4）严格控制高钛渣、钛白粉项目入驻，引进的钛产业企业要以钛产品精深加工为主的工业企业。</w:t>
                  </w:r>
                </w:p>
              </w:tc>
              <w:tc>
                <w:tcPr>
                  <w:tcW w:w="3699" w:type="dxa"/>
                  <w:noWrap w:val="0"/>
                  <w:vAlign w:val="center"/>
                </w:tcPr>
                <w:p w14:paraId="7991361C">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项目</w:t>
                  </w:r>
                  <w:r>
                    <w:rPr>
                      <w:rFonts w:hint="eastAsia" w:ascii="Times New Roman" w:hAnsi="Times New Roman" w:eastAsia="宋体" w:cs="Times New Roman"/>
                      <w:color w:val="auto"/>
                      <w:sz w:val="21"/>
                      <w:szCs w:val="21"/>
                      <w:highlight w:val="none"/>
                      <w:lang w:val="en-US" w:eastAsia="zh-CN" w:bidi="ar-SA"/>
                    </w:rPr>
                    <w:t>不属于</w:t>
                  </w:r>
                  <w:r>
                    <w:rPr>
                      <w:rFonts w:hint="default" w:ascii="Times New Roman" w:hAnsi="Times New Roman" w:eastAsia="宋体" w:cs="Times New Roman"/>
                      <w:color w:val="auto"/>
                      <w:sz w:val="21"/>
                      <w:szCs w:val="21"/>
                      <w:highlight w:val="none"/>
                      <w:lang w:val="en-US" w:eastAsia="zh-CN" w:bidi="ar-SA"/>
                    </w:rPr>
                    <w:t>高钛渣、钛白粉项目</w:t>
                  </w:r>
                </w:p>
              </w:tc>
              <w:tc>
                <w:tcPr>
                  <w:tcW w:w="745" w:type="dxa"/>
                  <w:noWrap w:val="0"/>
                  <w:vAlign w:val="center"/>
                </w:tcPr>
                <w:p w14:paraId="25950B48">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6773B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 w:hRule="atLeast"/>
                <w:jc w:val="center"/>
              </w:trPr>
              <w:tc>
                <w:tcPr>
                  <w:tcW w:w="652" w:type="dxa"/>
                  <w:noWrap w:val="0"/>
                  <w:vAlign w:val="center"/>
                </w:tcPr>
                <w:p w14:paraId="233DB0C1">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w:t>
                  </w:r>
                </w:p>
              </w:tc>
              <w:tc>
                <w:tcPr>
                  <w:tcW w:w="2683" w:type="dxa"/>
                  <w:noWrap w:val="0"/>
                  <w:vAlign w:val="center"/>
                </w:tcPr>
                <w:p w14:paraId="26B716B0">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（5）项目入园时（特别是钛化工等企业），应充分考虑是否满足环境大气防护距离的要求，防止入驻企业产生的废气、噪声等对敏感目标的影。</w:t>
                  </w:r>
                </w:p>
              </w:tc>
              <w:tc>
                <w:tcPr>
                  <w:tcW w:w="3699" w:type="dxa"/>
                  <w:noWrap w:val="0"/>
                  <w:vAlign w:val="center"/>
                </w:tcPr>
                <w:p w14:paraId="054F4BF5">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项目</w:t>
                  </w:r>
                  <w:r>
                    <w:rPr>
                      <w:rFonts w:hint="eastAsia" w:ascii="Times New Roman" w:hAnsi="Times New Roman" w:eastAsia="宋体" w:cs="Times New Roman"/>
                      <w:color w:val="auto"/>
                      <w:sz w:val="21"/>
                      <w:szCs w:val="21"/>
                      <w:highlight w:val="none"/>
                      <w:lang w:val="en-US" w:eastAsia="zh-CN" w:bidi="ar-SA"/>
                    </w:rPr>
                    <w:t>无需设置</w:t>
                  </w:r>
                  <w:r>
                    <w:rPr>
                      <w:rFonts w:hint="default" w:ascii="Times New Roman" w:hAnsi="Times New Roman" w:eastAsia="宋体" w:cs="Times New Roman"/>
                      <w:color w:val="auto"/>
                      <w:sz w:val="21"/>
                      <w:szCs w:val="21"/>
                      <w:highlight w:val="none"/>
                      <w:lang w:val="en-US" w:eastAsia="zh-CN" w:bidi="ar-SA"/>
                    </w:rPr>
                    <w:t>大气防护距离且最近敏感目标距离项目</w:t>
                  </w:r>
                  <w:r>
                    <w:rPr>
                      <w:rFonts w:hint="eastAsia" w:cs="Times New Roman"/>
                      <w:color w:val="auto"/>
                      <w:sz w:val="21"/>
                      <w:szCs w:val="21"/>
                      <w:highlight w:val="none"/>
                      <w:lang w:val="en-US" w:eastAsia="zh-CN" w:bidi="ar-SA"/>
                    </w:rPr>
                    <w:t>130</w:t>
                  </w:r>
                  <w:r>
                    <w:rPr>
                      <w:rFonts w:hint="default" w:ascii="Times New Roman" w:hAnsi="Times New Roman" w:eastAsia="宋体" w:cs="Times New Roman"/>
                      <w:color w:val="auto"/>
                      <w:sz w:val="21"/>
                      <w:szCs w:val="21"/>
                      <w:highlight w:val="none"/>
                      <w:lang w:val="en-US" w:eastAsia="zh-CN" w:bidi="ar-SA"/>
                    </w:rPr>
                    <w:t>m</w:t>
                  </w:r>
                  <w:r>
                    <w:rPr>
                      <w:rFonts w:hint="eastAsia" w:ascii="Times New Roman" w:hAnsi="Times New Roman" w:eastAsia="宋体" w:cs="Times New Roman"/>
                      <w:color w:val="auto"/>
                      <w:sz w:val="21"/>
                      <w:szCs w:val="21"/>
                      <w:highlight w:val="none"/>
                      <w:lang w:val="en-US" w:eastAsia="zh-CN" w:bidi="ar-SA"/>
                    </w:rPr>
                    <w:t>（</w:t>
                  </w:r>
                  <w:r>
                    <w:rPr>
                      <w:rFonts w:hint="eastAsia" w:cs="Times New Roman"/>
                      <w:color w:val="auto"/>
                      <w:sz w:val="21"/>
                      <w:szCs w:val="21"/>
                      <w:highlight w:val="none"/>
                      <w:lang w:val="en-US" w:eastAsia="zh-CN" w:bidi="ar-SA"/>
                    </w:rPr>
                    <w:t>哨箐</w:t>
                  </w: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，废气、噪声对其</w:t>
                  </w:r>
                  <w:r>
                    <w:rPr>
                      <w:rFonts w:hint="eastAsia" w:ascii="Times New Roman" w:hAnsi="Times New Roman" w:eastAsia="宋体" w:cs="Times New Roman"/>
                      <w:color w:val="auto"/>
                      <w:sz w:val="21"/>
                      <w:szCs w:val="21"/>
                      <w:highlight w:val="none"/>
                      <w:lang w:val="en-US" w:eastAsia="zh-CN" w:bidi="ar-SA"/>
                    </w:rPr>
                    <w:t>影响可接受</w:t>
                  </w:r>
                  <w:r>
                    <w:rPr>
                      <w:rFonts w:hint="default" w:ascii="Times New Roman" w:hAnsi="Times New Roman" w:eastAsia="宋体" w:cs="Times New Roman"/>
                      <w:color w:val="auto"/>
                      <w:sz w:val="21"/>
                      <w:szCs w:val="21"/>
                      <w:highlight w:val="none"/>
                      <w:lang w:val="en-US" w:eastAsia="zh-CN" w:bidi="ar-SA"/>
                    </w:rPr>
                    <w:t>。</w:t>
                  </w:r>
                </w:p>
              </w:tc>
              <w:tc>
                <w:tcPr>
                  <w:tcW w:w="745" w:type="dxa"/>
                  <w:noWrap w:val="0"/>
                  <w:vAlign w:val="center"/>
                </w:tcPr>
                <w:p w14:paraId="6F0A5177">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6E4F5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 w:hRule="atLeast"/>
                <w:jc w:val="center"/>
              </w:trPr>
              <w:tc>
                <w:tcPr>
                  <w:tcW w:w="652" w:type="dxa"/>
                  <w:noWrap w:val="0"/>
                  <w:vAlign w:val="center"/>
                </w:tcPr>
                <w:p w14:paraId="04FC846C">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6</w:t>
                  </w:r>
                </w:p>
              </w:tc>
              <w:tc>
                <w:tcPr>
                  <w:tcW w:w="2683" w:type="dxa"/>
                  <w:noWrap w:val="0"/>
                  <w:vAlign w:val="center"/>
                </w:tcPr>
                <w:p w14:paraId="3B975A15">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（6）靠近城、集镇的区域（白石岩组团南部、环保产业园、大营组团、款庄组团、东村组团靠近集镇一侧），不易引进高污染的工业企业，特别是大气污染型企业。</w:t>
                  </w:r>
                </w:p>
              </w:tc>
              <w:tc>
                <w:tcPr>
                  <w:tcW w:w="3699" w:type="dxa"/>
                  <w:noWrap w:val="0"/>
                  <w:vAlign w:val="center"/>
                </w:tcPr>
                <w:p w14:paraId="125769EB">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项目</w:t>
                  </w:r>
                  <w:r>
                    <w:rPr>
                      <w:rFonts w:hint="eastAsia" w:ascii="Times New Roman" w:hAnsi="Times New Roman" w:eastAsia="宋体" w:cs="Times New Roman"/>
                      <w:color w:val="auto"/>
                      <w:sz w:val="21"/>
                      <w:szCs w:val="21"/>
                      <w:highlight w:val="none"/>
                      <w:lang w:val="en-US" w:eastAsia="zh-CN" w:bidi="ar-SA"/>
                    </w:rPr>
                    <w:t>处于</w:t>
                  </w:r>
                  <w:r>
                    <w:rPr>
                      <w:rFonts w:hint="eastAsia" w:cs="Times New Roman"/>
                      <w:color w:val="auto"/>
                      <w:sz w:val="21"/>
                      <w:szCs w:val="21"/>
                      <w:highlight w:val="none"/>
                      <w:lang w:val="en-US" w:eastAsia="zh-CN" w:bidi="ar-SA"/>
                    </w:rPr>
                    <w:t>哨箐组团</w:t>
                  </w:r>
                  <w:r>
                    <w:rPr>
                      <w:rFonts w:hint="eastAsia" w:ascii="Times New Roman" w:hAnsi="Times New Roman" w:eastAsia="宋体" w:cs="Times New Roman"/>
                      <w:color w:val="auto"/>
                      <w:sz w:val="21"/>
                      <w:szCs w:val="21"/>
                      <w:highlight w:val="none"/>
                      <w:lang w:val="en-US" w:eastAsia="zh-CN" w:bidi="ar-SA"/>
                    </w:rPr>
                    <w:t>，不在</w:t>
                  </w:r>
                  <w:r>
                    <w:rPr>
                      <w:rFonts w:hint="default" w:ascii="Times New Roman" w:hAnsi="Times New Roman" w:eastAsia="宋体" w:cs="Times New Roman"/>
                      <w:color w:val="auto"/>
                      <w:sz w:val="21"/>
                      <w:szCs w:val="21"/>
                      <w:highlight w:val="none"/>
                      <w:lang w:val="en-US" w:eastAsia="zh-CN" w:bidi="ar-SA"/>
                    </w:rPr>
                    <w:t>环保产业园</w:t>
                  </w:r>
                  <w:r>
                    <w:rPr>
                      <w:rFonts w:hint="eastAsia" w:cs="Times New Roman"/>
                      <w:color w:val="auto"/>
                      <w:sz w:val="21"/>
                      <w:szCs w:val="21"/>
                      <w:highlight w:val="none"/>
                      <w:lang w:val="en-US" w:eastAsia="zh-CN" w:bidi="ar-SA"/>
                    </w:rPr>
                    <w:t>内</w:t>
                  </w:r>
                  <w:r>
                    <w:rPr>
                      <w:rFonts w:hint="eastAsia" w:ascii="Times New Roman" w:hAnsi="Times New Roman" w:eastAsia="宋体" w:cs="Times New Roman"/>
                      <w:color w:val="auto"/>
                      <w:sz w:val="21"/>
                      <w:szCs w:val="21"/>
                      <w:highlight w:val="none"/>
                      <w:lang w:val="en-US" w:eastAsia="zh-CN" w:bidi="ar-SA"/>
                    </w:rPr>
                    <w:t>，且项目</w:t>
                  </w:r>
                  <w:r>
                    <w:rPr>
                      <w:rFonts w:hint="default" w:ascii="Times New Roman" w:hAnsi="Times New Roman" w:eastAsia="宋体" w:cs="Times New Roman"/>
                      <w:color w:val="auto"/>
                      <w:sz w:val="21"/>
                      <w:szCs w:val="21"/>
                      <w:highlight w:val="none"/>
                      <w:lang w:val="en-US" w:eastAsia="zh-CN" w:bidi="ar-SA"/>
                    </w:rPr>
                    <w:t>不</w:t>
                  </w:r>
                  <w:r>
                    <w:rPr>
                      <w:rFonts w:hint="eastAsia" w:ascii="Times New Roman" w:hAnsi="Times New Roman" w:eastAsia="宋体" w:cs="Times New Roman"/>
                      <w:color w:val="auto"/>
                      <w:sz w:val="21"/>
                      <w:szCs w:val="21"/>
                      <w:highlight w:val="none"/>
                      <w:lang w:val="en-US" w:eastAsia="zh-CN" w:bidi="ar-SA"/>
                    </w:rPr>
                    <w:t>属于高污染工业企业</w:t>
                  </w:r>
                </w:p>
              </w:tc>
              <w:tc>
                <w:tcPr>
                  <w:tcW w:w="745" w:type="dxa"/>
                  <w:noWrap w:val="0"/>
                  <w:vAlign w:val="center"/>
                </w:tcPr>
                <w:p w14:paraId="70F85920">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067EC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 w:hRule="atLeast"/>
                <w:jc w:val="center"/>
              </w:trPr>
              <w:tc>
                <w:tcPr>
                  <w:tcW w:w="652" w:type="dxa"/>
                  <w:noWrap w:val="0"/>
                  <w:vAlign w:val="center"/>
                </w:tcPr>
                <w:p w14:paraId="5CBD161E">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7</w:t>
                  </w:r>
                </w:p>
              </w:tc>
              <w:tc>
                <w:tcPr>
                  <w:tcW w:w="2683" w:type="dxa"/>
                  <w:noWrap w:val="0"/>
                  <w:vAlign w:val="center"/>
                </w:tcPr>
                <w:p w14:paraId="2BCF174F">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7）规划白石岩组团、大营—茨塘片区东元村片段、散旦片区的西部组团款庄—东村片区的东村组团、大栗园组团、和平组团区域岩溶发育，地下水环境较为敏感，不宜布局水质复杂、水量较大的企业；企业入驻时，需对区域水文地质条件进行充分论证，确保企业入驻产生的污染物不影响区域地下水水质。</w:t>
                  </w:r>
                </w:p>
              </w:tc>
              <w:tc>
                <w:tcPr>
                  <w:tcW w:w="3699" w:type="dxa"/>
                  <w:noWrap w:val="0"/>
                  <w:vAlign w:val="center"/>
                </w:tcPr>
                <w:p w14:paraId="051B2226">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项目</w:t>
                  </w:r>
                  <w:r>
                    <w:rPr>
                      <w:rFonts w:hint="eastAsia" w:ascii="Times New Roman" w:hAnsi="Times New Roman" w:eastAsia="宋体" w:cs="Times New Roman"/>
                      <w:color w:val="auto"/>
                      <w:sz w:val="21"/>
                      <w:szCs w:val="21"/>
                      <w:highlight w:val="none"/>
                      <w:lang w:val="en-US" w:eastAsia="zh-CN" w:bidi="ar-SA"/>
                    </w:rPr>
                    <w:t>不在</w:t>
                  </w:r>
                  <w:r>
                    <w:rPr>
                      <w:rFonts w:hint="default" w:ascii="Times New Roman" w:hAnsi="Times New Roman" w:eastAsia="宋体" w:cs="Times New Roman"/>
                      <w:color w:val="auto"/>
                      <w:sz w:val="21"/>
                      <w:szCs w:val="21"/>
                      <w:highlight w:val="none"/>
                      <w:lang w:val="en-US" w:eastAsia="zh-CN" w:bidi="ar-SA"/>
                    </w:rPr>
                    <w:t>白石岩组团、大营—茨塘片区东元村片段、散旦片区的西部组团款庄—东村片区的东村组团、大栗园组团、和平组团区</w:t>
                  </w:r>
                  <w:r>
                    <w:rPr>
                      <w:rFonts w:hint="eastAsia" w:ascii="Times New Roman" w:hAnsi="Times New Roman" w:eastAsia="宋体" w:cs="Times New Roman"/>
                      <w:color w:val="auto"/>
                      <w:sz w:val="21"/>
                      <w:szCs w:val="21"/>
                      <w:highlight w:val="none"/>
                      <w:lang w:val="en-US" w:eastAsia="zh-CN" w:bidi="ar-SA"/>
                    </w:rPr>
                    <w:t>，且项目不属于</w:t>
                  </w:r>
                  <w:r>
                    <w:rPr>
                      <w:rFonts w:hint="default" w:ascii="Times New Roman" w:hAnsi="Times New Roman" w:eastAsia="宋体" w:cs="Times New Roman"/>
                      <w:color w:val="auto"/>
                      <w:sz w:val="21"/>
                      <w:szCs w:val="21"/>
                      <w:highlight w:val="none"/>
                      <w:lang w:val="en-US" w:eastAsia="zh-CN" w:bidi="ar-SA"/>
                    </w:rPr>
                    <w:t>水质复杂、水量大的企业</w:t>
                  </w:r>
                  <w:r>
                    <w:rPr>
                      <w:rFonts w:hint="eastAsia" w:ascii="Times New Roman" w:hAnsi="Times New Roman" w:eastAsia="宋体" w:cs="Times New Roman"/>
                      <w:color w:val="auto"/>
                      <w:sz w:val="21"/>
                      <w:szCs w:val="21"/>
                      <w:highlight w:val="none"/>
                      <w:lang w:val="en-US" w:eastAsia="zh-CN" w:bidi="ar-SA"/>
                    </w:rPr>
                    <w:t>。</w:t>
                  </w:r>
                </w:p>
              </w:tc>
              <w:tc>
                <w:tcPr>
                  <w:tcW w:w="745" w:type="dxa"/>
                  <w:noWrap w:val="0"/>
                  <w:vAlign w:val="center"/>
                </w:tcPr>
                <w:p w14:paraId="307DD916">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bl>
          <w:p w14:paraId="4FE63D28">
            <w:pPr>
              <w:keepNext w:val="0"/>
              <w:keepLines w:val="0"/>
              <w:pageBreakBefore w:val="0"/>
              <w:suppressLineNumbers w:val="0"/>
              <w:kinsoku/>
              <w:wordWrap/>
              <w:overflowPunct/>
              <w:bidi w:val="0"/>
              <w:snapToGrid w:val="0"/>
              <w:spacing w:before="0" w:beforeAutospacing="0" w:after="0" w:afterAutospacing="0" w:line="240" w:lineRule="auto"/>
              <w:ind w:left="0" w:leftChars="0" w:right="0"/>
              <w:jc w:val="center"/>
              <w:textAlignment w:val="auto"/>
              <w:rPr>
                <w:rFonts w:hint="default" w:ascii="Times New Roman" w:hAnsi="Times New Roman"/>
                <w:b/>
                <w:color w:val="auto"/>
                <w:szCs w:val="24"/>
                <w:highlight w:val="none"/>
              </w:rPr>
            </w:pPr>
            <w:r>
              <w:rPr>
                <w:rFonts w:hint="default" w:ascii="Times New Roman" w:hAnsi="Times New Roman"/>
                <w:b/>
                <w:color w:val="auto"/>
                <w:szCs w:val="24"/>
                <w:highlight w:val="none"/>
              </w:rPr>
              <w:t>表1-</w:t>
            </w:r>
            <w:r>
              <w:rPr>
                <w:rFonts w:hint="eastAsia"/>
                <w:b/>
                <w:color w:val="auto"/>
                <w:szCs w:val="24"/>
                <w:highlight w:val="none"/>
                <w:lang w:val="en-US" w:eastAsia="zh-CN"/>
              </w:rPr>
              <w:t>3</w:t>
            </w:r>
            <w:r>
              <w:rPr>
                <w:rFonts w:hint="default" w:ascii="Times New Roman" w:hAnsi="Times New Roman"/>
                <w:b/>
                <w:color w:val="auto"/>
                <w:szCs w:val="24"/>
                <w:highlight w:val="none"/>
              </w:rPr>
              <w:t xml:space="preserve">   与《富民工业园区总体规划修编（2015-2030）环境影响报告书》</w:t>
            </w:r>
          </w:p>
          <w:p w14:paraId="2F69624E">
            <w:pPr>
              <w:keepNext w:val="0"/>
              <w:keepLines w:val="0"/>
              <w:pageBreakBefore w:val="0"/>
              <w:suppressLineNumbers w:val="0"/>
              <w:kinsoku/>
              <w:wordWrap/>
              <w:overflowPunct/>
              <w:bidi w:val="0"/>
              <w:snapToGrid w:val="0"/>
              <w:spacing w:before="0" w:beforeAutospacing="0" w:after="0" w:afterAutospacing="0" w:line="240" w:lineRule="auto"/>
              <w:ind w:left="0" w:leftChars="0" w:right="0"/>
              <w:jc w:val="center"/>
              <w:textAlignment w:val="auto"/>
              <w:rPr>
                <w:rFonts w:hint="default" w:ascii="Times New Roman" w:hAnsi="Times New Roman"/>
                <w:b/>
                <w:color w:val="auto"/>
                <w:szCs w:val="24"/>
                <w:highlight w:val="none"/>
              </w:rPr>
            </w:pPr>
            <w:r>
              <w:rPr>
                <w:rFonts w:hint="default" w:ascii="Times New Roman" w:hAnsi="Times New Roman"/>
                <w:b/>
                <w:color w:val="auto"/>
                <w:szCs w:val="24"/>
                <w:highlight w:val="none"/>
              </w:rPr>
              <w:t>审查意见符合性分析</w:t>
            </w:r>
          </w:p>
          <w:tbl>
            <w:tblPr>
              <w:tblStyle w:val="28"/>
              <w:tblW w:w="76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6"/>
              <w:gridCol w:w="4041"/>
              <w:gridCol w:w="2446"/>
              <w:gridCol w:w="565"/>
            </w:tblGrid>
            <w:tr w14:paraId="0AA41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96" w:type="dxa"/>
                  <w:noWrap w:val="0"/>
                  <w:vAlign w:val="center"/>
                </w:tcPr>
                <w:p w14:paraId="0B259518">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序号</w:t>
                  </w:r>
                </w:p>
              </w:tc>
              <w:tc>
                <w:tcPr>
                  <w:tcW w:w="4041" w:type="dxa"/>
                  <w:noWrap w:val="0"/>
                  <w:vAlign w:val="center"/>
                </w:tcPr>
                <w:p w14:paraId="4A94D552">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审查意见要求</w:t>
                  </w:r>
                </w:p>
              </w:tc>
              <w:tc>
                <w:tcPr>
                  <w:tcW w:w="2446" w:type="dxa"/>
                  <w:noWrap w:val="0"/>
                  <w:vAlign w:val="center"/>
                </w:tcPr>
                <w:p w14:paraId="6ACDD4CE">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项目情况</w:t>
                  </w:r>
                </w:p>
              </w:tc>
              <w:tc>
                <w:tcPr>
                  <w:tcW w:w="565" w:type="dxa"/>
                  <w:noWrap w:val="0"/>
                  <w:vAlign w:val="center"/>
                </w:tcPr>
                <w:p w14:paraId="31A197EB">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符合性</w:t>
                  </w:r>
                </w:p>
              </w:tc>
            </w:tr>
            <w:tr w14:paraId="5286E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96" w:type="dxa"/>
                  <w:noWrap w:val="0"/>
                  <w:vAlign w:val="center"/>
                </w:tcPr>
                <w:p w14:paraId="5CA361B8">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w:t>
                  </w:r>
                </w:p>
              </w:tc>
              <w:tc>
                <w:tcPr>
                  <w:tcW w:w="4041" w:type="dxa"/>
                  <w:noWrap w:val="0"/>
                  <w:vAlign w:val="center"/>
                </w:tcPr>
                <w:p w14:paraId="5BB65CE5">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园区主要环境制约因素是目前螳螂川不能满足水环境功能区划水质要求，不具备主要污染物的纳污能力和环境容量规划。审批及实施中应根据制约因素进一步调整优化各片区功能定位、产业布局、结构、规模和开发时序，严格环境准入，提高节能减排和清洁生产水平，发展循环经济，尽快建设和完善园区内污水处理和再生水利用设施，提高重复用水率，减少生产生活废水排放，同时加强对螳螂川流域的水污染综合整治，腾出环境容量，实现园区可持续发展。在水环境质量未达标前，应当推行“污染物超量削减替代”制度，排放COD、氨氮等主要污染物的新建项目，实行区域内现役源1.5-2倍的削减量替代。将中水回用率作为园区管理重要考核指标，严格控制排水量大的企业。</w:t>
                  </w:r>
                </w:p>
                <w:p w14:paraId="4CD53C60">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入园企业必须建设生产废水处理和回用设施，生产废水循环利用必须达到各相关行业的标准要求，工业园区生产废水循环利用率应不低于80%，尽量做到区域内水资源的合理循环和分质分级利用。</w:t>
                  </w:r>
                </w:p>
              </w:tc>
              <w:tc>
                <w:tcPr>
                  <w:tcW w:w="2446" w:type="dxa"/>
                  <w:noWrap w:val="0"/>
                  <w:vAlign w:val="center"/>
                </w:tcPr>
                <w:p w14:paraId="3851758A">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目前项目所在区域污水管网已覆盖，污水处理厂已投入运营。</w:t>
                  </w:r>
                  <w:r>
                    <w:rPr>
                      <w:rFonts w:hint="eastAsia" w:ascii="Times New Roman" w:hAnsi="Times New Roman" w:cs="Times New Roman"/>
                      <w:color w:val="auto"/>
                      <w:sz w:val="21"/>
                      <w:szCs w:val="21"/>
                      <w:highlight w:val="none"/>
                      <w:lang w:val="en-US" w:eastAsia="zh-CN"/>
                    </w:rPr>
                    <w:t>生活废水经隔油池、化粪池处理</w:t>
                  </w:r>
                  <w:r>
                    <w:rPr>
                      <w:rFonts w:hint="eastAsia" w:cs="Times New Roman"/>
                      <w:color w:val="auto"/>
                      <w:sz w:val="21"/>
                      <w:szCs w:val="21"/>
                      <w:highlight w:val="none"/>
                      <w:lang w:val="en-US" w:eastAsia="zh-CN"/>
                    </w:rPr>
                    <w:t>后同生产废水一并进入自建污水处理站处理达《污水排入城镇下水道水质标准》（GB/T-31962-2015）表1 A等级标准后</w:t>
                  </w:r>
                  <w:r>
                    <w:rPr>
                      <w:rFonts w:hint="eastAsia" w:cs="Times New Roman"/>
                      <w:color w:val="auto"/>
                      <w:sz w:val="21"/>
                      <w:szCs w:val="21"/>
                      <w:highlight w:val="none"/>
                      <w:lang w:val="en-US" w:eastAsia="zh-CN" w:bidi="ar-SA"/>
                    </w:rPr>
                    <w:t>排入园区污水管网，进入富民工业园区哨箐机械产业园污水处理厂。</w:t>
                  </w:r>
                </w:p>
              </w:tc>
              <w:tc>
                <w:tcPr>
                  <w:tcW w:w="565" w:type="dxa"/>
                  <w:noWrap w:val="0"/>
                  <w:vAlign w:val="center"/>
                </w:tcPr>
                <w:p w14:paraId="186D32EF">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6E3AA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96" w:type="dxa"/>
                  <w:noWrap w:val="0"/>
                  <w:vAlign w:val="center"/>
                </w:tcPr>
                <w:p w14:paraId="285FACAB">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w:t>
                  </w:r>
                </w:p>
              </w:tc>
              <w:tc>
                <w:tcPr>
                  <w:tcW w:w="4041" w:type="dxa"/>
                  <w:noWrap w:val="0"/>
                  <w:vAlign w:val="center"/>
                </w:tcPr>
                <w:p w14:paraId="0B3E1680">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园区内有部份耕地、林地和基本农田，园区规划为工业用地与《富民县土地利用总体规划(2010-2020)》存在冲突与《富民城市总体规划修(2009-2025年)》、《富民农业科技示范园总体规划(2011-2020)》、《富民生态县建设规(2008-2020)》存在部份不符，同时将《昆明市富民县重点水源地水资源保护规划》中的长梨园、张锅村泉点水源地划入了大营茨塘片区，不符合水源地保护的相关要求。规划实施过程中，应与相关规划主管部门沟通协调，确保园区规划符合上位规划的要求，并与相关规划协调一致。</w:t>
                  </w:r>
                </w:p>
              </w:tc>
              <w:tc>
                <w:tcPr>
                  <w:tcW w:w="2446" w:type="dxa"/>
                  <w:noWrap w:val="0"/>
                  <w:vAlign w:val="center"/>
                </w:tcPr>
                <w:p w14:paraId="39CEA3EA">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项目用地不属于</w:t>
                  </w:r>
                  <w:r>
                    <w:rPr>
                      <w:rFonts w:hint="default" w:ascii="Times New Roman" w:hAnsi="Times New Roman" w:eastAsia="宋体" w:cs="Times New Roman"/>
                      <w:color w:val="auto"/>
                      <w:sz w:val="21"/>
                      <w:szCs w:val="21"/>
                      <w:highlight w:val="none"/>
                      <w:lang w:val="en-US" w:eastAsia="zh-CN" w:bidi="ar-SA"/>
                    </w:rPr>
                    <w:t>耕地、林地和基本农田</w:t>
                  </w:r>
                  <w:r>
                    <w:rPr>
                      <w:rFonts w:hint="eastAsia" w:ascii="Times New Roman" w:hAnsi="Times New Roman" w:eastAsia="宋体" w:cs="Times New Roman"/>
                      <w:color w:val="auto"/>
                      <w:sz w:val="21"/>
                      <w:szCs w:val="21"/>
                      <w:highlight w:val="none"/>
                      <w:lang w:val="en-US" w:eastAsia="zh-CN" w:bidi="ar-SA"/>
                    </w:rPr>
                    <w:t>，不涉及</w:t>
                  </w:r>
                  <w:r>
                    <w:rPr>
                      <w:rFonts w:hint="default" w:ascii="Times New Roman" w:hAnsi="Times New Roman" w:eastAsia="宋体" w:cs="Times New Roman"/>
                      <w:color w:val="auto"/>
                      <w:sz w:val="21"/>
                      <w:szCs w:val="21"/>
                      <w:highlight w:val="none"/>
                      <w:lang w:val="en-US" w:eastAsia="zh-CN" w:bidi="ar-SA"/>
                    </w:rPr>
                    <w:t>长梨园、张锅村泉点水</w:t>
                  </w:r>
                  <w:r>
                    <w:rPr>
                      <w:rFonts w:hint="eastAsia" w:ascii="Times New Roman" w:hAnsi="Times New Roman" w:eastAsia="宋体" w:cs="Times New Roman"/>
                      <w:color w:val="auto"/>
                      <w:sz w:val="21"/>
                      <w:szCs w:val="21"/>
                      <w:highlight w:val="none"/>
                      <w:lang w:val="en-US" w:eastAsia="zh-CN" w:bidi="ar-SA"/>
                    </w:rPr>
                    <w:t>。</w:t>
                  </w:r>
                </w:p>
              </w:tc>
              <w:tc>
                <w:tcPr>
                  <w:tcW w:w="565" w:type="dxa"/>
                  <w:noWrap w:val="0"/>
                  <w:vAlign w:val="center"/>
                </w:tcPr>
                <w:p w14:paraId="0E6D6438">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33DF6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96" w:type="dxa"/>
                  <w:noWrap w:val="0"/>
                  <w:vAlign w:val="center"/>
                </w:tcPr>
                <w:p w14:paraId="3CBA926A">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3</w:t>
                  </w:r>
                </w:p>
              </w:tc>
              <w:tc>
                <w:tcPr>
                  <w:tcW w:w="4041" w:type="dxa"/>
                  <w:noWrap w:val="0"/>
                  <w:vAlign w:val="center"/>
                </w:tcPr>
                <w:p w14:paraId="2393735D">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园区规划组团多，布局分散；同一产业在片区和组团中重复布局，如四个片区均布局新材料产业，片区间、组团间易形成相互竞争；大营、散旦片区存在污染产业与食品加工产业混合布局；多组团的大营、散旦、款庄东村片区，产业布局混杂，多产业间存在相互影响、相互污染的可能。规划应进一步优化调整各片区产业定位和布局，每个片区应以一个主导产业为主，强化产业集聚导向，同时充分考虑各产业间的环境相容性。</w:t>
                  </w:r>
                </w:p>
              </w:tc>
              <w:tc>
                <w:tcPr>
                  <w:tcW w:w="2446" w:type="dxa"/>
                  <w:noWrap w:val="0"/>
                  <w:vAlign w:val="center"/>
                </w:tcPr>
                <w:p w14:paraId="4E858F80">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本项目位于</w:t>
                  </w:r>
                  <w:r>
                    <w:rPr>
                      <w:rFonts w:hint="eastAsia" w:ascii="Times New Roman" w:hAnsi="Times New Roman" w:eastAsia="宋体" w:cs="Times New Roman"/>
                      <w:color w:val="auto"/>
                      <w:sz w:val="21"/>
                      <w:szCs w:val="21"/>
                      <w:highlight w:val="none"/>
                      <w:lang w:val="en-US" w:eastAsia="zh-CN" w:bidi="ar-SA"/>
                    </w:rPr>
                    <w:t>富民工业园区白石岩——大白坡片区</w:t>
                  </w:r>
                  <w:r>
                    <w:rPr>
                      <w:rFonts w:hint="eastAsia" w:cs="Times New Roman"/>
                      <w:color w:val="auto"/>
                      <w:sz w:val="21"/>
                      <w:szCs w:val="21"/>
                      <w:highlight w:val="none"/>
                      <w:lang w:val="en-US" w:eastAsia="zh-CN" w:bidi="ar-SA"/>
                    </w:rPr>
                    <w:t>哨箐</w:t>
                  </w:r>
                  <w:r>
                    <w:rPr>
                      <w:rFonts w:hint="eastAsia" w:ascii="Times New Roman" w:hAnsi="Times New Roman" w:eastAsia="宋体" w:cs="Times New Roman"/>
                      <w:color w:val="auto"/>
                      <w:sz w:val="21"/>
                      <w:szCs w:val="21"/>
                      <w:highlight w:val="none"/>
                      <w:lang w:val="en-US" w:eastAsia="zh-CN" w:bidi="ar-SA"/>
                    </w:rPr>
                    <w:t>组团</w:t>
                  </w:r>
                  <w:r>
                    <w:rPr>
                      <w:rFonts w:hint="default" w:ascii="Times New Roman" w:hAnsi="Times New Roman" w:eastAsia="宋体" w:cs="Times New Roman"/>
                      <w:color w:val="auto"/>
                      <w:sz w:val="21"/>
                      <w:szCs w:val="21"/>
                      <w:highlight w:val="none"/>
                      <w:lang w:val="en-US" w:eastAsia="zh-CN" w:bidi="ar-SA"/>
                    </w:rPr>
                    <w:t>，周围500m范围内</w:t>
                  </w:r>
                  <w:r>
                    <w:rPr>
                      <w:rFonts w:hint="eastAsia" w:cs="Times New Roman"/>
                      <w:color w:val="auto"/>
                      <w:sz w:val="21"/>
                      <w:szCs w:val="21"/>
                      <w:highlight w:val="none"/>
                      <w:lang w:val="en-US" w:eastAsia="zh-CN" w:bidi="ar-SA"/>
                    </w:rPr>
                    <w:t>主要分布有电器加工、机械生产企业</w:t>
                  </w:r>
                  <w:r>
                    <w:rPr>
                      <w:rFonts w:hint="default" w:ascii="Times New Roman" w:hAnsi="Times New Roman" w:eastAsia="宋体" w:cs="Times New Roman"/>
                      <w:color w:val="auto"/>
                      <w:sz w:val="21"/>
                      <w:szCs w:val="21"/>
                      <w:highlight w:val="none"/>
                      <w:lang w:val="en-US" w:eastAsia="zh-CN" w:bidi="ar-SA"/>
                    </w:rPr>
                    <w:t>，没有食品加工企业。因此，和周围环境具有相容性。</w:t>
                  </w:r>
                </w:p>
              </w:tc>
              <w:tc>
                <w:tcPr>
                  <w:tcW w:w="565" w:type="dxa"/>
                  <w:noWrap w:val="0"/>
                  <w:vAlign w:val="center"/>
                </w:tcPr>
                <w:p w14:paraId="606B53E2">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095A7E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96" w:type="dxa"/>
                  <w:noWrap w:val="0"/>
                  <w:vAlign w:val="center"/>
                </w:tcPr>
                <w:p w14:paraId="17374D61">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w:t>
                  </w:r>
                </w:p>
              </w:tc>
              <w:tc>
                <w:tcPr>
                  <w:tcW w:w="4041" w:type="dxa"/>
                  <w:noWrap w:val="0"/>
                  <w:vAlign w:val="center"/>
                </w:tcPr>
                <w:p w14:paraId="414060C6">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富民县城四周均为山体，不利于大气污染物扩散，县城周边的工业组团白石岩-大白坡片区的白石岩组团、环保产业园，大营茨塘片区的大营组团不宜布局大气污染较重的工业企业，减轻工业污染对县城规划区域的影响。</w:t>
                  </w:r>
                </w:p>
              </w:tc>
              <w:tc>
                <w:tcPr>
                  <w:tcW w:w="2446" w:type="dxa"/>
                  <w:noWrap w:val="0"/>
                  <w:vAlign w:val="center"/>
                </w:tcPr>
                <w:p w14:paraId="5BE946D1">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本项目不属于大气污染严重的工业。</w:t>
                  </w:r>
                </w:p>
              </w:tc>
              <w:tc>
                <w:tcPr>
                  <w:tcW w:w="565" w:type="dxa"/>
                  <w:noWrap w:val="0"/>
                  <w:vAlign w:val="center"/>
                </w:tcPr>
                <w:p w14:paraId="6649797E">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57DDC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96" w:type="dxa"/>
                  <w:noWrap w:val="0"/>
                  <w:vAlign w:val="center"/>
                </w:tcPr>
                <w:p w14:paraId="15469216">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w:t>
                  </w:r>
                </w:p>
              </w:tc>
              <w:tc>
                <w:tcPr>
                  <w:tcW w:w="4041" w:type="dxa"/>
                  <w:noWrap w:val="0"/>
                  <w:vAlign w:val="center"/>
                </w:tcPr>
                <w:p w14:paraId="3D54E7C7">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园区白石岩-大白坡片区部分区域距离螳螂川两岸较近，规划实施过程中，新入驻的企业应符合《昆明市河道管理条例》的相关规定，对于现状不符合的企业，应逐步搬迁或淘汰。</w:t>
                  </w:r>
                </w:p>
              </w:tc>
              <w:tc>
                <w:tcPr>
                  <w:tcW w:w="2446" w:type="dxa"/>
                  <w:noWrap w:val="0"/>
                  <w:vAlign w:val="center"/>
                </w:tcPr>
                <w:p w14:paraId="6AD7C23F">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根据《昆明市河道管理条例（2016年修订版）》，无堤防的河道管理范围为水域、沙洲、湿地、滩地及河口两侧不小于10m距离、河道管理范围以外10-100m范围为河道的保护范围。本项目距离最近河道超过</w:t>
                  </w:r>
                  <w:r>
                    <w:rPr>
                      <w:rFonts w:hint="eastAsia" w:cs="Times New Roman"/>
                      <w:color w:val="auto"/>
                      <w:sz w:val="21"/>
                      <w:szCs w:val="21"/>
                      <w:highlight w:val="none"/>
                      <w:lang w:val="en-US" w:eastAsia="zh-CN" w:bidi="ar-SA"/>
                    </w:rPr>
                    <w:t>1.3k</w:t>
                  </w:r>
                  <w:r>
                    <w:rPr>
                      <w:rFonts w:hint="default" w:ascii="Times New Roman" w:hAnsi="Times New Roman" w:eastAsia="宋体" w:cs="Times New Roman"/>
                      <w:color w:val="auto"/>
                      <w:sz w:val="21"/>
                      <w:szCs w:val="21"/>
                      <w:highlight w:val="none"/>
                      <w:lang w:val="en-US" w:eastAsia="zh-CN" w:bidi="ar-SA"/>
                    </w:rPr>
                    <w:t>m</w:t>
                  </w:r>
                  <w:r>
                    <w:rPr>
                      <w:rFonts w:hint="eastAsia" w:ascii="Times New Roman" w:hAnsi="Times New Roman" w:eastAsia="宋体" w:cs="Times New Roman"/>
                      <w:color w:val="auto"/>
                      <w:sz w:val="21"/>
                      <w:szCs w:val="21"/>
                      <w:highlight w:val="none"/>
                      <w:lang w:val="en-US" w:eastAsia="zh-CN" w:bidi="ar-SA"/>
                    </w:rPr>
                    <w:t>（</w:t>
                  </w:r>
                  <w:r>
                    <w:rPr>
                      <w:rFonts w:hint="eastAsia" w:ascii="宋体" w:hAnsi="宋体" w:eastAsia="宋体" w:cs="宋体"/>
                      <w:i w:val="0"/>
                      <w:iCs w:val="0"/>
                      <w:color w:val="auto"/>
                      <w:kern w:val="0"/>
                      <w:sz w:val="21"/>
                      <w:szCs w:val="21"/>
                      <w:u w:val="none"/>
                      <w:lang w:val="en-US" w:eastAsia="zh-CN" w:bidi="ar"/>
                    </w:rPr>
                    <w:t>螳螂川</w:t>
                  </w:r>
                  <w:r>
                    <w:rPr>
                      <w:rFonts w:hint="eastAsia" w:ascii="Times New Roman" w:hAnsi="Times New Roman" w:eastAsia="宋体" w:cs="Times New Roman"/>
                      <w:color w:val="auto"/>
                      <w:sz w:val="21"/>
                      <w:szCs w:val="21"/>
                      <w:highlight w:val="none"/>
                      <w:lang w:val="en-US" w:eastAsia="zh-CN" w:bidi="ar-SA"/>
                    </w:rPr>
                    <w:t>），不在河道管理范围内。</w:t>
                  </w:r>
                </w:p>
              </w:tc>
              <w:tc>
                <w:tcPr>
                  <w:tcW w:w="565" w:type="dxa"/>
                  <w:noWrap w:val="0"/>
                  <w:vAlign w:val="center"/>
                </w:tcPr>
                <w:p w14:paraId="4A1E334C">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3F022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96" w:type="dxa"/>
                  <w:noWrap w:val="0"/>
                  <w:vAlign w:val="center"/>
                </w:tcPr>
                <w:p w14:paraId="619024BF">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6</w:t>
                  </w:r>
                </w:p>
              </w:tc>
              <w:tc>
                <w:tcPr>
                  <w:tcW w:w="4041" w:type="dxa"/>
                  <w:noWrap w:val="0"/>
                  <w:vAlign w:val="center"/>
                </w:tcPr>
                <w:p w14:paraId="40A37047">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规划白石岩组团、大营—茨塘片区东元村片段、散旦片区的西部组团、款庄—东村片区的东村组团、大栗园组团、和平组团区域岩溶发育，地下水环境较为敏感，企业入驻时，需对区域水文地质条件进行充分论证，确保企业入驻产生的污染物不影响区域地下水水质。</w:t>
                  </w:r>
                </w:p>
              </w:tc>
              <w:tc>
                <w:tcPr>
                  <w:tcW w:w="2446" w:type="dxa"/>
                  <w:noWrap w:val="0"/>
                  <w:vAlign w:val="center"/>
                </w:tcPr>
                <w:p w14:paraId="1B844732">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本项目</w:t>
                  </w:r>
                  <w:r>
                    <w:rPr>
                      <w:rFonts w:hint="eastAsia" w:ascii="Times New Roman" w:hAnsi="Times New Roman" w:eastAsia="宋体" w:cs="Times New Roman"/>
                      <w:color w:val="auto"/>
                      <w:sz w:val="21"/>
                      <w:szCs w:val="21"/>
                      <w:highlight w:val="none"/>
                      <w:lang w:val="en-US" w:eastAsia="zh-CN" w:bidi="ar-SA"/>
                    </w:rPr>
                    <w:t>位于富民工业园区白石岩——大白坡片区</w:t>
                  </w:r>
                  <w:r>
                    <w:rPr>
                      <w:rFonts w:hint="eastAsia" w:cs="Times New Roman"/>
                      <w:color w:val="auto"/>
                      <w:sz w:val="21"/>
                      <w:szCs w:val="21"/>
                      <w:highlight w:val="none"/>
                      <w:lang w:val="en-US" w:eastAsia="zh-CN" w:bidi="ar-SA"/>
                    </w:rPr>
                    <w:t>哨箐组团</w:t>
                  </w:r>
                  <w:r>
                    <w:rPr>
                      <w:rFonts w:hint="default" w:ascii="Times New Roman" w:hAnsi="Times New Roman" w:eastAsia="宋体" w:cs="Times New Roman"/>
                      <w:color w:val="auto"/>
                      <w:sz w:val="21"/>
                      <w:szCs w:val="21"/>
                      <w:highlight w:val="none"/>
                      <w:lang w:val="en-US" w:eastAsia="zh-CN" w:bidi="ar-SA"/>
                    </w:rPr>
                    <w:t>，不在地下水环境敏感</w:t>
                  </w:r>
                  <w:r>
                    <w:rPr>
                      <w:rFonts w:hint="eastAsia" w:ascii="Times New Roman" w:hAnsi="Times New Roman" w:eastAsia="宋体" w:cs="Times New Roman"/>
                      <w:color w:val="auto"/>
                      <w:sz w:val="21"/>
                      <w:szCs w:val="21"/>
                      <w:highlight w:val="none"/>
                      <w:lang w:val="en-US" w:eastAsia="zh-CN" w:bidi="ar-SA"/>
                    </w:rPr>
                    <w:t>地区，</w:t>
                  </w:r>
                  <w:r>
                    <w:rPr>
                      <w:rFonts w:hint="default" w:ascii="Times New Roman" w:hAnsi="Times New Roman" w:eastAsia="宋体" w:cs="Times New Roman"/>
                      <w:color w:val="auto"/>
                      <w:sz w:val="21"/>
                      <w:szCs w:val="21"/>
                      <w:highlight w:val="none"/>
                      <w:lang w:val="en-US" w:eastAsia="zh-CN" w:bidi="ar-SA"/>
                    </w:rPr>
                    <w:t>也不涉及集中式饮用水水源和热水、矿</w:t>
                  </w:r>
                  <w:r>
                    <w:rPr>
                      <w:rFonts w:hint="eastAsia" w:ascii="Times New Roman" w:hAnsi="Times New Roman" w:eastAsia="宋体" w:cs="Times New Roman"/>
                      <w:color w:val="auto"/>
                      <w:sz w:val="21"/>
                      <w:szCs w:val="21"/>
                      <w:highlight w:val="none"/>
                      <w:lang w:val="en-US" w:eastAsia="zh-CN" w:bidi="ar-SA"/>
                    </w:rPr>
                    <w:t>泉</w:t>
                  </w:r>
                  <w:r>
                    <w:rPr>
                      <w:rFonts w:hint="default" w:ascii="Times New Roman" w:hAnsi="Times New Roman" w:eastAsia="宋体" w:cs="Times New Roman"/>
                      <w:color w:val="auto"/>
                      <w:sz w:val="21"/>
                      <w:szCs w:val="21"/>
                      <w:highlight w:val="none"/>
                      <w:lang w:val="en-US" w:eastAsia="zh-CN" w:bidi="ar-SA"/>
                    </w:rPr>
                    <w:t>水、温泉等特殊地下</w:t>
                  </w:r>
                  <w:r>
                    <w:rPr>
                      <w:rFonts w:hint="eastAsia" w:ascii="Times New Roman" w:hAnsi="Times New Roman" w:eastAsia="宋体" w:cs="Times New Roman"/>
                      <w:color w:val="auto"/>
                      <w:sz w:val="21"/>
                      <w:szCs w:val="21"/>
                      <w:highlight w:val="none"/>
                      <w:lang w:val="en-US" w:eastAsia="zh-CN" w:bidi="ar-SA"/>
                    </w:rPr>
                    <w:t>水</w:t>
                  </w:r>
                  <w:r>
                    <w:rPr>
                      <w:rFonts w:hint="default" w:ascii="Times New Roman" w:hAnsi="Times New Roman" w:eastAsia="宋体" w:cs="Times New Roman"/>
                      <w:color w:val="auto"/>
                      <w:sz w:val="21"/>
                      <w:szCs w:val="21"/>
                      <w:highlight w:val="none"/>
                      <w:lang w:val="en-US" w:eastAsia="zh-CN" w:bidi="ar-SA"/>
                    </w:rPr>
                    <w:t>资源</w:t>
                  </w:r>
                  <w:r>
                    <w:rPr>
                      <w:rFonts w:hint="eastAsia" w:ascii="Times New Roman" w:hAnsi="Times New Roman" w:eastAsia="宋体" w:cs="Times New Roman"/>
                      <w:color w:val="auto"/>
                      <w:sz w:val="21"/>
                      <w:szCs w:val="21"/>
                      <w:highlight w:val="none"/>
                      <w:lang w:val="en-US" w:eastAsia="zh-CN" w:bidi="ar-SA"/>
                    </w:rPr>
                    <w:t>保</w:t>
                  </w:r>
                  <w:r>
                    <w:rPr>
                      <w:rFonts w:hint="default" w:ascii="Times New Roman" w:hAnsi="Times New Roman" w:eastAsia="宋体" w:cs="Times New Roman"/>
                      <w:color w:val="auto"/>
                      <w:sz w:val="21"/>
                      <w:szCs w:val="21"/>
                      <w:highlight w:val="none"/>
                      <w:lang w:val="en-US" w:eastAsia="zh-CN" w:bidi="ar-SA"/>
                    </w:rPr>
                    <w:t>护区</w:t>
                  </w: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且项目运营期所产生污染物在采取措施后，对地下水不会造成污染。</w:t>
                  </w:r>
                </w:p>
              </w:tc>
              <w:tc>
                <w:tcPr>
                  <w:tcW w:w="565" w:type="dxa"/>
                  <w:noWrap w:val="0"/>
                  <w:vAlign w:val="center"/>
                </w:tcPr>
                <w:p w14:paraId="0CE65769">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2F30C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96" w:type="dxa"/>
                  <w:noWrap w:val="0"/>
                  <w:vAlign w:val="center"/>
                </w:tcPr>
                <w:p w14:paraId="07DA09F6">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7</w:t>
                  </w:r>
                </w:p>
              </w:tc>
              <w:tc>
                <w:tcPr>
                  <w:tcW w:w="4041" w:type="dxa"/>
                  <w:noWrap w:val="0"/>
                  <w:vAlign w:val="center"/>
                </w:tcPr>
                <w:p w14:paraId="3A36479C">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规划园区的大白坡组团、环保产业园、食品加工园等组团周边村庄较多，园区应严格环境准入，从源头控制，采用天然气等清洁燃料及能源利用效率高、污染物排放量少的清洁生产工艺，减少废气对周围环境的影响，同时严格按照入驻企业的环境防护距离要求，设置足够的环境防护距离，减轻对园区内及周边居民的环境影响。</w:t>
                  </w:r>
                </w:p>
              </w:tc>
              <w:tc>
                <w:tcPr>
                  <w:tcW w:w="2446" w:type="dxa"/>
                  <w:noWrap w:val="0"/>
                  <w:vAlign w:val="center"/>
                </w:tcPr>
                <w:p w14:paraId="11E4BBB6">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本项目</w:t>
                  </w:r>
                  <w:r>
                    <w:rPr>
                      <w:rFonts w:hint="eastAsia" w:ascii="Times New Roman" w:hAnsi="Times New Roman" w:eastAsia="宋体" w:cs="Times New Roman"/>
                      <w:color w:val="auto"/>
                      <w:sz w:val="21"/>
                      <w:szCs w:val="21"/>
                      <w:highlight w:val="none"/>
                      <w:lang w:val="en-US" w:eastAsia="zh-CN" w:bidi="ar-SA"/>
                    </w:rPr>
                    <w:t>位于富民工业园区白石岩——大白坡片区</w:t>
                  </w:r>
                  <w:r>
                    <w:rPr>
                      <w:rFonts w:hint="eastAsia" w:cs="Times New Roman"/>
                      <w:color w:val="auto"/>
                      <w:sz w:val="21"/>
                      <w:szCs w:val="21"/>
                      <w:highlight w:val="none"/>
                      <w:lang w:val="en-US" w:eastAsia="zh-CN" w:bidi="ar-SA"/>
                    </w:rPr>
                    <w:t>哨箐</w:t>
                  </w:r>
                  <w:r>
                    <w:rPr>
                      <w:rFonts w:hint="eastAsia" w:ascii="Times New Roman" w:hAnsi="Times New Roman" w:eastAsia="宋体" w:cs="Times New Roman"/>
                      <w:color w:val="auto"/>
                      <w:sz w:val="21"/>
                      <w:szCs w:val="21"/>
                      <w:highlight w:val="none"/>
                      <w:lang w:val="en-US" w:eastAsia="zh-CN" w:bidi="ar-SA"/>
                    </w:rPr>
                    <w:t>组团</w:t>
                  </w:r>
                  <w:r>
                    <w:rPr>
                      <w:rFonts w:hint="default" w:ascii="Times New Roman" w:hAnsi="Times New Roman" w:eastAsia="宋体" w:cs="Times New Roman"/>
                      <w:color w:val="auto"/>
                      <w:sz w:val="21"/>
                      <w:szCs w:val="21"/>
                      <w:highlight w:val="none"/>
                      <w:lang w:val="en-US" w:eastAsia="zh-CN" w:bidi="ar-SA"/>
                    </w:rPr>
                    <w:t>，</w:t>
                  </w:r>
                  <w:r>
                    <w:rPr>
                      <w:rFonts w:hint="eastAsia" w:ascii="Times New Roman" w:hAnsi="Times New Roman" w:eastAsia="宋体" w:cs="Times New Roman"/>
                      <w:color w:val="auto"/>
                      <w:sz w:val="21"/>
                      <w:szCs w:val="21"/>
                      <w:highlight w:val="none"/>
                      <w:lang w:val="en-US" w:eastAsia="zh-CN" w:bidi="ar-SA"/>
                    </w:rPr>
                    <w:t>本项目仅使用电作为能源，本项目大气污染物主要为颗粒物</w:t>
                  </w:r>
                  <w:r>
                    <w:rPr>
                      <w:rFonts w:hint="eastAsia" w:cs="Times New Roman"/>
                      <w:color w:val="auto"/>
                      <w:sz w:val="21"/>
                      <w:szCs w:val="21"/>
                      <w:highlight w:val="none"/>
                      <w:lang w:val="en-US" w:eastAsia="zh-CN" w:bidi="ar-SA"/>
                    </w:rPr>
                    <w:t>、氨、非甲烷总烃</w:t>
                  </w:r>
                  <w:r>
                    <w:rPr>
                      <w:rFonts w:hint="eastAsia" w:ascii="Times New Roman" w:hAnsi="Times New Roman" w:eastAsia="宋体" w:cs="Times New Roman"/>
                      <w:color w:val="auto"/>
                      <w:sz w:val="21"/>
                      <w:szCs w:val="21"/>
                      <w:highlight w:val="none"/>
                      <w:lang w:val="en-US" w:eastAsia="zh-CN" w:bidi="ar-SA"/>
                    </w:rPr>
                    <w:t>，</w:t>
                  </w:r>
                  <w:r>
                    <w:rPr>
                      <w:rFonts w:hint="eastAsia" w:cs="Times New Roman"/>
                      <w:color w:val="auto"/>
                      <w:sz w:val="21"/>
                      <w:szCs w:val="21"/>
                      <w:highlight w:val="none"/>
                      <w:lang w:val="en-US" w:eastAsia="zh-CN" w:bidi="ar-SA"/>
                    </w:rPr>
                    <w:t>项目生产线设置在封闭的标准车间内，产生的废气较少，对周围大气环境影响较小</w:t>
                  </w:r>
                  <w:r>
                    <w:rPr>
                      <w:rFonts w:hint="eastAsia" w:ascii="Times New Roman" w:hAnsi="Times New Roman" w:eastAsia="宋体" w:cs="Times New Roman"/>
                      <w:color w:val="auto"/>
                      <w:sz w:val="21"/>
                      <w:szCs w:val="21"/>
                      <w:highlight w:val="none"/>
                      <w:lang w:val="en-US" w:eastAsia="zh-CN" w:bidi="ar-SA"/>
                    </w:rPr>
                    <w:t>。</w:t>
                  </w:r>
                </w:p>
              </w:tc>
              <w:tc>
                <w:tcPr>
                  <w:tcW w:w="565" w:type="dxa"/>
                  <w:noWrap w:val="0"/>
                  <w:vAlign w:val="center"/>
                </w:tcPr>
                <w:p w14:paraId="4D4A39A7">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463DE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96" w:type="dxa"/>
                  <w:noWrap w:val="0"/>
                  <w:vAlign w:val="center"/>
                </w:tcPr>
                <w:p w14:paraId="64B8A3CE">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8</w:t>
                  </w:r>
                </w:p>
              </w:tc>
              <w:tc>
                <w:tcPr>
                  <w:tcW w:w="4041" w:type="dxa"/>
                  <w:noWrap w:val="0"/>
                  <w:vAlign w:val="center"/>
                </w:tcPr>
                <w:p w14:paraId="196D3324">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加快环保基础设施建设，按照“雨污分流、生产废水和生活污水分流、分散与集中处理相结合”的原则，根据园区各片区用地规模、开发程度、产业集聚程度及排水情况进行规划建设采取企业自行处理与园区集中处理相结合的方式，规范设计和建设各工业片区初期雨水收集系统、事故水收集系统、生活污水、生产废水的收集处理系统和回用系统。</w:t>
                  </w:r>
                </w:p>
              </w:tc>
              <w:tc>
                <w:tcPr>
                  <w:tcW w:w="2446" w:type="dxa"/>
                  <w:noWrap w:val="0"/>
                  <w:vAlign w:val="center"/>
                </w:tcPr>
                <w:p w14:paraId="6380A93F">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生活废水经隔油池、化粪池处理</w:t>
                  </w:r>
                  <w:r>
                    <w:rPr>
                      <w:rFonts w:hint="eastAsia" w:ascii="Times New Roman" w:hAnsi="Times New Roman" w:eastAsia="宋体" w:cs="Times New Roman"/>
                      <w:color w:val="auto"/>
                      <w:sz w:val="21"/>
                      <w:szCs w:val="21"/>
                      <w:highlight w:val="none"/>
                      <w:lang w:val="en-US" w:eastAsia="zh-CN" w:bidi="ar-SA"/>
                    </w:rPr>
                    <w:t>达标</w:t>
                  </w:r>
                  <w:r>
                    <w:rPr>
                      <w:rFonts w:hint="eastAsia" w:ascii="Times New Roman" w:hAnsi="Times New Roman" w:eastAsia="宋体" w:cs="Times New Roman"/>
                      <w:color w:val="auto"/>
                      <w:sz w:val="21"/>
                      <w:szCs w:val="21"/>
                      <w:highlight w:val="none"/>
                      <w:lang w:val="en-US" w:eastAsia="zh-CN"/>
                    </w:rPr>
                    <w:t>后</w:t>
                  </w:r>
                  <w:r>
                    <w:rPr>
                      <w:rFonts w:hint="eastAsia" w:cs="Times New Roman"/>
                      <w:color w:val="auto"/>
                      <w:sz w:val="21"/>
                      <w:szCs w:val="21"/>
                      <w:highlight w:val="none"/>
                      <w:lang w:val="en-US" w:eastAsia="zh-CN"/>
                    </w:rPr>
                    <w:t>同生产废水一并进入自建污水处理系统，达标后进入园区污水管网，</w:t>
                  </w:r>
                  <w:r>
                    <w:rPr>
                      <w:rFonts w:hint="eastAsia" w:ascii="Times New Roman" w:eastAsia="宋体" w:cs="宋体"/>
                      <w:color w:val="auto"/>
                      <w:sz w:val="21"/>
                      <w:szCs w:val="22"/>
                      <w:highlight w:val="none"/>
                      <w:lang w:val="en-US" w:eastAsia="zh-CN"/>
                    </w:rPr>
                    <w:t>不直接向外环境排放废水</w:t>
                  </w:r>
                  <w:r>
                    <w:rPr>
                      <w:rFonts w:hint="eastAsia" w:ascii="Times New Roman" w:hAnsi="Times New Roman" w:eastAsia="宋体" w:cs="Times New Roman"/>
                      <w:color w:val="auto"/>
                      <w:sz w:val="21"/>
                      <w:szCs w:val="21"/>
                      <w:highlight w:val="none"/>
                      <w:lang w:val="en-US" w:eastAsia="zh-CN" w:bidi="ar-SA"/>
                    </w:rPr>
                    <w:t>。</w:t>
                  </w:r>
                </w:p>
              </w:tc>
              <w:tc>
                <w:tcPr>
                  <w:tcW w:w="565" w:type="dxa"/>
                  <w:noWrap w:val="0"/>
                  <w:vAlign w:val="center"/>
                </w:tcPr>
                <w:p w14:paraId="4B917A0B">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03967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7" w:hRule="atLeast"/>
                <w:jc w:val="center"/>
              </w:trPr>
              <w:tc>
                <w:tcPr>
                  <w:tcW w:w="596" w:type="dxa"/>
                  <w:noWrap w:val="0"/>
                  <w:vAlign w:val="center"/>
                </w:tcPr>
                <w:p w14:paraId="1BD82693">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9</w:t>
                  </w:r>
                </w:p>
              </w:tc>
              <w:tc>
                <w:tcPr>
                  <w:tcW w:w="4041" w:type="dxa"/>
                  <w:noWrap w:val="0"/>
                  <w:vAlign w:val="center"/>
                </w:tcPr>
                <w:p w14:paraId="70D55914">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加强固体废弃物的管理，按照</w:t>
                  </w:r>
                  <w:r>
                    <w:rPr>
                      <w:rFonts w:hint="default" w:ascii="Times New Roman" w:hAnsi="Times New Roman" w:eastAsia="宋体" w:cs="Times New Roman"/>
                      <w:color w:val="auto"/>
                      <w:sz w:val="21"/>
                      <w:szCs w:val="21"/>
                      <w:highlight w:val="none"/>
                      <w:lang w:val="en-US" w:eastAsia="zh-CN" w:bidi="ar-SA"/>
                    </w:rPr>
                    <w:cr/>
                  </w:r>
                  <w:r>
                    <w:rPr>
                      <w:rFonts w:hint="default" w:ascii="Times New Roman" w:hAnsi="Times New Roman" w:eastAsia="宋体" w:cs="Times New Roman"/>
                      <w:color w:val="auto"/>
                      <w:sz w:val="21"/>
                      <w:szCs w:val="21"/>
                      <w:highlight w:val="none"/>
                      <w:lang w:val="en-US" w:eastAsia="zh-CN" w:bidi="ar-SA"/>
                    </w:rPr>
                    <w:t>散与集中处理相结合的原则，抓紧固废处置场等基础设施的建设，确保入区企业的固体废弃物得到妥善处置。提高固体废物综合利用率，实现工业固体废物资源化和减量化。</w:t>
                  </w:r>
                </w:p>
              </w:tc>
              <w:tc>
                <w:tcPr>
                  <w:tcW w:w="2446" w:type="dxa"/>
                  <w:noWrap w:val="0"/>
                  <w:vAlign w:val="center"/>
                </w:tcPr>
                <w:p w14:paraId="6322A277">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项目产生的固废，能回收利用的进行回收利用，不能回收利用进行科学合理处置，处置率达100%。</w:t>
                  </w:r>
                </w:p>
              </w:tc>
              <w:tc>
                <w:tcPr>
                  <w:tcW w:w="565" w:type="dxa"/>
                  <w:noWrap w:val="0"/>
                  <w:vAlign w:val="center"/>
                </w:tcPr>
                <w:p w14:paraId="7A6B0BAB">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r w14:paraId="0740F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96" w:type="dxa"/>
                  <w:noWrap w:val="0"/>
                  <w:vAlign w:val="center"/>
                </w:tcPr>
                <w:p w14:paraId="11004ED6">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10</w:t>
                  </w:r>
                </w:p>
              </w:tc>
              <w:tc>
                <w:tcPr>
                  <w:tcW w:w="4041" w:type="dxa"/>
                  <w:noWrap w:val="0"/>
                  <w:vAlign w:val="center"/>
                </w:tcPr>
                <w:p w14:paraId="358C5ED6">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加强规划实施的跟踪监测与管理，针对存在的问题适时开展环境影响跟踪评价，及时优化调整产业发展规划。</w:t>
                  </w:r>
                </w:p>
              </w:tc>
              <w:tc>
                <w:tcPr>
                  <w:tcW w:w="2446" w:type="dxa"/>
                  <w:noWrap w:val="0"/>
                  <w:vAlign w:val="center"/>
                </w:tcPr>
                <w:p w14:paraId="010F481E">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项目实施监测计划，定期监测</w:t>
                  </w:r>
                </w:p>
              </w:tc>
              <w:tc>
                <w:tcPr>
                  <w:tcW w:w="565" w:type="dxa"/>
                  <w:noWrap w:val="0"/>
                  <w:vAlign w:val="center"/>
                </w:tcPr>
                <w:p w14:paraId="2813886E">
                  <w:pPr>
                    <w:keepNext w:val="0"/>
                    <w:keepLines w:val="0"/>
                    <w:pageBreakBefore w:val="0"/>
                    <w:suppressLineNumbers w:val="0"/>
                    <w:kinsoku/>
                    <w:wordWrap/>
                    <w:overflowPunct/>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符合</w:t>
                  </w:r>
                </w:p>
              </w:tc>
            </w:tr>
          </w:tbl>
          <w:p w14:paraId="0BA6B9BE">
            <w:pPr>
              <w:keepNext w:val="0"/>
              <w:keepLines w:val="0"/>
              <w:pageBreakBefore w:val="0"/>
              <w:suppressLineNumbers w:val="0"/>
              <w:kinsoku/>
              <w:wordWrap/>
              <w:overflowPunct/>
              <w:topLinePunct w:val="0"/>
              <w:bidi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color w:val="auto"/>
                <w:sz w:val="24"/>
                <w:highlight w:val="none"/>
              </w:rPr>
              <w:t>综上所述，本项目符合</w:t>
            </w:r>
            <w:r>
              <w:rPr>
                <w:rFonts w:hint="eastAsia" w:ascii="Times New Roman" w:hAnsi="Times New Roman" w:eastAsia="宋体" w:cs="Times New Roman"/>
                <w:color w:val="auto"/>
                <w:sz w:val="24"/>
                <w:szCs w:val="22"/>
                <w:highlight w:val="none"/>
                <w:lang w:val="en-US" w:eastAsia="zh-CN"/>
              </w:rPr>
              <w:t>《富民工业园区总体规划修编（</w:t>
            </w:r>
            <w:r>
              <w:rPr>
                <w:rFonts w:hint="default" w:ascii="Times New Roman" w:hAnsi="Times New Roman" w:eastAsia="宋体" w:cs="Times New Roman"/>
                <w:color w:val="auto"/>
                <w:sz w:val="24"/>
                <w:szCs w:val="22"/>
                <w:highlight w:val="none"/>
                <w:lang w:val="en-US" w:eastAsia="zh-CN"/>
              </w:rPr>
              <w:t>2015-2030</w:t>
            </w:r>
            <w:r>
              <w:rPr>
                <w:rFonts w:hint="eastAsia" w:ascii="Times New Roman" w:hAnsi="Times New Roman" w:eastAsia="宋体" w:cs="Times New Roman"/>
                <w:color w:val="auto"/>
                <w:sz w:val="24"/>
                <w:szCs w:val="22"/>
                <w:highlight w:val="none"/>
                <w:lang w:val="en-US" w:eastAsia="zh-CN"/>
              </w:rPr>
              <w:t>）环境影响报告书》及审查意见（云环审【</w:t>
            </w:r>
            <w:r>
              <w:rPr>
                <w:rFonts w:hint="default" w:ascii="Times New Roman" w:hAnsi="Times New Roman" w:eastAsia="宋体" w:cs="Times New Roman"/>
                <w:color w:val="auto"/>
                <w:sz w:val="24"/>
                <w:szCs w:val="22"/>
                <w:highlight w:val="none"/>
                <w:lang w:val="en-US" w:eastAsia="zh-CN"/>
              </w:rPr>
              <w:t>2016</w:t>
            </w:r>
            <w:r>
              <w:rPr>
                <w:rFonts w:hint="eastAsia" w:ascii="Times New Roman" w:hAnsi="Times New Roman" w:eastAsia="宋体"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10</w:t>
            </w:r>
            <w:r>
              <w:rPr>
                <w:rFonts w:hint="eastAsia" w:ascii="Times New Roman" w:hAnsi="Times New Roman" w:eastAsia="宋体" w:cs="Times New Roman"/>
                <w:color w:val="auto"/>
                <w:sz w:val="24"/>
                <w:szCs w:val="22"/>
                <w:highlight w:val="none"/>
                <w:lang w:val="en-US" w:eastAsia="zh-CN"/>
              </w:rPr>
              <w:t>号）的</w:t>
            </w:r>
            <w:r>
              <w:rPr>
                <w:rFonts w:hint="default"/>
                <w:color w:val="auto"/>
                <w:sz w:val="24"/>
                <w:highlight w:val="none"/>
              </w:rPr>
              <w:t>相关要求。</w:t>
            </w:r>
          </w:p>
        </w:tc>
      </w:tr>
      <w:tr w14:paraId="7D2952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pct"/>
            <w:noWrap w:val="0"/>
            <w:vAlign w:val="center"/>
          </w:tcPr>
          <w:p w14:paraId="015A8021">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其他符合性分析</w:t>
            </w:r>
          </w:p>
        </w:tc>
        <w:tc>
          <w:tcPr>
            <w:tcW w:w="4562" w:type="pct"/>
            <w:gridSpan w:val="4"/>
            <w:noWrap w:val="0"/>
            <w:vAlign w:val="center"/>
          </w:tcPr>
          <w:p w14:paraId="2E96F4ED">
            <w:pPr>
              <w:keepNext w:val="0"/>
              <w:keepLines w:val="0"/>
              <w:pageBreakBefore w:val="0"/>
              <w:numPr>
                <w:ilvl w:val="0"/>
                <w:numId w:val="0"/>
              </w:numPr>
              <w:suppressLineNumbers w:val="0"/>
              <w:kinsoku/>
              <w:wordWrap/>
              <w:overflowPunct/>
              <w:autoSpaceDE w:val="0"/>
              <w:autoSpaceDN w:val="0"/>
              <w:bidi w:val="0"/>
              <w:adjustRightInd w:val="0"/>
              <w:snapToGrid w:val="0"/>
              <w:spacing w:before="0" w:beforeAutospacing="0" w:after="0" w:afterAutospacing="0" w:line="360" w:lineRule="auto"/>
              <w:ind w:left="0" w:leftChars="0" w:right="0" w:firstLine="482" w:firstLineChars="200"/>
              <w:jc w:val="left"/>
              <w:textAlignment w:val="auto"/>
              <w:rPr>
                <w:rFonts w:hint="default" w:ascii="Times New Roman" w:hAnsi="Times New Roman" w:eastAsia="宋体" w:cs="Times New Roman"/>
                <w:b/>
                <w:bCs/>
                <w:color w:val="auto"/>
                <w:kern w:val="0"/>
                <w:sz w:val="24"/>
                <w:lang w:val="en-US" w:eastAsia="zh-CN"/>
              </w:rPr>
            </w:pPr>
            <w:r>
              <w:rPr>
                <w:rFonts w:hint="default" w:ascii="Times New Roman" w:hAnsi="Times New Roman" w:eastAsia="宋体" w:cs="Times New Roman"/>
                <w:b/>
                <w:bCs/>
                <w:color w:val="auto"/>
                <w:kern w:val="0"/>
                <w:sz w:val="24"/>
                <w:lang w:val="en-US" w:eastAsia="zh-CN"/>
              </w:rPr>
              <w:t>1、项目与“三线一单”的相符性分析</w:t>
            </w:r>
          </w:p>
          <w:p w14:paraId="3A34A6CE">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w:t>
            </w:r>
            <w:r>
              <w:rPr>
                <w:rFonts w:hint="eastAsia" w:ascii="Times New Roman" w:hAnsi="Times New Roman" w:eastAsia="宋体" w:cs="Times New Roman"/>
                <w:b w:val="0"/>
                <w:bCs w:val="0"/>
                <w:color w:val="auto"/>
                <w:kern w:val="2"/>
                <w:sz w:val="24"/>
                <w:szCs w:val="24"/>
                <w:highlight w:val="none"/>
                <w:lang w:val="en-US" w:eastAsia="zh-CN" w:bidi="ar-SA"/>
              </w:rPr>
              <w:t>昆明市人民政府关于昆明市“三线一单”生态环境分区管控的实施意见</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昆</w:t>
            </w:r>
            <w:r>
              <w:rPr>
                <w:rFonts w:hint="default" w:ascii="Times New Roman" w:hAnsi="Times New Roman" w:eastAsia="宋体" w:cs="Times New Roman"/>
                <w:color w:val="auto"/>
                <w:sz w:val="24"/>
                <w:highlight w:val="none"/>
              </w:rPr>
              <w:t>政发〔2021〕2</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号</w:t>
            </w:r>
            <w:r>
              <w:rPr>
                <w:rFonts w:hint="eastAsia"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rPr>
              <w:t>本项目选址位于</w:t>
            </w:r>
            <w:r>
              <w:rPr>
                <w:rFonts w:hint="eastAsia"/>
                <w:color w:val="auto"/>
                <w:sz w:val="24"/>
                <w:highlight w:val="none"/>
                <w:lang w:val="en-US" w:eastAsia="zh-CN"/>
              </w:rPr>
              <w:t>昆</w:t>
            </w:r>
            <w:r>
              <w:rPr>
                <w:rFonts w:hint="eastAsia" w:ascii="Times New Roman" w:hAnsi="Times New Roman" w:eastAsia="宋体" w:cs="Times New Roman"/>
                <w:color w:val="auto"/>
                <w:sz w:val="24"/>
                <w:highlight w:val="none"/>
                <w:lang w:val="en-US" w:eastAsia="zh-CN"/>
              </w:rPr>
              <w:t>明市</w:t>
            </w:r>
            <w:r>
              <w:rPr>
                <w:rFonts w:hint="eastAsia" w:ascii="Times New Roman" w:cs="Times New Roman"/>
                <w:color w:val="auto"/>
                <w:sz w:val="24"/>
                <w:highlight w:val="none"/>
                <w:lang w:val="en-US" w:eastAsia="zh-CN"/>
              </w:rPr>
              <w:t>富民</w:t>
            </w:r>
            <w:r>
              <w:rPr>
                <w:rFonts w:hint="eastAsia" w:eastAsia="宋体" w:cs="Times New Roman"/>
                <w:color w:val="auto"/>
                <w:sz w:val="24"/>
                <w:highlight w:val="none"/>
                <w:lang w:val="en-US" w:eastAsia="zh-CN"/>
              </w:rPr>
              <w:t>工</w:t>
            </w:r>
            <w:r>
              <w:rPr>
                <w:rFonts w:hint="eastAsia" w:ascii="Times New Roman" w:hAnsi="Times New Roman" w:eastAsia="宋体" w:cs="Times New Roman"/>
                <w:color w:val="auto"/>
                <w:sz w:val="24"/>
                <w:highlight w:val="none"/>
                <w:lang w:val="en-US" w:eastAsia="zh-CN"/>
              </w:rPr>
              <w:t>业园区</w:t>
            </w:r>
            <w:r>
              <w:rPr>
                <w:rFonts w:hint="eastAsia" w:ascii="Times New Roman" w:hAnsi="Times New Roman" w:eastAsia="宋体" w:cs="Times New Roman"/>
                <w:color w:val="auto"/>
                <w:sz w:val="24"/>
                <w:szCs w:val="22"/>
                <w:highlight w:val="none"/>
                <w:lang w:val="en-US" w:eastAsia="zh-CN"/>
              </w:rPr>
              <w:t>白石岩—大白坡片区</w:t>
            </w:r>
            <w:r>
              <w:rPr>
                <w:rFonts w:hint="eastAsia" w:cs="Times New Roman"/>
                <w:color w:val="auto"/>
                <w:sz w:val="24"/>
                <w:szCs w:val="22"/>
                <w:highlight w:val="none"/>
                <w:lang w:val="en-US" w:eastAsia="zh-CN"/>
              </w:rPr>
              <w:t>哨箐</w:t>
            </w:r>
            <w:r>
              <w:rPr>
                <w:rFonts w:hint="eastAsia" w:ascii="Times New Roman" w:hAnsi="Times New Roman" w:eastAsia="宋体" w:cs="Times New Roman"/>
                <w:color w:val="auto"/>
                <w:sz w:val="24"/>
                <w:highlight w:val="none"/>
                <w:lang w:val="en-US" w:eastAsia="zh-CN"/>
              </w:rPr>
              <w:t>，本项目属于云南富民工业园区“重点管控单元”。</w:t>
            </w:r>
          </w:p>
          <w:p w14:paraId="501FECDD">
            <w:pPr>
              <w:keepNext w:val="0"/>
              <w:keepLines w:val="0"/>
              <w:pageBreakBefore w:val="0"/>
              <w:suppressLineNumbers w:val="0"/>
              <w:kinsoku/>
              <w:wordWrap/>
              <w:overflowPunct/>
              <w:autoSpaceDE w:val="0"/>
              <w:autoSpaceDN w:val="0"/>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表1-</w:t>
            </w:r>
            <w:r>
              <w:rPr>
                <w:rFonts w:hint="eastAsia"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 xml:space="preserve">   本项目</w:t>
            </w:r>
            <w:r>
              <w:rPr>
                <w:rFonts w:hint="eastAsia" w:ascii="Times New Roman" w:hAnsi="Times New Roman" w:cs="Times New Roman"/>
                <w:b/>
                <w:color w:val="auto"/>
                <w:sz w:val="21"/>
                <w:szCs w:val="21"/>
                <w:highlight w:val="none"/>
                <w:lang w:val="en-US" w:eastAsia="zh-CN"/>
              </w:rPr>
              <w:t>与</w:t>
            </w:r>
            <w:r>
              <w:rPr>
                <w:rFonts w:hint="eastAsia" w:cs="Times New Roman"/>
                <w:b/>
                <w:color w:val="auto"/>
                <w:sz w:val="21"/>
                <w:szCs w:val="21"/>
                <w:highlight w:val="none"/>
                <w:lang w:val="en-US" w:eastAsia="zh-CN"/>
              </w:rPr>
              <w:t>昆明市</w:t>
            </w:r>
            <w:r>
              <w:rPr>
                <w:rFonts w:hint="default" w:ascii="Times New Roman" w:hAnsi="Times New Roman" w:cs="Times New Roman"/>
                <w:b/>
                <w:color w:val="auto"/>
                <w:sz w:val="21"/>
                <w:szCs w:val="21"/>
                <w:highlight w:val="none"/>
              </w:rPr>
              <w:t>“三线一单”符合性分析</w:t>
            </w:r>
          </w:p>
          <w:tbl>
            <w:tblPr>
              <w:tblStyle w:val="28"/>
              <w:tblW w:w="77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713"/>
              <w:gridCol w:w="4100"/>
              <w:gridCol w:w="2350"/>
              <w:gridCol w:w="580"/>
            </w:tblGrid>
            <w:tr w14:paraId="43D82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713" w:type="dxa"/>
                  <w:noWrap w:val="0"/>
                  <w:vAlign w:val="center"/>
                </w:tcPr>
                <w:p w14:paraId="75A07BBE">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项目</w:t>
                  </w:r>
                </w:p>
              </w:tc>
              <w:tc>
                <w:tcPr>
                  <w:tcW w:w="4100" w:type="dxa"/>
                  <w:noWrap w:val="0"/>
                  <w:vAlign w:val="center"/>
                </w:tcPr>
                <w:p w14:paraId="46F90967">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rPr>
                  </w:pPr>
                  <w:r>
                    <w:rPr>
                      <w:rFonts w:hint="eastAsia" w:cs="Times New Roman"/>
                      <w:snapToGrid w:val="0"/>
                      <w:color w:val="auto"/>
                      <w:sz w:val="21"/>
                      <w:szCs w:val="21"/>
                      <w:highlight w:val="none"/>
                      <w:lang w:val="en-US" w:eastAsia="zh-CN"/>
                    </w:rPr>
                    <w:t>昆</w:t>
                  </w:r>
                  <w:r>
                    <w:rPr>
                      <w:rFonts w:hint="default" w:ascii="Times New Roman" w:hAnsi="Times New Roman" w:eastAsia="宋体" w:cs="Times New Roman"/>
                      <w:snapToGrid w:val="0"/>
                      <w:color w:val="auto"/>
                      <w:sz w:val="21"/>
                      <w:szCs w:val="21"/>
                      <w:highlight w:val="none"/>
                    </w:rPr>
                    <w:t>政发〔2021〕2</w:t>
                  </w:r>
                  <w:r>
                    <w:rPr>
                      <w:rFonts w:hint="eastAsia" w:cs="Times New Roman"/>
                      <w:snapToGrid w:val="0"/>
                      <w:color w:val="auto"/>
                      <w:sz w:val="21"/>
                      <w:szCs w:val="21"/>
                      <w:highlight w:val="none"/>
                      <w:lang w:val="en-US" w:eastAsia="zh-CN"/>
                    </w:rPr>
                    <w:t>1</w:t>
                  </w:r>
                  <w:r>
                    <w:rPr>
                      <w:rFonts w:hint="default" w:ascii="Times New Roman" w:hAnsi="Times New Roman" w:eastAsia="宋体" w:cs="Times New Roman"/>
                      <w:snapToGrid w:val="0"/>
                      <w:color w:val="auto"/>
                      <w:sz w:val="21"/>
                      <w:szCs w:val="21"/>
                      <w:highlight w:val="none"/>
                    </w:rPr>
                    <w:t>号</w:t>
                  </w:r>
                </w:p>
              </w:tc>
              <w:tc>
                <w:tcPr>
                  <w:tcW w:w="2350" w:type="dxa"/>
                  <w:noWrap w:val="0"/>
                  <w:vAlign w:val="center"/>
                </w:tcPr>
                <w:p w14:paraId="2D305A1E">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项目情况</w:t>
                  </w:r>
                </w:p>
              </w:tc>
              <w:tc>
                <w:tcPr>
                  <w:tcW w:w="580" w:type="dxa"/>
                  <w:noWrap w:val="0"/>
                  <w:vAlign w:val="center"/>
                </w:tcPr>
                <w:p w14:paraId="587F9449">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相符性</w:t>
                  </w:r>
                </w:p>
              </w:tc>
            </w:tr>
            <w:tr w14:paraId="0B55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713" w:type="dxa"/>
                  <w:noWrap w:val="0"/>
                  <w:vAlign w:val="center"/>
                </w:tcPr>
                <w:p w14:paraId="2674962D">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生态保护红线</w:t>
                  </w:r>
                </w:p>
              </w:tc>
              <w:tc>
                <w:tcPr>
                  <w:tcW w:w="4100" w:type="dxa"/>
                  <w:noWrap w:val="0"/>
                  <w:vAlign w:val="center"/>
                </w:tcPr>
                <w:p w14:paraId="7FB7180B">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生态保护红线区严格执行云南省人民政府发布的《云南省生态保护红线》，生态保护红线区按照国家和云南省颁布的生态保护红线有关管控政策办法执行，原则上按禁止开发区域的要求进行管理，严禁不符合主体功能定位的各类开发活动，严禁任意改变用途，确保生态保护红线生态功能不降低、面积不减少、性质不改变。</w:t>
                  </w:r>
                </w:p>
                <w:p w14:paraId="16446B28">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snapToGrid w:val="0"/>
                      <w:color w:val="auto"/>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bidi="ar-SA"/>
                    </w:rPr>
                    <w:t>立足已形成的生态保护红线划定工作成果，遵循生态优先原则，将未划入生态保护红线的自然保护地、饮用水水源保护区、重要湿地、基本草原、生态公益林、天然林等生态功能重要、生态环境敏感区域划为一般生态空间，一般生态空间参照主体功能区中重点生态功能区的开发和管制原则进行管控，以保护和修复生态环境、提供生态产品为首要任务，依法限制大规模高强度的工业化和城镇化开发建设活动。加强资源环境承载力控制，防止过度垦殖、放牧、采伐、取水、渔猎、旅游等对生态功能造成损害，确保自然生态系统的稳定。划入一般生态空间的各类自然保护地原则上按照原管控要求进行管理，其他一般生态空间根据用途分区，依法依规进行生态环境管控。</w:t>
                  </w:r>
                </w:p>
              </w:tc>
              <w:tc>
                <w:tcPr>
                  <w:tcW w:w="2350" w:type="dxa"/>
                  <w:noWrap w:val="0"/>
                  <w:vAlign w:val="center"/>
                </w:tcPr>
                <w:p w14:paraId="442D5CF9">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zh-CN" w:eastAsia="zh-CN"/>
                    </w:rPr>
                    <w:t>项目位于</w:t>
                  </w:r>
                  <w:r>
                    <w:rPr>
                      <w:rFonts w:hint="default" w:ascii="Times New Roman" w:hAnsi="Times New Roman" w:eastAsia="宋体" w:cs="Times New Roman"/>
                      <w:color w:val="auto"/>
                      <w:kern w:val="0"/>
                      <w:sz w:val="21"/>
                      <w:szCs w:val="21"/>
                      <w:highlight w:val="none"/>
                      <w:lang w:val="en-US" w:eastAsia="zh-CN"/>
                    </w:rPr>
                    <w:t>富民县</w:t>
                  </w:r>
                  <w:r>
                    <w:rPr>
                      <w:rFonts w:hint="eastAsia" w:ascii="Times New Roman" w:hAnsi="Times New Roman" w:eastAsia="宋体" w:cs="Times New Roman"/>
                      <w:color w:val="auto"/>
                      <w:kern w:val="0"/>
                      <w:sz w:val="21"/>
                      <w:szCs w:val="21"/>
                      <w:highlight w:val="none"/>
                      <w:lang w:val="en-US" w:eastAsia="zh-CN"/>
                    </w:rPr>
                    <w:t>白石岩—大白坡片区</w:t>
                  </w:r>
                  <w:r>
                    <w:rPr>
                      <w:rFonts w:hint="eastAsia" w:cs="Times New Roman"/>
                      <w:color w:val="auto"/>
                      <w:kern w:val="0"/>
                      <w:sz w:val="21"/>
                      <w:szCs w:val="21"/>
                      <w:highlight w:val="none"/>
                      <w:lang w:val="en-US" w:eastAsia="zh-CN"/>
                    </w:rPr>
                    <w:t>哨箐</w:t>
                  </w:r>
                  <w:r>
                    <w:rPr>
                      <w:rFonts w:hint="eastAsia" w:ascii="Times New Roman" w:hAnsi="Times New Roman" w:eastAsia="宋体" w:cs="Times New Roman"/>
                      <w:color w:val="auto"/>
                      <w:kern w:val="0"/>
                      <w:sz w:val="21"/>
                      <w:szCs w:val="21"/>
                      <w:highlight w:val="none"/>
                      <w:lang w:val="en-US" w:eastAsia="zh-CN"/>
                    </w:rPr>
                    <w:t>组团</w:t>
                  </w:r>
                  <w:r>
                    <w:rPr>
                      <w:rFonts w:hint="eastAsia" w:cs="Times New Roman"/>
                      <w:color w:val="auto"/>
                      <w:kern w:val="0"/>
                      <w:sz w:val="21"/>
                      <w:szCs w:val="21"/>
                      <w:highlight w:val="none"/>
                      <w:lang w:val="en-US" w:eastAsia="zh-CN"/>
                    </w:rPr>
                    <w:t>，为扩建项目，生产车间</w:t>
                  </w:r>
                  <w:r>
                    <w:rPr>
                      <w:rFonts w:hint="eastAsia" w:ascii="Times New Roman" w:hAnsi="Times New Roman" w:eastAsia="宋体" w:cs="Times New Roman"/>
                      <w:color w:val="auto"/>
                      <w:kern w:val="0"/>
                      <w:sz w:val="21"/>
                      <w:szCs w:val="21"/>
                      <w:highlight w:val="none"/>
                      <w:lang w:val="en-US" w:eastAsia="zh-CN"/>
                    </w:rPr>
                    <w:t>已建</w:t>
                  </w:r>
                  <w:r>
                    <w:rPr>
                      <w:rFonts w:hint="eastAsia" w:cs="Times New Roman"/>
                      <w:color w:val="auto"/>
                      <w:kern w:val="0"/>
                      <w:sz w:val="21"/>
                      <w:szCs w:val="21"/>
                      <w:highlight w:val="none"/>
                      <w:lang w:val="en-US" w:eastAsia="zh-CN"/>
                    </w:rPr>
                    <w:t>成</w:t>
                  </w:r>
                  <w:r>
                    <w:rPr>
                      <w:rFonts w:hint="eastAsia" w:ascii="Times New Roman" w:cs="Times New Roman"/>
                      <w:color w:val="auto"/>
                      <w:kern w:val="0"/>
                      <w:sz w:val="21"/>
                      <w:szCs w:val="21"/>
                      <w:highlight w:val="none"/>
                      <w:lang w:val="zh-CN" w:eastAsia="zh-CN"/>
                    </w:rPr>
                    <w:t>，</w:t>
                  </w:r>
                  <w:r>
                    <w:rPr>
                      <w:rFonts w:hint="eastAsia" w:ascii="Times New Roman" w:hAnsi="Times New Roman" w:eastAsia="宋体" w:cs="Times New Roman"/>
                      <w:color w:val="auto"/>
                      <w:kern w:val="0"/>
                      <w:sz w:val="21"/>
                      <w:szCs w:val="21"/>
                      <w:highlight w:val="none"/>
                      <w:lang w:val="en-US" w:eastAsia="zh-CN"/>
                    </w:rPr>
                    <w:t>项目用地</w:t>
                  </w:r>
                  <w:r>
                    <w:rPr>
                      <w:rFonts w:hint="eastAsia" w:ascii="Times New Roman" w:hAnsi="Times New Roman" w:eastAsia="宋体" w:cs="Times New Roman"/>
                      <w:color w:val="auto"/>
                      <w:kern w:val="0"/>
                      <w:sz w:val="21"/>
                      <w:szCs w:val="21"/>
                      <w:highlight w:val="none"/>
                      <w:lang w:val="zh-CN" w:eastAsia="zh-CN"/>
                    </w:rPr>
                    <w:t>性质为</w:t>
                  </w:r>
                  <w:r>
                    <w:rPr>
                      <w:rFonts w:hint="eastAsia" w:ascii="Times New Roman" w:hAnsi="Times New Roman" w:eastAsia="宋体" w:cs="Times New Roman"/>
                      <w:color w:val="auto"/>
                      <w:kern w:val="0"/>
                      <w:sz w:val="21"/>
                      <w:szCs w:val="21"/>
                      <w:highlight w:val="none"/>
                      <w:lang w:val="en-US" w:eastAsia="zh-CN"/>
                    </w:rPr>
                    <w:t>工业用地</w:t>
                  </w:r>
                  <w:r>
                    <w:rPr>
                      <w:rFonts w:hint="eastAsia" w:ascii="Times New Roman" w:hAnsi="Times New Roman" w:eastAsia="宋体" w:cs="Times New Roman"/>
                      <w:color w:val="auto"/>
                      <w:kern w:val="0"/>
                      <w:sz w:val="21"/>
                      <w:szCs w:val="21"/>
                      <w:highlight w:val="none"/>
                      <w:lang w:val="zh-CN" w:eastAsia="zh-CN"/>
                    </w:rPr>
                    <w:t>，不涉及生态保护红线范围</w:t>
                  </w:r>
                  <w:r>
                    <w:rPr>
                      <w:rFonts w:hint="eastAsia" w:ascii="Times New Roman" w:cs="Times New Roman"/>
                      <w:color w:val="auto"/>
                      <w:kern w:val="0"/>
                      <w:sz w:val="21"/>
                      <w:szCs w:val="21"/>
                      <w:highlight w:val="none"/>
                      <w:lang w:val="zh-CN" w:eastAsia="zh-CN"/>
                    </w:rPr>
                    <w:t>，</w:t>
                  </w:r>
                  <w:r>
                    <w:rPr>
                      <w:rFonts w:hint="default" w:ascii="Times New Roman" w:hAnsi="Times New Roman" w:cs="Times New Roman"/>
                      <w:color w:val="auto"/>
                      <w:kern w:val="0"/>
                      <w:sz w:val="21"/>
                      <w:szCs w:val="21"/>
                      <w:highlight w:val="none"/>
                    </w:rPr>
                    <w:t>不涉及未划入</w:t>
                  </w:r>
                  <w:r>
                    <w:rPr>
                      <w:rFonts w:hint="eastAsia" w:ascii="Times New Roman" w:hAnsi="Times New Roman" w:eastAsia="宋体" w:cs="Times New Roman"/>
                      <w:color w:val="auto"/>
                      <w:kern w:val="0"/>
                      <w:sz w:val="21"/>
                      <w:szCs w:val="21"/>
                      <w:highlight w:val="none"/>
                      <w:lang w:val="en-US" w:eastAsia="zh-CN" w:bidi="ar-SA"/>
                    </w:rPr>
                    <w:t>生态保护红线的自然保护地、饮用水水源保护区、重要湿地、基本草原、生态公益林、天然林等生态功能重要、生态环境敏感区域</w:t>
                  </w:r>
                  <w:r>
                    <w:rPr>
                      <w:rFonts w:hint="default" w:ascii="Times New Roman" w:hAnsi="Times New Roman" w:cs="Times New Roman"/>
                      <w:color w:val="auto"/>
                      <w:kern w:val="0"/>
                      <w:sz w:val="21"/>
                      <w:szCs w:val="21"/>
                      <w:highlight w:val="none"/>
                    </w:rPr>
                    <w:t>等一般生态空间。</w:t>
                  </w:r>
                </w:p>
              </w:tc>
              <w:tc>
                <w:tcPr>
                  <w:tcW w:w="580" w:type="dxa"/>
                  <w:noWrap w:val="0"/>
                  <w:vAlign w:val="center"/>
                </w:tcPr>
                <w:p w14:paraId="2E5E9E11">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符合</w:t>
                  </w:r>
                </w:p>
              </w:tc>
            </w:tr>
            <w:tr w14:paraId="5665F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713" w:type="dxa"/>
                  <w:noWrap w:val="0"/>
                  <w:vAlign w:val="center"/>
                </w:tcPr>
                <w:p w14:paraId="2EECA994">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环境质量底线</w:t>
                  </w:r>
                </w:p>
              </w:tc>
              <w:tc>
                <w:tcPr>
                  <w:tcW w:w="4100" w:type="dxa"/>
                  <w:noWrap w:val="0"/>
                  <w:vAlign w:val="center"/>
                </w:tcPr>
                <w:p w14:paraId="6EDEAFF9">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到2025年，全市生态环境质量持续改善，生态空间得到优化和有效保护，区域生态安全屏障更加牢固。全市环境空气质量总体保持优良，主城建成区空气质量优良天数占比达99%以上，二氧化硫（SO2）和氮氧化物（NOX）排放总量控制在省下达的目标以内，主城区空气中颗粒物（PM</w:t>
                  </w:r>
                  <w:r>
                    <w:rPr>
                      <w:rFonts w:hint="eastAsia" w:ascii="Times New Roman" w:hAnsi="Times New Roman" w:eastAsia="宋体" w:cs="Times New Roman"/>
                      <w:color w:val="auto"/>
                      <w:kern w:val="0"/>
                      <w:sz w:val="21"/>
                      <w:szCs w:val="21"/>
                      <w:highlight w:val="none"/>
                      <w:vertAlign w:val="subscript"/>
                      <w:lang w:val="en-US" w:eastAsia="zh-CN" w:bidi="ar-SA"/>
                    </w:rPr>
                    <w:t>10</w:t>
                  </w:r>
                  <w:r>
                    <w:rPr>
                      <w:rFonts w:hint="eastAsia" w:ascii="Times New Roman" w:hAnsi="Times New Roman" w:eastAsia="宋体" w:cs="Times New Roman"/>
                      <w:color w:val="auto"/>
                      <w:kern w:val="0"/>
                      <w:sz w:val="21"/>
                      <w:szCs w:val="21"/>
                      <w:highlight w:val="none"/>
                      <w:lang w:val="en-US" w:eastAsia="zh-CN" w:bidi="ar-SA"/>
                    </w:rPr>
                    <w:t>、PM</w:t>
                  </w:r>
                  <w:r>
                    <w:rPr>
                      <w:rFonts w:hint="eastAsia" w:ascii="Times New Roman" w:hAnsi="Times New Roman" w:eastAsia="宋体" w:cs="Times New Roman"/>
                      <w:color w:val="auto"/>
                      <w:kern w:val="0"/>
                      <w:sz w:val="21"/>
                      <w:szCs w:val="21"/>
                      <w:highlight w:val="none"/>
                      <w:vertAlign w:val="subscript"/>
                      <w:lang w:val="en-US" w:eastAsia="zh-CN" w:bidi="ar-SA"/>
                    </w:rPr>
                    <w:t>2.5</w:t>
                  </w:r>
                  <w:r>
                    <w:rPr>
                      <w:rFonts w:hint="eastAsia" w:ascii="Times New Roman" w:hAnsi="Times New Roman" w:eastAsia="宋体" w:cs="Times New Roman"/>
                      <w:color w:val="auto"/>
                      <w:kern w:val="0"/>
                      <w:sz w:val="21"/>
                      <w:szCs w:val="21"/>
                      <w:highlight w:val="none"/>
                      <w:lang w:val="en-US" w:eastAsia="zh-CN" w:bidi="ar-SA"/>
                    </w:rPr>
                    <w:t>）稳定达《环境空气质量标准》二级标准以上。纳入国家和省级考核的地表水监测断面水质优良率稳步提升，滇池流域、阳宗海流域水环境质量明显改善，水生态系统功能逐步恢复，滇池草海水质达Ⅳ类，滇池外海水质达Ⅳ类（化学需氧量≤40毫克/升），阳宗海水质达Ⅲ类，集中式饮用水源水质巩固改善。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w:t>
                  </w:r>
                  <w:r>
                    <w:rPr>
                      <w:rFonts w:hint="eastAsia" w:eastAsia="宋体" w:cs="Times New Roman"/>
                      <w:color w:val="auto"/>
                      <w:kern w:val="0"/>
                      <w:sz w:val="21"/>
                      <w:szCs w:val="21"/>
                      <w:highlight w:val="none"/>
                      <w:lang w:val="en-US" w:eastAsia="zh-CN" w:bidi="ar-SA"/>
                    </w:rPr>
                    <w:t>。</w:t>
                  </w:r>
                </w:p>
                <w:p w14:paraId="18521B1F">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到2035年，全市生态环境质量实现根本好转，生态功能显著提升，区域生态安全得到全面保障。全市环境空气质量全面改善，各县（市）区、开发（度假）区环境空气质量稳定达到国家二级标准。地表水体水质优良率全面提升，各监测断面水质达到水环境功能要求，消除劣Ⅴ类水体，集中式饮用水水源水质稳定达标。土壤环境质量稳中向好，农用地和建设用地土壤环境安全得到有效保障，土壤环境风险得到全面管控。</w:t>
                  </w:r>
                </w:p>
              </w:tc>
              <w:tc>
                <w:tcPr>
                  <w:tcW w:w="2350" w:type="dxa"/>
                  <w:noWrap w:val="0"/>
                  <w:vAlign w:val="center"/>
                </w:tcPr>
                <w:p w14:paraId="2ED72870">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根据</w:t>
                  </w:r>
                  <w:r>
                    <w:rPr>
                      <w:rFonts w:hint="default" w:ascii="Times New Roman" w:hAnsi="Times New Roman" w:cs="Times New Roman"/>
                      <w:color w:val="auto"/>
                      <w:sz w:val="21"/>
                      <w:szCs w:val="21"/>
                      <w:highlight w:val="none"/>
                      <w:lang w:val="en-US" w:eastAsia="zh-CN"/>
                    </w:rPr>
                    <w:t>昆明市</w:t>
                  </w:r>
                  <w:r>
                    <w:rPr>
                      <w:rFonts w:hint="default" w:ascii="Times New Roman" w:hAnsi="Times New Roman" w:cs="Times New Roman"/>
                      <w:color w:val="auto"/>
                      <w:sz w:val="21"/>
                      <w:szCs w:val="21"/>
                      <w:highlight w:val="none"/>
                    </w:rPr>
                    <w:t>生态环境局发布的《202</w:t>
                  </w: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年度昆明市生态环境状况公报》，</w:t>
                  </w:r>
                  <w:r>
                    <w:rPr>
                      <w:rFonts w:hint="eastAsia" w:ascii="Times New Roman" w:hAnsi="Times New Roman"/>
                      <w:color w:val="auto"/>
                      <w:sz w:val="21"/>
                      <w:szCs w:val="21"/>
                      <w:highlight w:val="none"/>
                      <w:lang w:val="en-US" w:eastAsia="zh-CN"/>
                    </w:rPr>
                    <w:t>2021年，</w:t>
                  </w:r>
                  <w:r>
                    <w:rPr>
                      <w:rFonts w:hint="eastAsia" w:ascii="Times New Roman" w:hAnsi="Times New Roman" w:eastAsia="宋体"/>
                      <w:color w:val="auto"/>
                      <w:sz w:val="21"/>
                      <w:szCs w:val="21"/>
                      <w:highlight w:val="none"/>
                      <w:lang w:val="en-US" w:eastAsia="zh-CN"/>
                    </w:rPr>
                    <w:t>普渡河桥</w:t>
                  </w:r>
                  <w:r>
                    <w:rPr>
                      <w:rFonts w:hint="default" w:ascii="Times New Roman" w:hAnsi="Times New Roman"/>
                      <w:color w:val="auto"/>
                      <w:sz w:val="21"/>
                      <w:szCs w:val="21"/>
                      <w:highlight w:val="none"/>
                    </w:rPr>
                    <w:t>断面水质类别为</w:t>
                  </w:r>
                  <w:r>
                    <w:rPr>
                      <w:rFonts w:hint="eastAsia" w:ascii="宋体" w:hAnsi="宋体" w:eastAsia="宋体" w:cs="宋体"/>
                      <w:color w:val="auto"/>
                      <w:sz w:val="21"/>
                      <w:szCs w:val="21"/>
                      <w:highlight w:val="none"/>
                    </w:rPr>
                    <w:t>Ⅲ</w:t>
                  </w:r>
                  <w:r>
                    <w:rPr>
                      <w:rFonts w:hint="default" w:ascii="Times New Roman" w:hAnsi="Times New Roman"/>
                      <w:color w:val="auto"/>
                      <w:sz w:val="21"/>
                      <w:szCs w:val="21"/>
                      <w:highlight w:val="none"/>
                    </w:rPr>
                    <w:t>类，与20</w:t>
                  </w:r>
                  <w:r>
                    <w:rPr>
                      <w:rFonts w:hint="eastAsia" w:ascii="Times New Roman" w:hAnsi="Times New Roman"/>
                      <w:color w:val="auto"/>
                      <w:sz w:val="21"/>
                      <w:szCs w:val="21"/>
                      <w:highlight w:val="none"/>
                      <w:lang w:val="en-US" w:eastAsia="zh-CN"/>
                    </w:rPr>
                    <w:t>20</w:t>
                  </w:r>
                  <w:r>
                    <w:rPr>
                      <w:rFonts w:hint="default" w:ascii="Times New Roman" w:hAnsi="Times New Roman"/>
                      <w:color w:val="auto"/>
                      <w:sz w:val="21"/>
                      <w:szCs w:val="21"/>
                      <w:highlight w:val="none"/>
                    </w:rPr>
                    <w:t>年相比，水质类别</w:t>
                  </w:r>
                  <w:r>
                    <w:rPr>
                      <w:rFonts w:hint="eastAsia" w:ascii="Times New Roman" w:hAnsi="Times New Roman" w:eastAsia="宋体"/>
                      <w:color w:val="auto"/>
                      <w:sz w:val="21"/>
                      <w:szCs w:val="21"/>
                      <w:highlight w:val="none"/>
                      <w:lang w:val="en-US" w:eastAsia="zh-CN"/>
                    </w:rPr>
                    <w:t>保持不变。</w:t>
                  </w:r>
                  <w:r>
                    <w:rPr>
                      <w:rFonts w:hint="eastAsia" w:ascii="Times New Roman" w:hAnsi="Times New Roman" w:eastAsia="宋体" w:cs="Times New Roman"/>
                      <w:color w:val="auto"/>
                      <w:kern w:val="2"/>
                      <w:sz w:val="21"/>
                      <w:szCs w:val="21"/>
                      <w:highlight w:val="none"/>
                      <w:lang w:val="en-US" w:eastAsia="zh-CN" w:bidi="ar-SA"/>
                    </w:rPr>
                    <w:t>根据《</w:t>
                  </w:r>
                  <w:r>
                    <w:rPr>
                      <w:rFonts w:hint="default" w:ascii="Times New Roman" w:hAnsi="Times New Roman" w:eastAsia="宋体" w:cs="Times New Roman"/>
                      <w:color w:val="auto"/>
                      <w:kern w:val="2"/>
                      <w:sz w:val="21"/>
                      <w:szCs w:val="21"/>
                      <w:highlight w:val="none"/>
                      <w:lang w:val="en-US" w:eastAsia="zh-CN" w:bidi="ar-SA"/>
                    </w:rPr>
                    <w:t>202</w:t>
                  </w:r>
                  <w:r>
                    <w:rPr>
                      <w:rFonts w:hint="eastAsia" w:ascii="Times New Roman" w:hAnsi="Times New Roman" w:eastAsia="宋体" w:cs="Times New Roman"/>
                      <w:color w:val="auto"/>
                      <w:kern w:val="2"/>
                      <w:sz w:val="21"/>
                      <w:szCs w:val="21"/>
                      <w:highlight w:val="none"/>
                      <w:lang w:val="en-US" w:eastAsia="zh-CN" w:bidi="ar-SA"/>
                    </w:rPr>
                    <w:t>1年度昆明市生态环境状况公报》，</w:t>
                  </w:r>
                  <w:r>
                    <w:rPr>
                      <w:rFonts w:hint="eastAsia" w:ascii="Times New Roman" w:hAnsi="Times New Roman" w:eastAsia="宋体" w:cs="Times New Roman"/>
                      <w:color w:val="auto"/>
                      <w:sz w:val="21"/>
                      <w:szCs w:val="21"/>
                      <w:highlight w:val="none"/>
                      <w:lang w:val="en-US" w:eastAsia="zh-CN"/>
                    </w:rPr>
                    <w:t>2021年，各县（市）区环境空气质量总体保持良好。与2020年相比，安宁市、禄劝县环境空气综合污染指数有所下降，东川区、石林县、嵩明县、富民县、宜良县、寻甸县和阳宗海风景名胜区环境空气综合污染指数有所上升；</w:t>
                  </w:r>
                  <w:r>
                    <w:rPr>
                      <w:rFonts w:hint="eastAsia" w:ascii="Times New Roman" w:hAnsi="Times New Roman" w:eastAsia="宋体" w:cs="Times New Roman"/>
                      <w:color w:val="auto"/>
                      <w:kern w:val="2"/>
                      <w:sz w:val="21"/>
                      <w:szCs w:val="21"/>
                      <w:highlight w:val="none"/>
                      <w:lang w:val="en-US" w:eastAsia="zh-CN" w:bidi="ar-SA"/>
                    </w:rPr>
                    <w:t>项目区属于达标区。此外，</w:t>
                  </w:r>
                  <w:r>
                    <w:rPr>
                      <w:rFonts w:hint="default" w:ascii="Times New Roman" w:hAnsi="Times New Roman" w:eastAsia="宋体" w:cs="Times New Roman"/>
                      <w:color w:val="auto"/>
                      <w:kern w:val="2"/>
                      <w:sz w:val="21"/>
                      <w:szCs w:val="21"/>
                      <w:highlight w:val="none"/>
                      <w:lang w:val="en-US" w:eastAsia="zh-CN" w:bidi="ar-SA"/>
                    </w:rPr>
                    <w:t>项目不涉及土壤环境污染</w:t>
                  </w:r>
                  <w:r>
                    <w:rPr>
                      <w:rFonts w:hint="eastAsia" w:ascii="Times New Roman" w:hAnsi="Times New Roman" w:eastAsia="宋体" w:cs="Times New Roman"/>
                      <w:color w:val="auto"/>
                      <w:kern w:val="2"/>
                      <w:sz w:val="21"/>
                      <w:szCs w:val="21"/>
                      <w:highlight w:val="none"/>
                      <w:lang w:val="en-US" w:eastAsia="zh-CN" w:bidi="ar-SA"/>
                    </w:rPr>
                    <w:t>。</w:t>
                  </w:r>
                </w:p>
              </w:tc>
              <w:tc>
                <w:tcPr>
                  <w:tcW w:w="580" w:type="dxa"/>
                  <w:noWrap w:val="0"/>
                  <w:vAlign w:val="center"/>
                </w:tcPr>
                <w:p w14:paraId="0A9DA250">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符合</w:t>
                  </w:r>
                </w:p>
              </w:tc>
            </w:tr>
            <w:tr w14:paraId="10C8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258" w:hRule="atLeast"/>
                <w:jc w:val="center"/>
              </w:trPr>
              <w:tc>
                <w:tcPr>
                  <w:tcW w:w="713" w:type="dxa"/>
                  <w:noWrap w:val="0"/>
                  <w:vAlign w:val="center"/>
                </w:tcPr>
                <w:p w14:paraId="5846BFFB">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资源利用上限</w:t>
                  </w:r>
                </w:p>
              </w:tc>
              <w:tc>
                <w:tcPr>
                  <w:tcW w:w="4100" w:type="dxa"/>
                  <w:noWrap w:val="0"/>
                  <w:vAlign w:val="center"/>
                </w:tcPr>
                <w:p w14:paraId="0F88940D">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jc w:val="left"/>
                    <w:textAlignment w:val="auto"/>
                    <w:rPr>
                      <w:rFonts w:hint="default" w:ascii="Times New Roman" w:hAnsi="Times New Roman" w:cs="Times New Roman"/>
                      <w:color w:val="auto"/>
                      <w:kern w:val="0"/>
                      <w:sz w:val="21"/>
                      <w:szCs w:val="21"/>
                      <w:highlight w:val="none"/>
                    </w:rPr>
                  </w:pPr>
                  <w:r>
                    <w:rPr>
                      <w:rFonts w:hint="eastAsia" w:ascii="Times New Roman" w:hAnsi="Times New Roman" w:eastAsia="宋体" w:cs="Times New Roman"/>
                      <w:snapToGrid w:val="0"/>
                      <w:color w:val="auto"/>
                      <w:sz w:val="21"/>
                      <w:szCs w:val="21"/>
                      <w:highlight w:val="none"/>
                    </w:rPr>
                    <w:t>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w:t>
                  </w:r>
                </w:p>
              </w:tc>
              <w:tc>
                <w:tcPr>
                  <w:tcW w:w="2350" w:type="dxa"/>
                  <w:noWrap w:val="0"/>
                  <w:vAlign w:val="center"/>
                </w:tcPr>
                <w:p w14:paraId="2EC16E52">
                  <w:pPr>
                    <w:pStyle w:val="15"/>
                    <w:keepNext w:val="0"/>
                    <w:keepLines w:val="0"/>
                    <w:pageBreakBefore w:val="0"/>
                    <w:suppressLineNumbers w:val="0"/>
                    <w:kinsoku/>
                    <w:wordWrap/>
                    <w:overflowPunct/>
                    <w:bidi w:val="0"/>
                    <w:snapToGrid w:val="0"/>
                    <w:spacing w:before="0" w:beforeAutospacing="0" w:after="0" w:afterAutospacing="0" w:line="240" w:lineRule="auto"/>
                    <w:ind w:left="0" w:leftChars="0" w:right="0" w:firstLine="0" w:firstLineChars="0"/>
                    <w:textAlignment w:val="auto"/>
                    <w:rPr>
                      <w:rFonts w:hint="default" w:ascii="Times New Roman" w:hAnsi="Times New Roman" w:cs="Times New Roman"/>
                      <w:snapToGrid w:val="0"/>
                      <w:color w:val="auto"/>
                      <w:sz w:val="21"/>
                      <w:szCs w:val="21"/>
                      <w:highlight w:val="none"/>
                    </w:rPr>
                  </w:pPr>
                  <w:r>
                    <w:rPr>
                      <w:rFonts w:hint="eastAsia" w:ascii="Times New Roman" w:hAnsi="Times New Roman" w:eastAsia="宋体" w:cs="Times New Roman"/>
                      <w:color w:val="auto"/>
                      <w:kern w:val="2"/>
                      <w:sz w:val="21"/>
                      <w:szCs w:val="21"/>
                      <w:highlight w:val="none"/>
                      <w:lang w:val="en-US" w:eastAsia="zh-CN" w:bidi="ar-SA"/>
                    </w:rPr>
                    <w:t>项目位于</w:t>
                  </w:r>
                  <w:r>
                    <w:rPr>
                      <w:rFonts w:hint="eastAsia" w:ascii="Times New Roman" w:cs="Times New Roman"/>
                      <w:color w:val="auto"/>
                      <w:kern w:val="0"/>
                      <w:sz w:val="21"/>
                      <w:szCs w:val="21"/>
                      <w:highlight w:val="none"/>
                      <w:lang w:val="en-US" w:eastAsia="zh-CN"/>
                    </w:rPr>
                    <w:t>富</w:t>
                  </w:r>
                  <w:r>
                    <w:rPr>
                      <w:rFonts w:hint="eastAsia" w:ascii="Times New Roman" w:hAnsi="Times New Roman" w:eastAsia="宋体" w:cs="Times New Roman"/>
                      <w:color w:val="auto"/>
                      <w:kern w:val="2"/>
                      <w:sz w:val="21"/>
                      <w:szCs w:val="21"/>
                      <w:highlight w:val="none"/>
                      <w:lang w:val="en-US" w:eastAsia="zh-CN" w:bidi="ar-SA"/>
                    </w:rPr>
                    <w:t>民</w:t>
                  </w:r>
                  <w:r>
                    <w:rPr>
                      <w:rFonts w:hint="eastAsia" w:ascii="Times New Roman" w:hAnsi="Times New Roman" w:eastAsia="宋体" w:cs="Times New Roman"/>
                      <w:color w:val="auto"/>
                      <w:kern w:val="2"/>
                      <w:sz w:val="21"/>
                      <w:szCs w:val="21"/>
                      <w:highlight w:val="none"/>
                      <w:lang w:val="zh-CN" w:eastAsia="zh-CN" w:bidi="ar-SA"/>
                    </w:rPr>
                    <w:t>工业园区</w:t>
                  </w:r>
                  <w:r>
                    <w:rPr>
                      <w:rFonts w:hint="eastAsia" w:ascii="Times New Roman" w:hAnsi="Times New Roman" w:eastAsia="宋体" w:cs="Times New Roman"/>
                      <w:color w:val="auto"/>
                      <w:kern w:val="2"/>
                      <w:sz w:val="21"/>
                      <w:szCs w:val="21"/>
                      <w:highlight w:val="none"/>
                      <w:lang w:val="en-US" w:eastAsia="zh-CN" w:bidi="ar-SA"/>
                    </w:rPr>
                    <w:t>白石岩—大白坡片区</w:t>
                  </w:r>
                  <w:r>
                    <w:rPr>
                      <w:rFonts w:hint="eastAsia" w:ascii="Times New Roman" w:hAnsi="Times New Roman" w:cs="Times New Roman"/>
                      <w:color w:val="auto"/>
                      <w:kern w:val="2"/>
                      <w:sz w:val="21"/>
                      <w:szCs w:val="21"/>
                      <w:highlight w:val="none"/>
                      <w:lang w:val="en-US" w:eastAsia="zh-CN" w:bidi="ar-SA"/>
                    </w:rPr>
                    <w:t>哨箐组团</w:t>
                  </w:r>
                  <w:r>
                    <w:rPr>
                      <w:rFonts w:hint="eastAsia" w:ascii="Times New Roman" w:hAnsi="Times New Roman" w:cs="Times New Roman"/>
                      <w:color w:val="auto"/>
                      <w:kern w:val="0"/>
                      <w:sz w:val="21"/>
                      <w:szCs w:val="21"/>
                      <w:highlight w:val="none"/>
                      <w:lang w:val="en-US" w:eastAsia="zh-CN"/>
                    </w:rPr>
                    <w:t>，本项目为扩建项目，</w:t>
                  </w:r>
                  <w:r>
                    <w:rPr>
                      <w:rFonts w:hint="eastAsia" w:ascii="Times New Roman" w:hAnsi="Times New Roman" w:eastAsia="宋体" w:cs="Times New Roman"/>
                      <w:color w:val="auto"/>
                      <w:kern w:val="2"/>
                      <w:sz w:val="21"/>
                      <w:szCs w:val="21"/>
                      <w:highlight w:val="none"/>
                      <w:lang w:val="en-US" w:eastAsia="zh-CN" w:bidi="ar-SA"/>
                    </w:rPr>
                    <w:t>不新增占地，占地类型为工业用地。因此项目的实施对区域土地资源、农业生产影响较小。项目生产及生活用水均来自于现有的供水管网，本项目生产废水</w:t>
                  </w:r>
                  <w:r>
                    <w:rPr>
                      <w:rFonts w:hint="default" w:ascii="Times New Roman" w:hAnsi="Times New Roman"/>
                      <w:color w:val="auto"/>
                      <w:sz w:val="21"/>
                      <w:szCs w:val="21"/>
                      <w:highlight w:val="none"/>
                    </w:rPr>
                    <w:t>不外排</w:t>
                  </w:r>
                  <w:r>
                    <w:rPr>
                      <w:rFonts w:hint="eastAsia" w:ascii="Times New Roman" w:hAnsi="Times New Roman" w:eastAsia="宋体" w:cs="Times New Roman"/>
                      <w:color w:val="auto"/>
                      <w:kern w:val="2"/>
                      <w:sz w:val="21"/>
                      <w:szCs w:val="21"/>
                      <w:highlight w:val="none"/>
                      <w:lang w:val="en-US" w:eastAsia="zh-CN" w:bidi="ar-SA"/>
                    </w:rPr>
                    <w:t>。项目使用的原料均为外购无毒原料。此外项目所用能源大部分为电能，为清洁能源，不使用燃煤、燃油等。</w:t>
                  </w:r>
                </w:p>
              </w:tc>
              <w:tc>
                <w:tcPr>
                  <w:tcW w:w="580" w:type="dxa"/>
                  <w:noWrap w:val="0"/>
                  <w:vAlign w:val="center"/>
                </w:tcPr>
                <w:p w14:paraId="29942C34">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符合</w:t>
                  </w:r>
                </w:p>
              </w:tc>
            </w:tr>
            <w:tr w14:paraId="75AEF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713" w:type="dxa"/>
                  <w:vMerge w:val="restart"/>
                  <w:noWrap w:val="0"/>
                  <w:vAlign w:val="center"/>
                </w:tcPr>
                <w:p w14:paraId="2269AE3A">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rPr>
                  </w:pPr>
                  <w:r>
                    <w:rPr>
                      <w:rFonts w:hint="eastAsia" w:cs="Times New Roman"/>
                      <w:color w:val="auto"/>
                      <w:kern w:val="0"/>
                      <w:sz w:val="21"/>
                      <w:szCs w:val="21"/>
                      <w:highlight w:val="none"/>
                      <w:lang w:val="en-US" w:eastAsia="zh-CN"/>
                    </w:rPr>
                    <w:t>昆明市</w:t>
                  </w:r>
                  <w:r>
                    <w:rPr>
                      <w:rFonts w:hint="default" w:ascii="Times New Roman" w:hAnsi="Times New Roman" w:eastAsia="宋体" w:cs="Times New Roman"/>
                      <w:color w:val="auto"/>
                      <w:kern w:val="0"/>
                      <w:sz w:val="21"/>
                      <w:szCs w:val="21"/>
                      <w:highlight w:val="none"/>
                    </w:rPr>
                    <w:t>环境管控单元生态环境</w:t>
                  </w:r>
                  <w:r>
                    <w:rPr>
                      <w:rFonts w:hint="eastAsia" w:ascii="Times New Roman" w:hAnsi="Times New Roman" w:eastAsia="宋体" w:cs="Times New Roman"/>
                      <w:color w:val="auto"/>
                      <w:kern w:val="0"/>
                      <w:sz w:val="21"/>
                      <w:szCs w:val="21"/>
                      <w:highlight w:val="none"/>
                    </w:rPr>
                    <w:t>总体准入要求</w:t>
                  </w:r>
                </w:p>
              </w:tc>
              <w:tc>
                <w:tcPr>
                  <w:tcW w:w="4100" w:type="dxa"/>
                  <w:noWrap w:val="0"/>
                  <w:vAlign w:val="center"/>
                </w:tcPr>
                <w:p w14:paraId="1121E602">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jc w:val="left"/>
                    <w:textAlignment w:val="auto"/>
                    <w:rPr>
                      <w:rFonts w:hint="eastAsia" w:ascii="Times New Roman" w:hAnsi="Times New Roman" w:eastAsia="宋体" w:cs="Times New Roman"/>
                      <w:snapToGrid w:val="0"/>
                      <w:color w:val="auto"/>
                      <w:sz w:val="21"/>
                      <w:szCs w:val="21"/>
                      <w:highlight w:val="none"/>
                    </w:rPr>
                  </w:pPr>
                  <w:r>
                    <w:rPr>
                      <w:rFonts w:hint="eastAsia" w:ascii="Times New Roman" w:hAnsi="Times New Roman" w:eastAsia="宋体" w:cs="Times New Roman"/>
                      <w:b/>
                      <w:bCs/>
                      <w:snapToGrid w:val="0"/>
                      <w:color w:val="auto"/>
                      <w:sz w:val="21"/>
                      <w:szCs w:val="21"/>
                      <w:highlight w:val="none"/>
                      <w:lang w:val="en-US" w:eastAsia="zh-CN"/>
                    </w:rPr>
                    <w:t>空间布局约束：</w:t>
                  </w:r>
                  <w:r>
                    <w:rPr>
                      <w:rFonts w:hint="eastAsia" w:ascii="Times New Roman" w:hAnsi="Times New Roman" w:eastAsia="宋体" w:cs="Times New Roman"/>
                      <w:snapToGrid w:val="0"/>
                      <w:color w:val="auto"/>
                      <w:sz w:val="21"/>
                      <w:szCs w:val="21"/>
                      <w:highlight w:val="none"/>
                    </w:rPr>
                    <w:t>（1）严格控制滇池、螳螂川等水污染严重地区高耗水、高污染行业发展，新建、改建、扩建重点行业建设项目实行主要水污染物排放减量置换。</w:t>
                  </w:r>
                </w:p>
                <w:p w14:paraId="16F57CD8">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jc w:val="left"/>
                    <w:textAlignment w:val="auto"/>
                    <w:rPr>
                      <w:rFonts w:hint="eastAsia" w:ascii="Times New Roman" w:hAnsi="Times New Roman" w:eastAsia="微软雅黑" w:cs="Times New Roman"/>
                      <w:color w:val="auto"/>
                      <w:kern w:val="0"/>
                      <w:sz w:val="21"/>
                      <w:szCs w:val="21"/>
                      <w:highlight w:val="none"/>
                      <w:lang w:eastAsia="zh-CN"/>
                    </w:rPr>
                  </w:pPr>
                  <w:r>
                    <w:rPr>
                      <w:rFonts w:hint="eastAsia" w:ascii="Times New Roman" w:hAnsi="Times New Roman" w:eastAsia="宋体" w:cs="Times New Roman"/>
                      <w:snapToGrid w:val="0"/>
                      <w:color w:val="auto"/>
                      <w:sz w:val="21"/>
                      <w:szCs w:val="21"/>
                      <w:highlight w:val="none"/>
                    </w:rPr>
                    <w:t>（2）牛栏江流域内，严格按照《云南省牛栏江保护条例》相关要求对水环境区进行分区管控。</w:t>
                  </w:r>
                </w:p>
              </w:tc>
              <w:tc>
                <w:tcPr>
                  <w:tcW w:w="2350" w:type="dxa"/>
                  <w:noWrap w:val="0"/>
                  <w:vAlign w:val="center"/>
                </w:tcPr>
                <w:p w14:paraId="61A433F2">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cs="Times New Roman"/>
                      <w:color w:val="auto"/>
                      <w:kern w:val="0"/>
                      <w:sz w:val="21"/>
                      <w:szCs w:val="21"/>
                      <w:highlight w:val="none"/>
                      <w:lang w:val="en-US" w:eastAsia="zh-CN"/>
                    </w:rPr>
                    <w:t>本项目位于螳螂川流域，但不属于</w:t>
                  </w:r>
                  <w:r>
                    <w:rPr>
                      <w:rFonts w:hint="eastAsia" w:ascii="Times New Roman" w:hAnsi="Times New Roman" w:eastAsia="宋体" w:cs="Times New Roman"/>
                      <w:snapToGrid w:val="0"/>
                      <w:color w:val="auto"/>
                      <w:sz w:val="21"/>
                      <w:szCs w:val="21"/>
                      <w:highlight w:val="none"/>
                    </w:rPr>
                    <w:t>高耗水、高污染行业</w:t>
                  </w:r>
                  <w:r>
                    <w:rPr>
                      <w:rFonts w:hint="eastAsia" w:eastAsia="宋体" w:cs="Times New Roman"/>
                      <w:snapToGrid w:val="0"/>
                      <w:color w:val="auto"/>
                      <w:sz w:val="21"/>
                      <w:szCs w:val="21"/>
                      <w:highlight w:val="none"/>
                      <w:lang w:val="en-US" w:eastAsia="zh-CN"/>
                    </w:rPr>
                    <w:t>和</w:t>
                  </w:r>
                  <w:r>
                    <w:rPr>
                      <w:rFonts w:hint="eastAsia" w:ascii="Times New Roman" w:hAnsi="Times New Roman" w:eastAsia="宋体" w:cs="Times New Roman"/>
                      <w:snapToGrid w:val="0"/>
                      <w:color w:val="auto"/>
                      <w:sz w:val="21"/>
                      <w:szCs w:val="21"/>
                      <w:highlight w:val="none"/>
                    </w:rPr>
                    <w:t>重点行业建设项目</w:t>
                  </w:r>
                  <w:r>
                    <w:rPr>
                      <w:rFonts w:hint="eastAsia" w:eastAsia="宋体" w:cs="Times New Roman"/>
                      <w:snapToGrid w:val="0"/>
                      <w:color w:val="auto"/>
                      <w:sz w:val="21"/>
                      <w:szCs w:val="21"/>
                      <w:highlight w:val="none"/>
                      <w:lang w:eastAsia="zh-CN"/>
                    </w:rPr>
                    <w:t>。</w:t>
                  </w:r>
                </w:p>
              </w:tc>
              <w:tc>
                <w:tcPr>
                  <w:tcW w:w="580" w:type="dxa"/>
                  <w:noWrap w:val="0"/>
                  <w:vAlign w:val="center"/>
                </w:tcPr>
                <w:p w14:paraId="680CB969">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符合</w:t>
                  </w:r>
                </w:p>
              </w:tc>
            </w:tr>
            <w:tr w14:paraId="28EE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713" w:type="dxa"/>
                  <w:vMerge w:val="continue"/>
                  <w:noWrap w:val="0"/>
                  <w:vAlign w:val="center"/>
                </w:tcPr>
                <w:p w14:paraId="4747AEE1">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rPr>
                  </w:pPr>
                </w:p>
              </w:tc>
              <w:tc>
                <w:tcPr>
                  <w:tcW w:w="4100" w:type="dxa"/>
                  <w:noWrap w:val="0"/>
                  <w:vAlign w:val="center"/>
                </w:tcPr>
                <w:p w14:paraId="6F2D978E">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jc w:val="left"/>
                    <w:textAlignment w:val="auto"/>
                    <w:rPr>
                      <w:rFonts w:hint="eastAsia" w:ascii="Times New Roman" w:hAnsi="Times New Roman" w:eastAsia="微软雅黑" w:cs="Times New Roman"/>
                      <w:color w:val="auto"/>
                      <w:kern w:val="0"/>
                      <w:sz w:val="21"/>
                      <w:szCs w:val="21"/>
                      <w:highlight w:val="none"/>
                      <w:lang w:eastAsia="zh-CN"/>
                    </w:rPr>
                  </w:pPr>
                  <w:r>
                    <w:rPr>
                      <w:rFonts w:hint="eastAsia" w:ascii="Times New Roman" w:hAnsi="Times New Roman" w:eastAsia="宋体" w:cs="Times New Roman"/>
                      <w:b/>
                      <w:bCs/>
                      <w:snapToGrid w:val="0"/>
                      <w:color w:val="auto"/>
                      <w:sz w:val="21"/>
                      <w:szCs w:val="21"/>
                      <w:highlight w:val="none"/>
                      <w:lang w:val="en-US" w:eastAsia="zh-CN"/>
                    </w:rPr>
                    <w:t>污染物排放管控：</w:t>
                  </w:r>
                  <w:r>
                    <w:rPr>
                      <w:rFonts w:hint="eastAsia" w:ascii="Times New Roman" w:hAnsi="Times New Roman" w:eastAsia="宋体" w:cs="Times New Roman"/>
                      <w:snapToGrid w:val="0"/>
                      <w:color w:val="auto"/>
                      <w:sz w:val="21"/>
                      <w:szCs w:val="21"/>
                      <w:highlight w:val="none"/>
                    </w:rPr>
                    <w:t>（1）区域内COD允许排放量不得超过1.44万吨，氨氮允许排放量不得超过0.50万吨。（2）环境空气质量总体保持优良，区域内二氧化硫排放量控制在10.06万吨/年以下、氮氧化物排放量控制在9.32万吨/年以下。</w:t>
                  </w:r>
                </w:p>
              </w:tc>
              <w:tc>
                <w:tcPr>
                  <w:tcW w:w="2350" w:type="dxa"/>
                  <w:noWrap w:val="0"/>
                  <w:vAlign w:val="center"/>
                </w:tcPr>
                <w:p w14:paraId="73216800">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color w:val="auto"/>
                      <w:sz w:val="21"/>
                      <w:szCs w:val="21"/>
                      <w:highlight w:val="none"/>
                    </w:rPr>
                    <w:t>本项目</w:t>
                  </w:r>
                  <w:r>
                    <w:rPr>
                      <w:rFonts w:hint="eastAsia" w:ascii="Times New Roman" w:hAnsi="Times New Roman" w:eastAsia="宋体" w:cs="Times New Roman"/>
                      <w:snapToGrid w:val="0"/>
                      <w:color w:val="auto"/>
                      <w:sz w:val="21"/>
                      <w:szCs w:val="21"/>
                      <w:highlight w:val="none"/>
                    </w:rPr>
                    <w:t>COD</w:t>
                  </w:r>
                  <w:r>
                    <w:rPr>
                      <w:rFonts w:hint="eastAsia" w:ascii="Times New Roman" w:hAnsi="Times New Roman" w:eastAsia="宋体" w:cs="Times New Roman"/>
                      <w:snapToGrid w:val="0"/>
                      <w:color w:val="auto"/>
                      <w:sz w:val="21"/>
                      <w:szCs w:val="21"/>
                      <w:highlight w:val="none"/>
                      <w:lang w:eastAsia="zh-CN"/>
                    </w:rPr>
                    <w:t>、</w:t>
                  </w:r>
                  <w:r>
                    <w:rPr>
                      <w:rFonts w:hint="eastAsia" w:ascii="Times New Roman" w:hAnsi="Times New Roman" w:eastAsia="宋体" w:cs="Times New Roman"/>
                      <w:snapToGrid w:val="0"/>
                      <w:color w:val="auto"/>
                      <w:sz w:val="21"/>
                      <w:szCs w:val="21"/>
                      <w:highlight w:val="none"/>
                    </w:rPr>
                    <w:t>氨氮</w:t>
                  </w:r>
                  <w:r>
                    <w:rPr>
                      <w:rFonts w:hint="eastAsia"/>
                      <w:color w:val="auto"/>
                      <w:sz w:val="21"/>
                      <w:szCs w:val="21"/>
                      <w:highlight w:val="none"/>
                      <w:lang w:eastAsia="zh-CN"/>
                    </w:rPr>
                    <w:t>产生量较小，满足污染物控制；</w:t>
                  </w:r>
                  <w:r>
                    <w:rPr>
                      <w:rFonts w:hint="eastAsia" w:ascii="Times New Roman"/>
                      <w:color w:val="auto"/>
                      <w:sz w:val="21"/>
                      <w:szCs w:val="21"/>
                      <w:highlight w:val="none"/>
                      <w:lang w:val="en-US" w:eastAsia="zh-CN"/>
                    </w:rPr>
                    <w:t>本项目不产生SO</w:t>
                  </w:r>
                  <w:r>
                    <w:rPr>
                      <w:rFonts w:hint="eastAsia" w:ascii="Times New Roman"/>
                      <w:color w:val="auto"/>
                      <w:sz w:val="21"/>
                      <w:szCs w:val="21"/>
                      <w:highlight w:val="none"/>
                      <w:vertAlign w:val="subscript"/>
                      <w:lang w:val="en-US" w:eastAsia="zh-CN"/>
                    </w:rPr>
                    <w:t>2</w:t>
                  </w:r>
                  <w:r>
                    <w:rPr>
                      <w:rFonts w:hint="eastAsia" w:ascii="Times New Roman"/>
                      <w:color w:val="auto"/>
                      <w:sz w:val="21"/>
                      <w:szCs w:val="21"/>
                      <w:highlight w:val="none"/>
                      <w:lang w:val="en-US" w:eastAsia="zh-CN"/>
                    </w:rPr>
                    <w:t>及氮氧化物。</w:t>
                  </w:r>
                </w:p>
              </w:tc>
              <w:tc>
                <w:tcPr>
                  <w:tcW w:w="580" w:type="dxa"/>
                  <w:noWrap w:val="0"/>
                  <w:vAlign w:val="center"/>
                </w:tcPr>
                <w:p w14:paraId="147C985B">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符合</w:t>
                  </w:r>
                </w:p>
              </w:tc>
            </w:tr>
            <w:tr w14:paraId="66B2C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713" w:type="dxa"/>
                  <w:vMerge w:val="continue"/>
                  <w:noWrap w:val="0"/>
                  <w:vAlign w:val="center"/>
                </w:tcPr>
                <w:p w14:paraId="01683E5D">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rPr>
                  </w:pPr>
                </w:p>
              </w:tc>
              <w:tc>
                <w:tcPr>
                  <w:tcW w:w="4100" w:type="dxa"/>
                  <w:noWrap w:val="0"/>
                  <w:vAlign w:val="center"/>
                </w:tcPr>
                <w:p w14:paraId="1C5DAD8C">
                  <w:pPr>
                    <w:keepNext w:val="0"/>
                    <w:keepLines w:val="0"/>
                    <w:pageBreakBefore w:val="0"/>
                    <w:widowControl/>
                    <w:suppressLineNumbers w:val="0"/>
                    <w:kinsoku/>
                    <w:wordWrap/>
                    <w:overflowPunct/>
                    <w:bidi w:val="0"/>
                    <w:snapToGrid w:val="0"/>
                    <w:spacing w:before="0" w:beforeAutospacing="0" w:after="0" w:afterAutospacing="0" w:line="240" w:lineRule="auto"/>
                    <w:ind w:left="0" w:leftChars="0" w:right="0"/>
                    <w:jc w:val="left"/>
                    <w:textAlignment w:val="auto"/>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b/>
                      <w:bCs/>
                      <w:snapToGrid w:val="0"/>
                      <w:color w:val="auto"/>
                      <w:sz w:val="21"/>
                      <w:szCs w:val="21"/>
                      <w:highlight w:val="none"/>
                      <w:lang w:val="en-US" w:eastAsia="zh-CN"/>
                    </w:rPr>
                    <w:t>环境风险防控：</w:t>
                  </w:r>
                  <w:r>
                    <w:rPr>
                      <w:rFonts w:hint="eastAsia" w:ascii="Times New Roman" w:hAnsi="Times New Roman" w:eastAsia="宋体" w:cs="Times New Roman"/>
                      <w:snapToGrid w:val="0"/>
                      <w:color w:val="auto"/>
                      <w:sz w:val="21"/>
                      <w:szCs w:val="21"/>
                      <w:highlight w:val="none"/>
                      <w:lang w:val="en-US" w:eastAsia="zh-CN"/>
                    </w:rPr>
                    <w:t>（1）</w:t>
                  </w:r>
                  <w:r>
                    <w:rPr>
                      <w:rFonts w:hint="eastAsia" w:ascii="Times New Roman" w:hAnsi="Times New Roman" w:eastAsia="宋体" w:cs="Times New Roman"/>
                      <w:snapToGrid w:val="0"/>
                      <w:color w:val="auto"/>
                      <w:sz w:val="21"/>
                      <w:szCs w:val="21"/>
                      <w:highlight w:val="none"/>
                    </w:rPr>
                    <w:t>严格控制长江、珠江两大水系干流沿岸和滇池、阳宗海流域的石化、化工、有色金属冶炼等项目环境风险，合理布局生产装置及危险化学品仓储等设施。</w:t>
                  </w:r>
                  <w:r>
                    <w:rPr>
                      <w:rFonts w:hint="eastAsia" w:eastAsia="宋体" w:cs="Times New Roman"/>
                      <w:snapToGrid w:val="0"/>
                      <w:color w:val="auto"/>
                      <w:sz w:val="21"/>
                      <w:szCs w:val="21"/>
                      <w:highlight w:val="none"/>
                      <w:lang w:eastAsia="zh-CN"/>
                    </w:rPr>
                    <w:t>（</w:t>
                  </w:r>
                  <w:r>
                    <w:rPr>
                      <w:rFonts w:hint="eastAsia" w:eastAsia="宋体" w:cs="Times New Roman"/>
                      <w:snapToGrid w:val="0"/>
                      <w:color w:val="auto"/>
                      <w:sz w:val="21"/>
                      <w:szCs w:val="21"/>
                      <w:highlight w:val="none"/>
                      <w:lang w:val="en-US" w:eastAsia="zh-CN"/>
                    </w:rPr>
                    <w:t>2</w:t>
                  </w:r>
                  <w:r>
                    <w:rPr>
                      <w:rFonts w:hint="eastAsia" w:eastAsia="宋体" w:cs="Times New Roman"/>
                      <w:snapToGrid w:val="0"/>
                      <w:color w:val="auto"/>
                      <w:sz w:val="21"/>
                      <w:szCs w:val="21"/>
                      <w:highlight w:val="none"/>
                      <w:lang w:eastAsia="zh-CN"/>
                    </w:rPr>
                    <w:t>）</w:t>
                  </w:r>
                  <w:r>
                    <w:rPr>
                      <w:rFonts w:hint="eastAsia" w:ascii="Times New Roman" w:hAnsi="Times New Roman" w:eastAsia="宋体" w:cs="Times New Roman"/>
                      <w:snapToGrid w:val="0"/>
                      <w:color w:val="auto"/>
                      <w:sz w:val="21"/>
                      <w:szCs w:val="21"/>
                      <w:highlight w:val="none"/>
                    </w:rPr>
                    <w:t>强化与其他滇中城市的大气污染防治联防联控协作机制，加强区域内重污染天气应急联动。</w:t>
                  </w:r>
                </w:p>
              </w:tc>
              <w:tc>
                <w:tcPr>
                  <w:tcW w:w="2350" w:type="dxa"/>
                  <w:noWrap w:val="0"/>
                  <w:vAlign w:val="center"/>
                </w:tcPr>
                <w:p w14:paraId="6E514FE9">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本项目属于</w:t>
                  </w:r>
                  <w:r>
                    <w:rPr>
                      <w:rFonts w:hint="eastAsia" w:ascii="Times New Roman" w:hAnsi="Times New Roman" w:eastAsia="宋体" w:cs="Times New Roman"/>
                      <w:snapToGrid w:val="0"/>
                      <w:color w:val="auto"/>
                      <w:sz w:val="21"/>
                      <w:szCs w:val="21"/>
                      <w:highlight w:val="none"/>
                      <w:lang w:val="en-US" w:eastAsia="zh-CN"/>
                    </w:rPr>
                    <w:t>化工项目</w:t>
                  </w:r>
                  <w:r>
                    <w:rPr>
                      <w:rFonts w:hint="eastAsia" w:cs="Times New Roman"/>
                      <w:snapToGrid w:val="0"/>
                      <w:color w:val="auto"/>
                      <w:sz w:val="21"/>
                      <w:szCs w:val="21"/>
                      <w:highlight w:val="none"/>
                      <w:lang w:val="en-US" w:eastAsia="zh-CN"/>
                    </w:rPr>
                    <w:t>，进行了严格的风险管控</w:t>
                  </w:r>
                  <w:r>
                    <w:rPr>
                      <w:rFonts w:hint="eastAsia" w:ascii="Times New Roman" w:hAnsi="Times New Roman" w:eastAsia="宋体" w:cs="Times New Roman"/>
                      <w:snapToGrid w:val="0"/>
                      <w:color w:val="auto"/>
                      <w:sz w:val="21"/>
                      <w:szCs w:val="21"/>
                      <w:highlight w:val="none"/>
                      <w:lang w:val="en-US" w:eastAsia="zh-CN"/>
                    </w:rPr>
                    <w:t>，项目</w:t>
                  </w:r>
                  <w:r>
                    <w:rPr>
                      <w:rFonts w:hint="eastAsia" w:cs="Times New Roman"/>
                      <w:snapToGrid w:val="0"/>
                      <w:color w:val="auto"/>
                      <w:sz w:val="21"/>
                      <w:szCs w:val="21"/>
                      <w:highlight w:val="none"/>
                      <w:lang w:val="en-US" w:eastAsia="zh-CN"/>
                    </w:rPr>
                    <w:t>已</w:t>
                  </w:r>
                  <w:r>
                    <w:rPr>
                      <w:rFonts w:hint="eastAsia" w:ascii="Times New Roman" w:hAnsi="Times New Roman" w:eastAsia="宋体" w:cs="Times New Roman"/>
                      <w:snapToGrid w:val="0"/>
                      <w:color w:val="auto"/>
                      <w:sz w:val="21"/>
                      <w:szCs w:val="21"/>
                      <w:highlight w:val="none"/>
                      <w:lang w:val="en-US" w:eastAsia="zh-CN"/>
                    </w:rPr>
                    <w:t>按相关要求编制突发环境事件应急预案，并报当地生态环境部门备案。</w:t>
                  </w:r>
                </w:p>
              </w:tc>
              <w:tc>
                <w:tcPr>
                  <w:tcW w:w="580" w:type="dxa"/>
                  <w:noWrap w:val="0"/>
                  <w:vAlign w:val="center"/>
                </w:tcPr>
                <w:p w14:paraId="2CC4CBD5">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符合</w:t>
                  </w:r>
                </w:p>
              </w:tc>
            </w:tr>
            <w:tr w14:paraId="5CA7E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713" w:type="dxa"/>
                  <w:vMerge w:val="continue"/>
                  <w:noWrap w:val="0"/>
                  <w:vAlign w:val="center"/>
                </w:tcPr>
                <w:p w14:paraId="2D8ECD30">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rPr>
                  </w:pPr>
                </w:p>
              </w:tc>
              <w:tc>
                <w:tcPr>
                  <w:tcW w:w="4100" w:type="dxa"/>
                  <w:noWrap w:val="0"/>
                  <w:vAlign w:val="center"/>
                </w:tcPr>
                <w:p w14:paraId="4099DBC2">
                  <w:pPr>
                    <w:keepNext w:val="0"/>
                    <w:keepLines w:val="0"/>
                    <w:pageBreakBefore w:val="0"/>
                    <w:suppressLineNumbers w:val="0"/>
                    <w:tabs>
                      <w:tab w:val="left" w:pos="252"/>
                    </w:tabs>
                    <w:kinsoku/>
                    <w:wordWrap/>
                    <w:overflowPunct/>
                    <w:bidi w:val="0"/>
                    <w:snapToGrid w:val="0"/>
                    <w:spacing w:before="0" w:beforeAutospacing="0" w:after="0" w:afterAutospacing="0" w:line="240" w:lineRule="auto"/>
                    <w:ind w:left="0" w:leftChars="0" w:right="0"/>
                    <w:textAlignment w:val="auto"/>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b/>
                      <w:bCs/>
                      <w:snapToGrid w:val="0"/>
                      <w:color w:val="auto"/>
                      <w:sz w:val="21"/>
                      <w:szCs w:val="21"/>
                      <w:highlight w:val="none"/>
                      <w:lang w:val="en-US" w:eastAsia="zh-CN"/>
                    </w:rPr>
                    <w:t>资源利用效率：</w:t>
                  </w:r>
                  <w:r>
                    <w:rPr>
                      <w:rFonts w:hint="eastAsia" w:ascii="Times New Roman" w:hAnsi="Times New Roman" w:eastAsia="宋体" w:cs="Times New Roman"/>
                      <w:color w:val="auto"/>
                      <w:sz w:val="21"/>
                      <w:szCs w:val="21"/>
                      <w:highlight w:val="none"/>
                      <w:lang w:val="en-US" w:eastAsia="zh-CN"/>
                    </w:rPr>
                    <w:t>水资源利用效率要求：水资源利用效率持续提高，完成省级下达的水资源利用效率目标要求。能源利用效率要求：能源利用效率持续提高，完成省级下达的能源利用效率目标。碳排放强度控制要求：（1）全市绿色低碳产业结构基本形成，能源生产和消费结构进一步优化，实现单位地区生产总值二氧化碳排放量完成省下达任务。（2）非化石能源消费占能源消费总量比重达到20%。</w:t>
                  </w:r>
                </w:p>
              </w:tc>
              <w:tc>
                <w:tcPr>
                  <w:tcW w:w="2350" w:type="dxa"/>
                  <w:noWrap w:val="0"/>
                  <w:vAlign w:val="center"/>
                </w:tcPr>
                <w:p w14:paraId="7962831B">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项目生产及生活用水均来自于现有的供水管网，本项目生产废水</w:t>
                  </w:r>
                  <w:r>
                    <w:rPr>
                      <w:rFonts w:hint="eastAsia" w:ascii="Times New Roman" w:hAnsi="Times New Roman"/>
                      <w:color w:val="auto"/>
                      <w:sz w:val="21"/>
                      <w:szCs w:val="21"/>
                      <w:highlight w:val="none"/>
                      <w:lang w:eastAsia="zh-CN"/>
                    </w:rPr>
                    <w:t>，</w:t>
                  </w:r>
                  <w:r>
                    <w:rPr>
                      <w:rFonts w:hint="default" w:ascii="Times New Roman" w:hAnsi="Times New Roman"/>
                      <w:color w:val="auto"/>
                      <w:sz w:val="21"/>
                      <w:szCs w:val="21"/>
                      <w:highlight w:val="none"/>
                    </w:rPr>
                    <w:t>不外排</w:t>
                  </w:r>
                  <w:r>
                    <w:rPr>
                      <w:rFonts w:hint="eastAsia" w:ascii="Times New Roman" w:hAnsi="Times New Roman" w:eastAsia="宋体" w:cs="Times New Roman"/>
                      <w:color w:val="auto"/>
                      <w:kern w:val="2"/>
                      <w:sz w:val="21"/>
                      <w:szCs w:val="21"/>
                      <w:highlight w:val="none"/>
                      <w:lang w:val="en-US" w:eastAsia="zh-CN" w:bidi="ar-SA"/>
                    </w:rPr>
                    <w:t>。项目使用的原料均为外购无毒原料。此外项目所用能源为电能，不使用燃煤、燃油等。</w:t>
                  </w:r>
                </w:p>
              </w:tc>
              <w:tc>
                <w:tcPr>
                  <w:tcW w:w="580" w:type="dxa"/>
                  <w:noWrap w:val="0"/>
                  <w:vAlign w:val="center"/>
                </w:tcPr>
                <w:p w14:paraId="3CE1EF3A">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符合</w:t>
                  </w:r>
                </w:p>
              </w:tc>
            </w:tr>
            <w:tr w14:paraId="2D35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713" w:type="dxa"/>
                  <w:vMerge w:val="restart"/>
                  <w:noWrap w:val="0"/>
                  <w:vAlign w:val="center"/>
                </w:tcPr>
                <w:p w14:paraId="37BA14CA">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0"/>
                      <w:sz w:val="21"/>
                      <w:szCs w:val="21"/>
                      <w:highlight w:val="none"/>
                    </w:rPr>
                  </w:pPr>
                  <w:r>
                    <w:rPr>
                      <w:rFonts w:hint="eastAsia" w:ascii="Times New Roman" w:cs="Times New Roman"/>
                      <w:snapToGrid w:val="0"/>
                      <w:color w:val="auto"/>
                      <w:sz w:val="21"/>
                      <w:szCs w:val="21"/>
                      <w:highlight w:val="none"/>
                      <w:lang w:val="en-US" w:eastAsia="zh-CN"/>
                    </w:rPr>
                    <w:t>云南富民</w:t>
                  </w:r>
                  <w:r>
                    <w:rPr>
                      <w:rFonts w:hint="eastAsia" w:ascii="Times New Roman" w:hAnsi="Times New Roman" w:eastAsia="宋体" w:cs="Times New Roman"/>
                      <w:snapToGrid w:val="0"/>
                      <w:color w:val="auto"/>
                      <w:sz w:val="21"/>
                      <w:szCs w:val="21"/>
                      <w:highlight w:val="none"/>
                      <w:lang w:val="en-US" w:eastAsia="zh-CN"/>
                    </w:rPr>
                    <w:t>工业园区重点管控单元生态环境准入清单</w:t>
                  </w:r>
                </w:p>
              </w:tc>
              <w:tc>
                <w:tcPr>
                  <w:tcW w:w="4100" w:type="dxa"/>
                  <w:noWrap w:val="0"/>
                  <w:vAlign w:val="center"/>
                </w:tcPr>
                <w:p w14:paraId="7C94AEFE">
                  <w:pPr>
                    <w:keepNext w:val="0"/>
                    <w:keepLines w:val="0"/>
                    <w:pageBreakBefore w:val="0"/>
                    <w:suppressLineNumbers w:val="0"/>
                    <w:tabs>
                      <w:tab w:val="left" w:pos="252"/>
                    </w:tabs>
                    <w:kinsoku/>
                    <w:wordWrap/>
                    <w:overflowPunct/>
                    <w:bidi w:val="0"/>
                    <w:snapToGrid w:val="0"/>
                    <w:spacing w:before="0" w:beforeAutospacing="0" w:after="0" w:afterAutospacing="0" w:line="240" w:lineRule="auto"/>
                    <w:ind w:left="0" w:leftChars="0" w:right="0"/>
                    <w:textAlignment w:val="auto"/>
                    <w:rPr>
                      <w:rFonts w:hint="eastAsia" w:ascii="Times New Roman" w:hAnsi="Times New Roman" w:eastAsia="宋体" w:cs="Times New Roman"/>
                      <w:b/>
                      <w:bCs/>
                      <w:snapToGrid w:val="0"/>
                      <w:color w:val="auto"/>
                      <w:sz w:val="21"/>
                      <w:szCs w:val="21"/>
                      <w:highlight w:val="none"/>
                      <w:lang w:val="en-US" w:eastAsia="zh-CN"/>
                    </w:rPr>
                  </w:pPr>
                  <w:r>
                    <w:rPr>
                      <w:rFonts w:hint="eastAsia" w:ascii="Times New Roman" w:hAnsi="Times New Roman" w:eastAsia="宋体" w:cs="Times New Roman"/>
                      <w:b/>
                      <w:bCs/>
                      <w:snapToGrid w:val="0"/>
                      <w:color w:val="auto"/>
                      <w:sz w:val="21"/>
                      <w:szCs w:val="21"/>
                      <w:highlight w:val="none"/>
                      <w:lang w:val="en-US" w:eastAsia="zh-CN"/>
                    </w:rPr>
                    <w:t>空间布局约束：</w:t>
                  </w:r>
                  <w:r>
                    <w:rPr>
                      <w:rFonts w:hint="eastAsia" w:ascii="Times New Roman" w:hAnsi="Times New Roman" w:eastAsia="宋体" w:cs="Times New Roman"/>
                      <w:color w:val="auto"/>
                      <w:sz w:val="21"/>
                      <w:szCs w:val="21"/>
                      <w:highlight w:val="none"/>
                      <w:lang w:val="en-US" w:eastAsia="zh-CN"/>
                    </w:rPr>
                    <w:t>1.构建以新材料产业为主导，发展装备制造、精食品加工为辅助的产业体系。2.污染类工业应该分类聚集，严禁与养生、居住布局在同一园区。</w:t>
                  </w:r>
                </w:p>
              </w:tc>
              <w:tc>
                <w:tcPr>
                  <w:tcW w:w="2350" w:type="dxa"/>
                  <w:noWrap w:val="0"/>
                  <w:vAlign w:val="center"/>
                </w:tcPr>
                <w:p w14:paraId="2EAA131D">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snapToGrid w:val="0"/>
                      <w:color w:val="auto"/>
                      <w:sz w:val="21"/>
                      <w:szCs w:val="21"/>
                      <w:highlight w:val="none"/>
                      <w:lang w:val="en-US" w:eastAsia="zh-CN"/>
                    </w:rPr>
                    <w:t>本</w:t>
                  </w:r>
                  <w:r>
                    <w:rPr>
                      <w:rFonts w:hint="eastAsia" w:ascii="Times New Roman" w:hAnsi="Times New Roman" w:eastAsia="宋体" w:cs="Times New Roman"/>
                      <w:snapToGrid w:val="0"/>
                      <w:color w:val="auto"/>
                      <w:sz w:val="21"/>
                      <w:szCs w:val="21"/>
                      <w:highlight w:val="none"/>
                      <w:lang w:val="en-US" w:eastAsia="zh-CN"/>
                    </w:rPr>
                    <w:t>项</w:t>
                  </w:r>
                  <w:r>
                    <w:rPr>
                      <w:rFonts w:hint="eastAsia" w:ascii="Times New Roman" w:hAnsi="Times New Roman" w:eastAsia="宋体" w:cs="Times New Roman"/>
                      <w:color w:val="auto"/>
                      <w:sz w:val="21"/>
                      <w:szCs w:val="21"/>
                      <w:highlight w:val="none"/>
                      <w:lang w:val="en-US" w:eastAsia="zh-CN" w:bidi="ar-SA"/>
                    </w:rPr>
                    <w:t>目产品为</w:t>
                  </w:r>
                  <w:r>
                    <w:rPr>
                      <w:rFonts w:hint="eastAsia" w:cs="Times New Roman"/>
                      <w:color w:val="auto"/>
                      <w:sz w:val="21"/>
                      <w:szCs w:val="21"/>
                      <w:highlight w:val="none"/>
                      <w:lang w:val="en-US" w:eastAsia="zh-CN" w:bidi="ar-SA"/>
                    </w:rPr>
                    <w:t>水性涂料、腻子粉</w:t>
                  </w:r>
                  <w:r>
                    <w:rPr>
                      <w:rFonts w:hint="eastAsia" w:ascii="Times New Roman" w:hAnsi="Times New Roman" w:eastAsia="宋体" w:cs="Times New Roman"/>
                      <w:color w:val="auto"/>
                      <w:sz w:val="21"/>
                      <w:szCs w:val="21"/>
                      <w:highlight w:val="none"/>
                      <w:lang w:val="en-US" w:eastAsia="zh-CN" w:bidi="ar-SA"/>
                    </w:rPr>
                    <w:t>，与白石岩—大白坡片区</w:t>
                  </w:r>
                  <w:r>
                    <w:rPr>
                      <w:rFonts w:hint="eastAsia" w:cs="Times New Roman"/>
                      <w:color w:val="auto"/>
                      <w:sz w:val="21"/>
                      <w:szCs w:val="21"/>
                      <w:highlight w:val="none"/>
                      <w:lang w:val="en-US" w:eastAsia="zh-CN" w:bidi="ar-SA"/>
                    </w:rPr>
                    <w:t>哨箐组团，</w:t>
                  </w:r>
                  <w:r>
                    <w:rPr>
                      <w:rFonts w:hint="eastAsia" w:ascii="Times New Roman" w:hAnsi="Times New Roman" w:eastAsia="宋体" w:cs="Times New Roman"/>
                      <w:color w:val="auto"/>
                      <w:sz w:val="21"/>
                      <w:szCs w:val="21"/>
                      <w:highlight w:val="none"/>
                      <w:lang w:val="en-US" w:eastAsia="zh-CN" w:bidi="ar-SA"/>
                    </w:rPr>
                    <w:t>产业定位不冲突</w:t>
                  </w:r>
                  <w:r>
                    <w:rPr>
                      <w:rFonts w:hint="default" w:ascii="Times New Roman" w:hAnsi="Times New Roman" w:eastAsia="宋体" w:cs="Times New Roman"/>
                      <w:color w:val="auto"/>
                      <w:sz w:val="21"/>
                      <w:szCs w:val="21"/>
                      <w:highlight w:val="none"/>
                      <w:lang w:val="en-US" w:eastAsia="zh-CN" w:bidi="ar-SA"/>
                    </w:rPr>
                    <w:t>，</w:t>
                  </w:r>
                  <w:r>
                    <w:rPr>
                      <w:rFonts w:hint="eastAsia" w:ascii="Times New Roman" w:hAnsi="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lang w:val="en-US" w:eastAsia="zh-CN" w:bidi="ar-SA"/>
                    </w:rPr>
                    <w:t>周围500m范围内</w:t>
                  </w:r>
                  <w:r>
                    <w:rPr>
                      <w:rFonts w:hint="eastAsia" w:cs="Times New Roman"/>
                      <w:color w:val="auto"/>
                      <w:sz w:val="21"/>
                      <w:szCs w:val="21"/>
                      <w:highlight w:val="none"/>
                      <w:lang w:val="en-US" w:eastAsia="zh-CN" w:bidi="ar-SA"/>
                    </w:rPr>
                    <w:t>主要分布有电器设备、机械制造企业</w:t>
                  </w:r>
                  <w:r>
                    <w:rPr>
                      <w:rFonts w:hint="default" w:ascii="Times New Roman" w:hAnsi="Times New Roman" w:eastAsia="宋体" w:cs="Times New Roman"/>
                      <w:color w:val="auto"/>
                      <w:sz w:val="21"/>
                      <w:szCs w:val="21"/>
                      <w:highlight w:val="none"/>
                      <w:lang w:val="en-US" w:eastAsia="zh-CN" w:bidi="ar-SA"/>
                    </w:rPr>
                    <w:t>，</w:t>
                  </w:r>
                  <w:r>
                    <w:rPr>
                      <w:rFonts w:hint="eastAsia" w:ascii="Times New Roman" w:hAnsi="Times New Roman" w:eastAsia="宋体" w:cs="Times New Roman"/>
                      <w:color w:val="auto"/>
                      <w:sz w:val="21"/>
                      <w:szCs w:val="21"/>
                      <w:highlight w:val="none"/>
                      <w:lang w:val="en-US" w:eastAsia="zh-CN"/>
                    </w:rPr>
                    <w:t>与养生、居住</w:t>
                  </w:r>
                  <w:r>
                    <w:rPr>
                      <w:rFonts w:hint="eastAsia" w:ascii="Times New Roman" w:hAnsi="Times New Roman" w:cs="Times New Roman"/>
                      <w:color w:val="auto"/>
                      <w:sz w:val="21"/>
                      <w:szCs w:val="21"/>
                      <w:highlight w:val="none"/>
                      <w:lang w:val="en-US" w:eastAsia="zh-CN"/>
                    </w:rPr>
                    <w:t>未</w:t>
                  </w:r>
                  <w:r>
                    <w:rPr>
                      <w:rFonts w:hint="eastAsia" w:ascii="Times New Roman" w:hAnsi="Times New Roman" w:eastAsia="宋体" w:cs="Times New Roman"/>
                      <w:color w:val="auto"/>
                      <w:sz w:val="21"/>
                      <w:szCs w:val="21"/>
                      <w:highlight w:val="none"/>
                      <w:lang w:val="en-US" w:eastAsia="zh-CN"/>
                    </w:rPr>
                    <w:t>布局在同一园区</w:t>
                  </w:r>
                  <w:r>
                    <w:rPr>
                      <w:rFonts w:hint="eastAsia" w:eastAsia="宋体" w:cs="Times New Roman"/>
                      <w:color w:val="auto"/>
                      <w:sz w:val="21"/>
                      <w:szCs w:val="21"/>
                      <w:highlight w:val="none"/>
                      <w:lang w:val="en-US" w:eastAsia="zh-CN"/>
                    </w:rPr>
                    <w:t>。</w:t>
                  </w:r>
                </w:p>
              </w:tc>
              <w:tc>
                <w:tcPr>
                  <w:tcW w:w="580" w:type="dxa"/>
                  <w:noWrap w:val="0"/>
                  <w:vAlign w:val="center"/>
                </w:tcPr>
                <w:p w14:paraId="72F9880B">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符合</w:t>
                  </w:r>
                </w:p>
              </w:tc>
            </w:tr>
            <w:tr w14:paraId="6E36A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713" w:type="dxa"/>
                  <w:vMerge w:val="continue"/>
                  <w:noWrap w:val="0"/>
                  <w:vAlign w:val="center"/>
                </w:tcPr>
                <w:p w14:paraId="5D7CC0A1">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snapToGrid w:val="0"/>
                      <w:color w:val="auto"/>
                      <w:sz w:val="21"/>
                      <w:szCs w:val="21"/>
                      <w:highlight w:val="none"/>
                      <w:lang w:val="en-US" w:eastAsia="zh-CN"/>
                    </w:rPr>
                  </w:pPr>
                </w:p>
              </w:tc>
              <w:tc>
                <w:tcPr>
                  <w:tcW w:w="4100" w:type="dxa"/>
                  <w:noWrap w:val="0"/>
                  <w:vAlign w:val="center"/>
                </w:tcPr>
                <w:p w14:paraId="4A435F79">
                  <w:pPr>
                    <w:keepNext w:val="0"/>
                    <w:keepLines w:val="0"/>
                    <w:pageBreakBefore w:val="0"/>
                    <w:suppressLineNumbers w:val="0"/>
                    <w:kinsoku/>
                    <w:wordWrap/>
                    <w:overflowPunct/>
                    <w:bidi w:val="0"/>
                    <w:snapToGrid w:val="0"/>
                    <w:spacing w:before="0" w:beforeAutospacing="0" w:after="0" w:afterAutospacing="0"/>
                    <w:ind w:left="0" w:leftChars="0" w:right="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污染物排放管控：</w:t>
                  </w:r>
                  <w:r>
                    <w:rPr>
                      <w:rFonts w:hint="default" w:ascii="Times New Roman" w:hAnsi="Times New Roman" w:eastAsia="宋体" w:cs="Times New Roman"/>
                      <w:color w:val="auto"/>
                      <w:sz w:val="21"/>
                      <w:szCs w:val="21"/>
                      <w:highlight w:val="none"/>
                      <w:lang w:val="en-US" w:eastAsia="zh-CN" w:bidi="ar-SA"/>
                    </w:rPr>
                    <w:t>1.园区规划内新建的产业工业废水经处理达最严格标准，且满足环境容量时，可外排。2.区域环境质量不能稳定达标前，新改扩建项目排放区域环境超标污染因子须实行区域超量削减，其中有色金属冶炼生产废水要封闭循环不外排。3.加大园区截污率，为产业布局腾出环境容量。4.制定区域环境综合整治计划，加快推进园区工业固废和污水集中处理处置设施建设，确保工业固废得到合理利用、妥善处置。5.开展河流沿岸涉重片区及涉重企业雨污分流，初期雨水处理等综合治理，建设工业废水集中处理厂及废水应急处理设施，净化处理片区汇水。6.开展淘汰关闭企业迹地清理，妥善解决遗留环境问题。督促现有企业确实履行环保责任，落实各项污染防治措施。7.园区工业发展应采取“上大关小、增产减污、节能减排”等措施，对原有老企业，应通过整改措施，改善工艺，减少污染物排放。8.对现有电解铝企业逐步进行环保升级改造，禁止新建扩建电解铝企业。</w:t>
                  </w:r>
                </w:p>
              </w:tc>
              <w:tc>
                <w:tcPr>
                  <w:tcW w:w="2350" w:type="dxa"/>
                  <w:noWrap w:val="0"/>
                  <w:vAlign w:val="center"/>
                </w:tcPr>
                <w:p w14:paraId="46B1A94D">
                  <w:pPr>
                    <w:keepNext w:val="0"/>
                    <w:keepLines w:val="0"/>
                    <w:pageBreakBefore w:val="0"/>
                    <w:suppressLineNumbers w:val="0"/>
                    <w:kinsoku/>
                    <w:wordWrap/>
                    <w:overflowPunct/>
                    <w:bidi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1、</w:t>
                  </w:r>
                  <w:r>
                    <w:rPr>
                      <w:rFonts w:hint="eastAsia" w:ascii="Times New Roman" w:hAnsi="Times New Roman" w:eastAsia="宋体" w:cs="Times New Roman"/>
                      <w:color w:val="auto"/>
                      <w:sz w:val="21"/>
                      <w:szCs w:val="21"/>
                      <w:highlight w:val="none"/>
                      <w:lang w:val="en-US" w:eastAsia="zh-CN" w:bidi="ar-SA"/>
                    </w:rPr>
                    <w:t>项目生产废水</w:t>
                  </w:r>
                  <w:r>
                    <w:rPr>
                      <w:rFonts w:hint="eastAsia" w:cs="Times New Roman"/>
                      <w:color w:val="auto"/>
                      <w:sz w:val="21"/>
                      <w:szCs w:val="21"/>
                      <w:highlight w:val="none"/>
                      <w:lang w:val="en-US" w:eastAsia="zh-CN" w:bidi="ar-SA"/>
                    </w:rPr>
                    <w:t>产生量不大</w:t>
                  </w:r>
                  <w:r>
                    <w:rPr>
                      <w:rFonts w:hint="eastAsia" w:ascii="Times New Roman" w:hAnsi="Times New Roman" w:eastAsia="宋体" w:cs="Times New Roman"/>
                      <w:color w:val="auto"/>
                      <w:sz w:val="21"/>
                      <w:szCs w:val="21"/>
                      <w:highlight w:val="none"/>
                      <w:lang w:val="en-US" w:eastAsia="zh-CN" w:bidi="ar-SA"/>
                    </w:rPr>
                    <w:t>，</w:t>
                  </w:r>
                  <w:r>
                    <w:rPr>
                      <w:rFonts w:hint="eastAsia" w:cs="Times New Roman"/>
                      <w:color w:val="auto"/>
                      <w:sz w:val="21"/>
                      <w:szCs w:val="21"/>
                      <w:highlight w:val="none"/>
                      <w:lang w:val="en-US" w:eastAsia="zh-CN" w:bidi="ar-SA"/>
                    </w:rPr>
                    <w:t>经污水处理系统处理达标后进入园区污水管网</w:t>
                  </w:r>
                  <w:r>
                    <w:rPr>
                      <w:rFonts w:hint="eastAsia" w:ascii="Times New Roman" w:hAnsi="Times New Roman" w:eastAsia="宋体" w:cs="Times New Roman"/>
                      <w:color w:val="auto"/>
                      <w:sz w:val="21"/>
                      <w:szCs w:val="21"/>
                      <w:highlight w:val="none"/>
                      <w:lang w:val="en-US" w:eastAsia="zh-CN" w:bidi="ar-SA"/>
                    </w:rPr>
                    <w:t>；</w:t>
                  </w:r>
                </w:p>
                <w:p w14:paraId="734DC2E4">
                  <w:pPr>
                    <w:keepNext w:val="0"/>
                    <w:keepLines w:val="0"/>
                    <w:pageBreakBefore w:val="0"/>
                    <w:suppressLineNumbers w:val="0"/>
                    <w:kinsoku/>
                    <w:wordWrap/>
                    <w:overflowPunct/>
                    <w:bidi w:val="0"/>
                    <w:snapToGrid w:val="0"/>
                    <w:spacing w:before="0" w:beforeAutospacing="0" w:after="0" w:afterAutospacing="0" w:line="240" w:lineRule="auto"/>
                    <w:ind w:left="0" w:leftChars="0" w:right="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w:t>
                  </w:r>
                  <w:r>
                    <w:rPr>
                      <w:rFonts w:hint="eastAsia" w:ascii="Times New Roman" w:hAnsi="Times New Roman" w:eastAsia="宋体" w:cs="Times New Roman"/>
                      <w:color w:val="auto"/>
                      <w:kern w:val="2"/>
                      <w:sz w:val="21"/>
                      <w:szCs w:val="21"/>
                      <w:highlight w:val="none"/>
                      <w:lang w:val="en-US" w:eastAsia="zh-CN" w:bidi="ar-SA"/>
                    </w:rPr>
                    <w:t>根据《</w:t>
                  </w:r>
                  <w:r>
                    <w:rPr>
                      <w:rFonts w:hint="default" w:ascii="Times New Roman" w:hAnsi="Times New Roman" w:eastAsia="宋体" w:cs="Times New Roman"/>
                      <w:color w:val="auto"/>
                      <w:kern w:val="2"/>
                      <w:sz w:val="21"/>
                      <w:szCs w:val="21"/>
                      <w:highlight w:val="none"/>
                      <w:lang w:val="en-US" w:eastAsia="zh-CN" w:bidi="ar-SA"/>
                    </w:rPr>
                    <w:t>202</w:t>
                  </w:r>
                  <w:r>
                    <w:rPr>
                      <w:rFonts w:hint="eastAsia" w:ascii="Times New Roman" w:hAnsi="Times New Roman" w:eastAsia="宋体" w:cs="Times New Roman"/>
                      <w:color w:val="auto"/>
                      <w:kern w:val="2"/>
                      <w:sz w:val="21"/>
                      <w:szCs w:val="21"/>
                      <w:highlight w:val="none"/>
                      <w:lang w:val="en-US" w:eastAsia="zh-CN" w:bidi="ar-SA"/>
                    </w:rPr>
                    <w:t>1年度昆明市生态环境状况公报》，项目区属于达标区</w:t>
                  </w:r>
                  <w:r>
                    <w:rPr>
                      <w:rFonts w:hint="eastAsia" w:ascii="Times New Roman" w:hAnsi="Times New Roman" w:cs="Times New Roman"/>
                      <w:color w:val="auto"/>
                      <w:kern w:val="2"/>
                      <w:sz w:val="21"/>
                      <w:szCs w:val="21"/>
                      <w:highlight w:val="none"/>
                      <w:lang w:val="en-US" w:eastAsia="zh-CN" w:bidi="ar-SA"/>
                    </w:rPr>
                    <w:t>；</w:t>
                  </w:r>
                  <w:r>
                    <w:rPr>
                      <w:rFonts w:hint="default" w:ascii="Times New Roman"/>
                      <w:color w:val="auto"/>
                      <w:sz w:val="21"/>
                      <w:szCs w:val="21"/>
                      <w:highlight w:val="none"/>
                    </w:rPr>
                    <w:t>本项目产生的</w:t>
                  </w:r>
                  <w:r>
                    <w:rPr>
                      <w:rFonts w:hint="eastAsia" w:ascii="Times New Roman"/>
                      <w:color w:val="auto"/>
                      <w:sz w:val="21"/>
                      <w:szCs w:val="21"/>
                      <w:highlight w:val="none"/>
                    </w:rPr>
                    <w:t>颗粒物</w:t>
                  </w:r>
                  <w:r>
                    <w:rPr>
                      <w:rFonts w:hint="default" w:ascii="Times New Roman"/>
                      <w:color w:val="auto"/>
                      <w:sz w:val="21"/>
                      <w:szCs w:val="21"/>
                      <w:highlight w:val="none"/>
                    </w:rPr>
                    <w:t>经布袋除尘器</w:t>
                  </w:r>
                  <w:r>
                    <w:rPr>
                      <w:rFonts w:hint="eastAsia"/>
                      <w:color w:val="auto"/>
                      <w:sz w:val="21"/>
                      <w:szCs w:val="21"/>
                      <w:highlight w:val="none"/>
                      <w:lang w:eastAsia="zh-CN"/>
                    </w:rPr>
                    <w:t>、</w:t>
                  </w:r>
                  <w:r>
                    <w:rPr>
                      <w:rFonts w:hint="eastAsia"/>
                      <w:color w:val="auto"/>
                      <w:sz w:val="21"/>
                      <w:szCs w:val="21"/>
                      <w:highlight w:val="none"/>
                      <w:lang w:val="en-US" w:eastAsia="zh-CN"/>
                    </w:rPr>
                    <w:t>集中式滤筒除尘器</w:t>
                  </w:r>
                  <w:r>
                    <w:rPr>
                      <w:rFonts w:hint="default" w:ascii="Times New Roman"/>
                      <w:color w:val="auto"/>
                      <w:sz w:val="21"/>
                      <w:szCs w:val="21"/>
                      <w:highlight w:val="none"/>
                    </w:rPr>
                    <w:t>处理后可达标排放</w:t>
                  </w:r>
                  <w:r>
                    <w:rPr>
                      <w:rFonts w:hint="eastAsia"/>
                      <w:color w:val="auto"/>
                      <w:sz w:val="21"/>
                      <w:szCs w:val="21"/>
                      <w:highlight w:val="none"/>
                      <w:lang w:eastAsia="zh-CN"/>
                    </w:rPr>
                    <w:t>，</w:t>
                  </w:r>
                  <w:r>
                    <w:rPr>
                      <w:rFonts w:hint="eastAsia"/>
                      <w:color w:val="auto"/>
                      <w:sz w:val="21"/>
                      <w:szCs w:val="21"/>
                      <w:highlight w:val="none"/>
                      <w:lang w:val="en-US" w:eastAsia="zh-CN"/>
                    </w:rPr>
                    <w:t>产生的非甲烷总烃采用UV光氧+活性炭吸附装置处理后达标排放</w:t>
                  </w:r>
                  <w:r>
                    <w:rPr>
                      <w:rFonts w:hint="default" w:ascii="Times New Roman"/>
                      <w:color w:val="auto"/>
                      <w:sz w:val="21"/>
                      <w:szCs w:val="21"/>
                      <w:highlight w:val="none"/>
                    </w:rPr>
                    <w:t>。</w:t>
                  </w:r>
                  <w:r>
                    <w:rPr>
                      <w:rFonts w:hint="default" w:ascii="Times New Roman" w:hAnsi="Times New Roman"/>
                      <w:color w:val="auto"/>
                      <w:sz w:val="21"/>
                      <w:szCs w:val="21"/>
                      <w:highlight w:val="none"/>
                    </w:rPr>
                    <w:t>项目区域地表水</w:t>
                  </w:r>
                  <w:r>
                    <w:rPr>
                      <w:rFonts w:hint="eastAsia" w:ascii="Times New Roman" w:hAnsi="Times New Roman"/>
                      <w:color w:val="auto"/>
                      <w:sz w:val="21"/>
                      <w:szCs w:val="21"/>
                      <w:highlight w:val="none"/>
                      <w:lang w:val="en-US" w:eastAsia="zh-CN"/>
                    </w:rPr>
                    <w:t>螳螂川</w:t>
                  </w:r>
                  <w:r>
                    <w:rPr>
                      <w:rFonts w:hint="default" w:ascii="Times New Roman" w:hAnsi="Times New Roman"/>
                      <w:color w:val="auto"/>
                      <w:sz w:val="21"/>
                      <w:szCs w:val="21"/>
                      <w:highlight w:val="none"/>
                    </w:rPr>
                    <w:t>现状水质能满足《地表水环境质量标准》（GB3838-2002）</w:t>
                  </w:r>
                  <w:r>
                    <w:rPr>
                      <w:rFonts w:hint="eastAsia" w:ascii="宋体" w:hAnsi="宋体" w:eastAsia="宋体" w:cs="宋体"/>
                      <w:color w:val="auto"/>
                      <w:sz w:val="21"/>
                      <w:szCs w:val="21"/>
                      <w:highlight w:val="none"/>
                    </w:rPr>
                    <w:t>Ⅳ</w:t>
                  </w:r>
                  <w:r>
                    <w:rPr>
                      <w:rFonts w:hint="default" w:ascii="Times New Roman" w:hAnsi="Times New Roman"/>
                      <w:color w:val="auto"/>
                      <w:sz w:val="21"/>
                      <w:szCs w:val="21"/>
                      <w:highlight w:val="none"/>
                    </w:rPr>
                    <w:t>类标准要求</w:t>
                  </w:r>
                  <w:r>
                    <w:rPr>
                      <w:rFonts w:hint="eastAsia" w:ascii="Times New Roman" w:hAnsi="Times New Roman"/>
                      <w:color w:val="auto"/>
                      <w:sz w:val="21"/>
                      <w:szCs w:val="21"/>
                      <w:highlight w:val="none"/>
                      <w:lang w:eastAsia="zh-CN"/>
                    </w:rPr>
                    <w:t>；</w:t>
                  </w:r>
                </w:p>
                <w:p w14:paraId="1A86E042">
                  <w:pPr>
                    <w:keepNext w:val="0"/>
                    <w:keepLines w:val="0"/>
                    <w:pageBreakBefore w:val="0"/>
                    <w:suppressLineNumbers w:val="0"/>
                    <w:kinsoku/>
                    <w:wordWrap/>
                    <w:overflowPunct/>
                    <w:bidi w:val="0"/>
                    <w:snapToGrid w:val="0"/>
                    <w:spacing w:before="0" w:beforeAutospacing="0" w:after="0" w:afterAutospacing="0" w:line="240" w:lineRule="auto"/>
                    <w:ind w:left="0" w:leftChars="0" w:right="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3、本项目不属于</w:t>
                  </w:r>
                  <w:r>
                    <w:rPr>
                      <w:rFonts w:hint="default" w:ascii="Times New Roman" w:hAnsi="Times New Roman" w:eastAsia="宋体" w:cs="Times New Roman"/>
                      <w:color w:val="auto"/>
                      <w:sz w:val="21"/>
                      <w:szCs w:val="21"/>
                      <w:highlight w:val="none"/>
                      <w:lang w:val="en-US" w:eastAsia="zh-CN" w:bidi="ar-SA"/>
                    </w:rPr>
                    <w:t>涉重企业</w:t>
                  </w:r>
                  <w:r>
                    <w:rPr>
                      <w:rFonts w:hint="eastAsia" w:ascii="Times New Roman" w:hAnsi="Times New Roman" w:cs="Times New Roman"/>
                      <w:color w:val="auto"/>
                      <w:sz w:val="21"/>
                      <w:szCs w:val="21"/>
                      <w:highlight w:val="none"/>
                      <w:lang w:val="en-US" w:eastAsia="zh-CN" w:bidi="ar-SA"/>
                    </w:rPr>
                    <w:t>和</w:t>
                  </w:r>
                  <w:r>
                    <w:rPr>
                      <w:rFonts w:hint="default" w:ascii="Times New Roman" w:hAnsi="Times New Roman" w:eastAsia="宋体" w:cs="Times New Roman"/>
                      <w:color w:val="auto"/>
                      <w:sz w:val="21"/>
                      <w:szCs w:val="21"/>
                      <w:highlight w:val="none"/>
                      <w:lang w:val="en-US" w:eastAsia="zh-CN" w:bidi="ar-SA"/>
                    </w:rPr>
                    <w:t>电解铝企业</w:t>
                  </w:r>
                  <w:r>
                    <w:rPr>
                      <w:rFonts w:hint="eastAsia" w:ascii="Times New Roman" w:hAnsi="Times New Roman" w:cs="Times New Roman"/>
                      <w:color w:val="auto"/>
                      <w:sz w:val="21"/>
                      <w:szCs w:val="21"/>
                      <w:highlight w:val="none"/>
                      <w:lang w:val="en-US" w:eastAsia="zh-CN" w:bidi="ar-SA"/>
                    </w:rPr>
                    <w:t>；</w:t>
                  </w:r>
                  <w:r>
                    <w:rPr>
                      <w:rFonts w:hint="eastAsia" w:cs="Times New Roman"/>
                      <w:color w:val="auto"/>
                      <w:sz w:val="21"/>
                      <w:szCs w:val="21"/>
                      <w:highlight w:val="none"/>
                      <w:lang w:val="en-US" w:eastAsia="zh-CN" w:bidi="ar-SA"/>
                    </w:rPr>
                    <w:t>4、本项目固废处理率达100%；5、本项目排水采用雨污分流，设置初期雨水收集池；6、本项目属于扩建项目，本次扩建对原项目不合理的、尚未落实的环保措施提出相应的整改；7、本项目严格遵循“</w:t>
                  </w:r>
                  <w:r>
                    <w:rPr>
                      <w:rFonts w:hint="default" w:ascii="Times New Roman" w:hAnsi="Times New Roman" w:eastAsia="宋体" w:cs="Times New Roman"/>
                      <w:color w:val="auto"/>
                      <w:sz w:val="21"/>
                      <w:szCs w:val="21"/>
                      <w:highlight w:val="none"/>
                      <w:lang w:val="en-US" w:eastAsia="zh-CN" w:bidi="ar-SA"/>
                    </w:rPr>
                    <w:t>增产减污、节能减排</w:t>
                  </w:r>
                  <w:r>
                    <w:rPr>
                      <w:rFonts w:hint="eastAsia" w:cs="Times New Roman"/>
                      <w:color w:val="auto"/>
                      <w:sz w:val="21"/>
                      <w:szCs w:val="21"/>
                      <w:highlight w:val="none"/>
                      <w:lang w:val="en-US" w:eastAsia="zh-CN" w:bidi="ar-SA"/>
                    </w:rPr>
                    <w:t>”措施，对原项目尚未落实的环保设施进行整改；8、本项目不属于</w:t>
                  </w:r>
                  <w:r>
                    <w:rPr>
                      <w:rFonts w:hint="default" w:ascii="Times New Roman" w:hAnsi="Times New Roman" w:eastAsia="宋体" w:cs="Times New Roman"/>
                      <w:color w:val="auto"/>
                      <w:sz w:val="21"/>
                      <w:szCs w:val="21"/>
                      <w:highlight w:val="none"/>
                      <w:lang w:val="en-US" w:eastAsia="zh-CN" w:bidi="ar-SA"/>
                    </w:rPr>
                    <w:t>电解铝</w:t>
                  </w:r>
                  <w:r>
                    <w:rPr>
                      <w:rFonts w:hint="eastAsia" w:cs="Times New Roman"/>
                      <w:color w:val="auto"/>
                      <w:sz w:val="21"/>
                      <w:szCs w:val="21"/>
                      <w:highlight w:val="none"/>
                      <w:lang w:val="en-US" w:eastAsia="zh-CN" w:bidi="ar-SA"/>
                    </w:rPr>
                    <w:t>项目。</w:t>
                  </w:r>
                </w:p>
              </w:tc>
              <w:tc>
                <w:tcPr>
                  <w:tcW w:w="580" w:type="dxa"/>
                  <w:noWrap w:val="0"/>
                  <w:vAlign w:val="center"/>
                </w:tcPr>
                <w:p w14:paraId="2F9A0BF2">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ascii="Times New Roman" w:hAnsi="Times New Roman"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符合</w:t>
                  </w:r>
                </w:p>
              </w:tc>
            </w:tr>
            <w:tr w14:paraId="3241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713" w:type="dxa"/>
                  <w:vMerge w:val="continue"/>
                  <w:noWrap w:val="0"/>
                  <w:vAlign w:val="center"/>
                </w:tcPr>
                <w:p w14:paraId="2CF11161">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snapToGrid w:val="0"/>
                      <w:color w:val="auto"/>
                      <w:sz w:val="21"/>
                      <w:szCs w:val="21"/>
                      <w:highlight w:val="none"/>
                      <w:lang w:val="en-US" w:eastAsia="zh-CN"/>
                    </w:rPr>
                  </w:pPr>
                </w:p>
              </w:tc>
              <w:tc>
                <w:tcPr>
                  <w:tcW w:w="4100" w:type="dxa"/>
                  <w:noWrap w:val="0"/>
                  <w:vAlign w:val="center"/>
                </w:tcPr>
                <w:p w14:paraId="3D3524EA">
                  <w:pPr>
                    <w:keepNext w:val="0"/>
                    <w:keepLines w:val="0"/>
                    <w:pageBreakBefore w:val="0"/>
                    <w:suppressLineNumbers w:val="0"/>
                    <w:kinsoku/>
                    <w:wordWrap/>
                    <w:overflowPunct/>
                    <w:bidi w:val="0"/>
                    <w:snapToGrid w:val="0"/>
                    <w:spacing w:before="0" w:beforeAutospacing="0" w:after="0" w:afterAutospacing="0" w:line="240" w:lineRule="auto"/>
                    <w:ind w:left="0" w:leftChars="0" w:right="0"/>
                    <w:jc w:val="center"/>
                    <w:textAlignment w:val="auto"/>
                    <w:rPr>
                      <w:rFonts w:hint="eastAsia" w:ascii="Times New Roman" w:hAnsi="Times New Roman" w:eastAsia="仿宋_GB2312" w:cs="Times New Roman"/>
                      <w:b/>
                      <w:bCs/>
                      <w:color w:val="auto"/>
                      <w:sz w:val="21"/>
                      <w:szCs w:val="21"/>
                      <w:highlight w:val="none"/>
                      <w:lang w:val="en-US" w:eastAsia="zh-CN"/>
                    </w:rPr>
                  </w:pPr>
                  <w:r>
                    <w:rPr>
                      <w:rFonts w:hint="default" w:ascii="Times New Roman" w:eastAsia="宋体"/>
                      <w:b/>
                      <w:bCs/>
                      <w:color w:val="auto"/>
                      <w:sz w:val="21"/>
                      <w:szCs w:val="21"/>
                      <w:highlight w:val="none"/>
                    </w:rPr>
                    <w:t>环境风险防控</w:t>
                  </w:r>
                  <w:r>
                    <w:rPr>
                      <w:rFonts w:hint="eastAsia" w:ascii="Times New Roman" w:eastAsia="宋体"/>
                      <w:b/>
                      <w:bCs/>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化工企业在选址布局及现有企业布局调整时充分考虑与居民区风险防护距离，工业园区及相关企业严格制定应急预案，落实风险防范措施，避免安全事故、污染事故等造成的环境污染。</w:t>
                  </w:r>
                </w:p>
              </w:tc>
              <w:tc>
                <w:tcPr>
                  <w:tcW w:w="2350" w:type="dxa"/>
                  <w:noWrap w:val="0"/>
                  <w:vAlign w:val="center"/>
                </w:tcPr>
                <w:p w14:paraId="364AFDC4">
                  <w:pPr>
                    <w:keepNext w:val="0"/>
                    <w:keepLines w:val="0"/>
                    <w:pageBreakBefore w:val="0"/>
                    <w:suppressLineNumbers w:val="0"/>
                    <w:kinsoku/>
                    <w:wordWrap/>
                    <w:overflowPunct/>
                    <w:bidi w:val="0"/>
                    <w:snapToGrid w:val="0"/>
                    <w:spacing w:before="0" w:beforeAutospacing="0" w:after="0" w:afterAutospacing="0" w:line="240" w:lineRule="auto"/>
                    <w:ind w:left="0" w:leftChars="0" w:right="0"/>
                    <w:jc w:val="both"/>
                    <w:textAlignment w:val="auto"/>
                    <w:rPr>
                      <w:rFonts w:hint="default"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1、本项目属于化工企业；</w:t>
                  </w:r>
                </w:p>
                <w:p w14:paraId="7D4D9DAF">
                  <w:pPr>
                    <w:keepNext w:val="0"/>
                    <w:keepLines w:val="0"/>
                    <w:pageBreakBefore w:val="0"/>
                    <w:suppressLineNumbers w:val="0"/>
                    <w:kinsoku/>
                    <w:wordWrap/>
                    <w:overflowPunct/>
                    <w:bidi w:val="0"/>
                    <w:snapToGrid w:val="0"/>
                    <w:spacing w:before="0" w:beforeAutospacing="0" w:after="0" w:afterAutospacing="0" w:line="240" w:lineRule="auto"/>
                    <w:ind w:left="0" w:leftChars="0" w:right="0"/>
                    <w:jc w:val="both"/>
                    <w:textAlignment w:val="auto"/>
                    <w:rPr>
                      <w:rFonts w:hint="default"/>
                      <w:color w:val="auto"/>
                      <w:highlight w:val="none"/>
                      <w:lang w:val="en-US" w:eastAsia="zh-CN"/>
                    </w:rPr>
                  </w:pPr>
                  <w:r>
                    <w:rPr>
                      <w:rFonts w:hint="eastAsia" w:ascii="Times New Roman" w:hAnsi="Times New Roman" w:cs="Times New Roman"/>
                      <w:color w:val="auto"/>
                      <w:sz w:val="21"/>
                      <w:szCs w:val="21"/>
                      <w:highlight w:val="none"/>
                      <w:lang w:val="en-US" w:eastAsia="zh-CN" w:bidi="ar-SA"/>
                    </w:rPr>
                    <w:t>2、</w:t>
                  </w:r>
                  <w:r>
                    <w:rPr>
                      <w:rFonts w:hint="eastAsia" w:cs="Times New Roman"/>
                      <w:snapToGrid w:val="0"/>
                      <w:color w:val="auto"/>
                      <w:sz w:val="21"/>
                      <w:szCs w:val="21"/>
                      <w:highlight w:val="none"/>
                      <w:lang w:val="en-US" w:eastAsia="zh-CN"/>
                    </w:rPr>
                    <w:t>环评已提出</w:t>
                  </w:r>
                  <w:r>
                    <w:rPr>
                      <w:rFonts w:hint="eastAsia" w:ascii="Times New Roman" w:hAnsi="Times New Roman" w:eastAsia="宋体" w:cs="Times New Roman"/>
                      <w:snapToGrid w:val="0"/>
                      <w:color w:val="auto"/>
                      <w:sz w:val="21"/>
                      <w:szCs w:val="21"/>
                      <w:highlight w:val="none"/>
                      <w:lang w:val="en-US" w:eastAsia="zh-CN"/>
                    </w:rPr>
                    <w:t>按相关要求编制突发环境事件应急预案，并报当地生态环境部门备案。</w:t>
                  </w:r>
                </w:p>
              </w:tc>
              <w:tc>
                <w:tcPr>
                  <w:tcW w:w="580" w:type="dxa"/>
                  <w:noWrap w:val="0"/>
                  <w:vAlign w:val="center"/>
                </w:tcPr>
                <w:p w14:paraId="14A7690B">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符合</w:t>
                  </w:r>
                </w:p>
              </w:tc>
            </w:tr>
            <w:tr w14:paraId="2EB44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713" w:type="dxa"/>
                  <w:vMerge w:val="continue"/>
                  <w:noWrap w:val="0"/>
                  <w:vAlign w:val="center"/>
                </w:tcPr>
                <w:p w14:paraId="76212718">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snapToGrid w:val="0"/>
                      <w:color w:val="auto"/>
                      <w:sz w:val="21"/>
                      <w:szCs w:val="21"/>
                      <w:highlight w:val="none"/>
                      <w:lang w:val="en-US" w:eastAsia="zh-CN"/>
                    </w:rPr>
                  </w:pPr>
                </w:p>
              </w:tc>
              <w:tc>
                <w:tcPr>
                  <w:tcW w:w="4100" w:type="dxa"/>
                  <w:noWrap w:val="0"/>
                  <w:vAlign w:val="center"/>
                </w:tcPr>
                <w:p w14:paraId="6ED1E049">
                  <w:pPr>
                    <w:keepNext w:val="0"/>
                    <w:keepLines w:val="0"/>
                    <w:pageBreakBefore w:val="0"/>
                    <w:suppressLineNumbers w:val="0"/>
                    <w:kinsoku/>
                    <w:wordWrap/>
                    <w:overflowPunct/>
                    <w:bidi w:val="0"/>
                    <w:snapToGrid w:val="0"/>
                    <w:spacing w:before="0" w:beforeAutospacing="0" w:after="0" w:afterAutospacing="0" w:line="240" w:lineRule="auto"/>
                    <w:ind w:left="0" w:leftChars="0" w:right="0"/>
                    <w:jc w:val="center"/>
                    <w:textAlignment w:val="auto"/>
                    <w:rPr>
                      <w:rStyle w:val="79"/>
                      <w:rFonts w:hint="eastAsia" w:ascii="Times New Roman" w:hAnsi="Times New Roman" w:eastAsia="仿宋_GB2312" w:cs="Times New Roman"/>
                      <w:color w:val="auto"/>
                      <w:kern w:val="0"/>
                      <w:sz w:val="21"/>
                      <w:szCs w:val="21"/>
                      <w:highlight w:val="none"/>
                      <w:lang w:eastAsia="zh-CN"/>
                    </w:rPr>
                  </w:pPr>
                  <w:r>
                    <w:rPr>
                      <w:rFonts w:hint="eastAsia" w:ascii="Times New Roman" w:hAnsi="Times New Roman" w:eastAsia="宋体" w:cs="Times New Roman"/>
                      <w:b/>
                      <w:bCs/>
                      <w:color w:val="auto"/>
                      <w:sz w:val="21"/>
                      <w:szCs w:val="21"/>
                      <w:highlight w:val="none"/>
                      <w:lang w:val="en-US" w:eastAsia="zh-CN"/>
                    </w:rPr>
                    <w:t>资源开发效率要求：</w:t>
                  </w:r>
                  <w:r>
                    <w:rPr>
                      <w:rFonts w:hint="eastAsia" w:ascii="Times New Roman" w:hAnsi="Times New Roman" w:eastAsia="宋体" w:cs="Times New Roman"/>
                      <w:color w:val="auto"/>
                      <w:sz w:val="21"/>
                      <w:szCs w:val="21"/>
                      <w:highlight w:val="none"/>
                      <w:lang w:val="en-US" w:eastAsia="zh-CN"/>
                    </w:rPr>
                    <w:t>逐步提高工业聚集区再生水回用率，减少新鲜用水量。</w:t>
                  </w:r>
                </w:p>
              </w:tc>
              <w:tc>
                <w:tcPr>
                  <w:tcW w:w="2350" w:type="dxa"/>
                  <w:noWrap w:val="0"/>
                  <w:vAlign w:val="center"/>
                </w:tcPr>
                <w:p w14:paraId="4296E411">
                  <w:pPr>
                    <w:keepNext w:val="0"/>
                    <w:keepLines w:val="0"/>
                    <w:pageBreakBefore w:val="0"/>
                    <w:suppressLineNumbers w:val="0"/>
                    <w:kinsoku/>
                    <w:wordWrap/>
                    <w:overflowPunct/>
                    <w:bidi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bidi="ar-SA"/>
                    </w:rPr>
                    <w:t>项目生产废水</w:t>
                  </w:r>
                  <w:r>
                    <w:rPr>
                      <w:rFonts w:hint="eastAsia" w:cs="Times New Roman"/>
                      <w:color w:val="auto"/>
                      <w:sz w:val="21"/>
                      <w:szCs w:val="21"/>
                      <w:highlight w:val="none"/>
                      <w:lang w:val="en-US" w:eastAsia="zh-CN" w:bidi="ar-SA"/>
                    </w:rPr>
                    <w:t>产生量不大，经自建污水处理系统处理达标后进入园区污水管网</w:t>
                  </w:r>
                  <w:r>
                    <w:rPr>
                      <w:rFonts w:hint="eastAsia" w:ascii="Times New Roman" w:hAnsi="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新鲜用水量</w:t>
                  </w:r>
                  <w:r>
                    <w:rPr>
                      <w:rFonts w:hint="eastAsia" w:cs="Times New Roman"/>
                      <w:color w:val="auto"/>
                      <w:sz w:val="21"/>
                      <w:szCs w:val="21"/>
                      <w:highlight w:val="none"/>
                      <w:lang w:val="en-US" w:eastAsia="zh-CN"/>
                    </w:rPr>
                    <w:t>不大</w:t>
                  </w:r>
                  <w:r>
                    <w:rPr>
                      <w:rFonts w:hint="default" w:ascii="Times New Roman" w:eastAsia="宋体"/>
                      <w:color w:val="auto"/>
                      <w:sz w:val="21"/>
                      <w:szCs w:val="21"/>
                      <w:highlight w:val="none"/>
                    </w:rPr>
                    <w:t>。</w:t>
                  </w:r>
                </w:p>
              </w:tc>
              <w:tc>
                <w:tcPr>
                  <w:tcW w:w="580" w:type="dxa"/>
                  <w:noWrap w:val="0"/>
                  <w:vAlign w:val="center"/>
                </w:tcPr>
                <w:p w14:paraId="305C1F9C">
                  <w:pPr>
                    <w:keepNext w:val="0"/>
                    <w:keepLines w:val="0"/>
                    <w:pageBreakBefore w:val="0"/>
                    <w:suppressLineNumbers w:val="0"/>
                    <w:kinsoku/>
                    <w:wordWrap/>
                    <w:overflowPunct/>
                    <w:topLinePunct/>
                    <w:bidi w:val="0"/>
                    <w:snapToGrid w:val="0"/>
                    <w:spacing w:before="0" w:beforeAutospacing="0" w:after="0" w:afterAutospacing="0" w:line="240" w:lineRule="auto"/>
                    <w:ind w:left="0" w:leftChars="0" w:right="0"/>
                    <w:jc w:val="center"/>
                    <w:textAlignment w:val="auto"/>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符合</w:t>
                  </w:r>
                </w:p>
              </w:tc>
            </w:tr>
          </w:tbl>
          <w:p w14:paraId="508826EB">
            <w:pPr>
              <w:pStyle w:val="1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rPr>
              <w:t>因此</w:t>
            </w:r>
            <w:r>
              <w:rPr>
                <w:rFonts w:hint="default" w:ascii="Times New Roman" w:hAnsi="Times New Roman" w:cs="Times New Roman"/>
                <w:color w:val="auto"/>
                <w:sz w:val="24"/>
                <w:highlight w:val="none"/>
              </w:rPr>
              <w:t>，本</w:t>
            </w:r>
            <w:r>
              <w:rPr>
                <w:rFonts w:hint="default" w:ascii="Times New Roman" w:hAnsi="Times New Roman" w:eastAsia="宋体" w:cs="Times New Roman"/>
                <w:color w:val="auto"/>
                <w:highlight w:val="none"/>
                <w:lang w:val="en-US" w:eastAsia="zh-CN"/>
              </w:rPr>
              <w:t>项目</w:t>
            </w:r>
            <w:r>
              <w:rPr>
                <w:rFonts w:hint="default" w:ascii="Times New Roman" w:hAnsi="Times New Roman" w:cs="Times New Roman"/>
                <w:color w:val="auto"/>
                <w:sz w:val="24"/>
                <w:highlight w:val="none"/>
              </w:rPr>
              <w:t>建设符合</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昆明市</w:t>
            </w:r>
            <w:r>
              <w:rPr>
                <w:rFonts w:hint="eastAsia" w:ascii="Times New Roman" w:hAnsi="Times New Roman" w:eastAsia="宋体" w:cs="Times New Roman"/>
                <w:color w:val="auto"/>
                <w:sz w:val="24"/>
                <w:highlight w:val="none"/>
                <w:lang w:val="en-US" w:eastAsia="zh-CN"/>
              </w:rPr>
              <w:t>“三线一单”生态环境分区管控实施方案》</w:t>
            </w:r>
            <w:r>
              <w:rPr>
                <w:rFonts w:hint="default" w:ascii="Times New Roman" w:hAnsi="Times New Roman" w:cs="Times New Roman"/>
                <w:color w:val="auto"/>
                <w:sz w:val="24"/>
                <w:highlight w:val="none"/>
              </w:rPr>
              <w:t>的相关要求。</w:t>
            </w:r>
          </w:p>
          <w:p w14:paraId="75A8AED1">
            <w:pPr>
              <w:pStyle w:val="37"/>
              <w:keepNext w:val="0"/>
              <w:keepLines w:val="0"/>
              <w:pageBreakBefore w:val="0"/>
              <w:suppressLineNumbers w:val="0"/>
              <w:kinsoku/>
              <w:wordWrap/>
              <w:overflowPunct/>
              <w:bidi w:val="0"/>
              <w:snapToGrid w:val="0"/>
              <w:spacing w:before="0" w:beforeAutospacing="0" w:after="0" w:afterAutospacing="0"/>
              <w:ind w:left="0" w:leftChars="0" w:right="0"/>
              <w:jc w:val="both"/>
              <w:textAlignment w:val="auto"/>
              <w:rPr>
                <w:rFonts w:hint="default" w:ascii="Times New Roman" w:hAnsi="Times New Roman" w:eastAsia="宋体" w:cs="Times New Roman"/>
                <w:b/>
                <w:bCs/>
                <w:color w:val="auto"/>
                <w:sz w:val="24"/>
                <w:szCs w:val="24"/>
                <w:lang w:val="en-US" w:eastAsia="zh-CN"/>
              </w:rPr>
            </w:pPr>
            <w:r>
              <w:rPr>
                <w:rFonts w:hint="eastAsia" w:hAnsi="Times New Roman"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、与《长江经济带生态环境保护规划》及《关于发布长江经济带发展负面清单指南（试行）的通知》的符合性分析</w:t>
            </w:r>
          </w:p>
          <w:p w14:paraId="47B86BBF">
            <w:pPr>
              <w:pStyle w:val="37"/>
              <w:keepNext w:val="0"/>
              <w:keepLines w:val="0"/>
              <w:pageBreakBefore w:val="0"/>
              <w:suppressLineNumbers w:val="0"/>
              <w:kinsoku/>
              <w:wordWrap/>
              <w:overflowPunct/>
              <w:bidi w:val="0"/>
              <w:snapToGrid w:val="0"/>
              <w:spacing w:before="0" w:beforeAutospacing="0" w:after="0" w:afterAutospacing="0"/>
              <w:ind w:left="0" w:leftChars="0" w:right="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2017年7月18日，国家环境保护部、发展改革委、水利部联合印发了《长江经济带生态环境保护规划》》（环规财〔2017〕88号），2019年1月12日，推动长江经济带发展领导小组办公室以第89号文印发《关于发布长江经济带发展负面清单指南（试行）的通知》。</w:t>
            </w:r>
          </w:p>
          <w:p w14:paraId="5B528D4D">
            <w:pPr>
              <w:pStyle w:val="37"/>
              <w:keepNext w:val="0"/>
              <w:keepLines w:val="0"/>
              <w:pageBreakBefore w:val="0"/>
              <w:suppressLineNumbers w:val="0"/>
              <w:kinsoku/>
              <w:wordWrap/>
              <w:overflowPunct/>
              <w:bidi w:val="0"/>
              <w:snapToGrid w:val="0"/>
              <w:spacing w:before="0" w:beforeAutospacing="0" w:after="0" w:afterAutospacing="0"/>
              <w:ind w:left="0" w:leftChars="0" w:right="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本项目为涂料生产</w:t>
            </w:r>
            <w:r>
              <w:rPr>
                <w:rFonts w:hint="eastAsia" w:hAnsi="Times New Roman" w:cs="Times New Roman"/>
                <w:color w:val="auto"/>
                <w:sz w:val="24"/>
                <w:szCs w:val="24"/>
                <w:lang w:val="en-US" w:eastAsia="zh-CN"/>
              </w:rPr>
              <w:t>扩建</w:t>
            </w:r>
            <w:r>
              <w:rPr>
                <w:rFonts w:hint="default" w:ascii="Times New Roman" w:hAnsi="Times New Roman" w:eastAsia="宋体" w:cs="Times New Roman"/>
                <w:color w:val="auto"/>
                <w:sz w:val="24"/>
                <w:szCs w:val="24"/>
                <w:lang w:val="en-US" w:eastAsia="zh-CN"/>
              </w:rPr>
              <w:t>项目，符合国家产业政策，位于云南省昆明市富民工业园区白石岩——大白坡片区</w:t>
            </w:r>
            <w:r>
              <w:rPr>
                <w:rFonts w:hint="eastAsia" w:hAnsi="Times New Roman" w:cs="Times New Roman"/>
                <w:color w:val="auto"/>
                <w:sz w:val="24"/>
                <w:szCs w:val="24"/>
                <w:lang w:val="en-US" w:eastAsia="zh-CN"/>
              </w:rPr>
              <w:t>哨箐</w:t>
            </w:r>
            <w:r>
              <w:rPr>
                <w:rFonts w:hint="default" w:ascii="Times New Roman" w:hAnsi="Times New Roman" w:eastAsia="宋体" w:cs="Times New Roman"/>
                <w:color w:val="auto"/>
                <w:sz w:val="24"/>
                <w:szCs w:val="24"/>
                <w:lang w:val="en-US" w:eastAsia="zh-CN"/>
              </w:rPr>
              <w:t>组团，其选址不涉及自然保护区、饮用水源保护区、水产种质资源保护区、生态红线、基本农田等环境敏感区域，满足《长江经济带发展负面清单指南》（试行）中的要求。</w:t>
            </w:r>
          </w:p>
          <w:p w14:paraId="1FB5848A">
            <w:pPr>
              <w:pStyle w:val="37"/>
              <w:keepNext w:val="0"/>
              <w:keepLines w:val="0"/>
              <w:pageBreakBefore w:val="0"/>
              <w:suppressLineNumbers w:val="0"/>
              <w:kinsoku/>
              <w:wordWrap/>
              <w:overflowPunct/>
              <w:bidi w:val="0"/>
              <w:snapToGrid w:val="0"/>
              <w:spacing w:before="0" w:beforeAutospacing="0" w:after="0" w:afterAutospacing="0"/>
              <w:ind w:left="0" w:leftChars="0" w:right="0"/>
              <w:jc w:val="both"/>
              <w:textAlignment w:val="auto"/>
              <w:rPr>
                <w:rFonts w:hint="default" w:ascii="Times New Roman" w:hAnsi="Times New Roman" w:eastAsia="宋体" w:cs="Times New Roman"/>
                <w:color w:val="auto"/>
                <w:sz w:val="24"/>
                <w:szCs w:val="24"/>
                <w:lang w:val="en-US" w:eastAsia="zh-CN"/>
              </w:rPr>
            </w:pPr>
            <w:r>
              <w:rPr>
                <w:rFonts w:hint="eastAsia" w:hAnsi="Times New Roman" w:cs="Times New Roman"/>
                <w:color w:val="auto"/>
                <w:sz w:val="24"/>
                <w:szCs w:val="24"/>
                <w:lang w:val="en-US" w:eastAsia="zh-CN"/>
              </w:rPr>
              <w:t>本项目距离螳螂川1.3km，不在</w:t>
            </w:r>
            <w:r>
              <w:rPr>
                <w:rFonts w:hint="default" w:ascii="Times New Roman" w:hAnsi="Times New Roman" w:eastAsia="宋体" w:cs="Times New Roman"/>
                <w:color w:val="auto"/>
                <w:sz w:val="24"/>
                <w:szCs w:val="24"/>
              </w:rPr>
              <w:t>长江干支流1公里范围内</w:t>
            </w:r>
            <w:r>
              <w:rPr>
                <w:rFonts w:hint="eastAsia" w:hAnsi="Times New Roman" w:cs="Times New Roman"/>
                <w:color w:val="auto"/>
                <w:sz w:val="24"/>
                <w:szCs w:val="24"/>
                <w:lang w:eastAsia="zh-CN"/>
              </w:rPr>
              <w:t>，</w:t>
            </w:r>
            <w:r>
              <w:rPr>
                <w:rFonts w:hint="eastAsia" w:hAnsi="Times New Roman" w:cs="Times New Roman"/>
                <w:color w:val="auto"/>
                <w:sz w:val="24"/>
                <w:szCs w:val="24"/>
                <w:lang w:val="en-US" w:eastAsia="zh-CN"/>
              </w:rPr>
              <w:t>且项目的建设符合园区定位，不属于</w:t>
            </w:r>
            <w:r>
              <w:rPr>
                <w:rFonts w:hint="default" w:ascii="Times New Roman" w:hAnsi="Times New Roman" w:eastAsia="宋体" w:cs="Times New Roman"/>
                <w:color w:val="auto"/>
                <w:sz w:val="24"/>
                <w:szCs w:val="24"/>
                <w:lang w:val="en-US" w:eastAsia="zh-CN"/>
              </w:rPr>
              <w:t>《长江经济带发展负面清单指南》（试行）中</w:t>
            </w:r>
            <w:r>
              <w:rPr>
                <w:rFonts w:hint="default" w:ascii="Times New Roman" w:hAnsi="Times New Roman" w:eastAsia="宋体" w:cs="Times New Roman"/>
                <w:color w:val="auto"/>
                <w:sz w:val="24"/>
                <w:szCs w:val="24"/>
              </w:rPr>
              <w:t>“禁止在长江干支流1公里范围内新建、扩建化工园区和化工项目</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禁止新建不符合非煤矿山转型升级有关准入标准的非煤矿山</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禁止在合规园区外新建、扩建钢铁、石化、化工、焦化、建材、有色等高污染项目”、“禁止新建、扩建不符合国家石化、现代煤化工等产业布局规划的项目”、“禁止新建、扩建法律法规和相关政策明令禁止的落后产能项目”</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“禁止新建、扩建不符合国家产能置换要求的严重过剩产能行业的项目”</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禁止建设高毒高残留以及对环境影响大的农药原药生产装置</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禁止列入《云南省城镇人口密集区危险化学品生产企业搬迁改造名单》的搬迁改造企业在原址新建、扩建危险化学品生产项目</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p>
          <w:p w14:paraId="7284E2C0">
            <w:pPr>
              <w:pStyle w:val="37"/>
              <w:keepNext w:val="0"/>
              <w:keepLines w:val="0"/>
              <w:pageBreakBefore w:val="0"/>
              <w:suppressLineNumbers w:val="0"/>
              <w:kinsoku/>
              <w:wordWrap/>
              <w:overflowPunct/>
              <w:bidi w:val="0"/>
              <w:snapToGrid w:val="0"/>
              <w:spacing w:before="0" w:beforeAutospacing="0" w:after="0" w:afterAutospacing="0"/>
              <w:ind w:left="0" w:leftChars="0" w:right="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综上，本项目建设不违反《长江经济带发展负面清单指南》（试行），符合《长江经济带生态环境保护规划》。</w:t>
            </w:r>
          </w:p>
          <w:p w14:paraId="1DEE8F8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3、《云南省长江经济带发展负面清单指南实施细则（试行，2022年版）》的通知</w:t>
            </w:r>
          </w:p>
          <w:p w14:paraId="1538EB1D">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Cs w:val="21"/>
              </w:rPr>
            </w:pPr>
          </w:p>
          <w:p w14:paraId="65C45F6F">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Cs w:val="21"/>
              </w:rPr>
            </w:pPr>
          </w:p>
          <w:p w14:paraId="2644F509">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Cs w:val="21"/>
              </w:rPr>
            </w:pPr>
          </w:p>
          <w:p w14:paraId="7F73F530">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bCs/>
                <w:color w:val="auto"/>
                <w:szCs w:val="21"/>
                <w:lang w:val="en-US" w:eastAsia="zh-CN"/>
              </w:rPr>
              <w:t>1-</w:t>
            </w:r>
            <w:r>
              <w:rPr>
                <w:rFonts w:hint="eastAsia" w:ascii="Times New Roman" w:hAnsi="Times New Roman" w:eastAsia="宋体" w:cs="Times New Roman"/>
                <w:b/>
                <w:bCs/>
                <w:color w:val="auto"/>
                <w:szCs w:val="21"/>
                <w:lang w:val="en-US" w:eastAsia="zh-CN"/>
              </w:rPr>
              <w:t>5</w:t>
            </w:r>
            <w:r>
              <w:rPr>
                <w:rFonts w:hint="default" w:ascii="Times New Roman" w:hAnsi="Times New Roman" w:eastAsia="宋体" w:cs="Times New Roman"/>
                <w:b/>
                <w:bCs/>
                <w:color w:val="auto"/>
                <w:szCs w:val="21"/>
              </w:rPr>
              <w:t>《云南省长江经济带发展负面清单指南实施细则（试行）</w:t>
            </w:r>
            <w:r>
              <w:rPr>
                <w:rFonts w:hint="default" w:ascii="Times New Roman" w:hAnsi="Times New Roman" w:eastAsia="宋体" w:cs="Times New Roman"/>
                <w:b/>
                <w:bCs/>
                <w:color w:val="auto"/>
                <w:szCs w:val="21"/>
                <w:lang w:val="en-US" w:eastAsia="zh-CN"/>
              </w:rPr>
              <w:t>2022年版</w:t>
            </w:r>
            <w:r>
              <w:rPr>
                <w:rFonts w:hint="default" w:ascii="Times New Roman" w:hAnsi="Times New Roman" w:eastAsia="宋体" w:cs="Times New Roman"/>
                <w:b/>
                <w:bCs/>
                <w:color w:val="auto"/>
                <w:szCs w:val="21"/>
              </w:rPr>
              <w:t>》符合性分析</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4704"/>
              <w:gridCol w:w="1774"/>
              <w:gridCol w:w="732"/>
            </w:tblGrid>
            <w:tr w14:paraId="0D402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109E78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shd w:val="clear" w:color="auto" w:fill="FFFFFF"/>
                    </w:rPr>
                  </w:pPr>
                  <w:r>
                    <w:rPr>
                      <w:rFonts w:hint="default" w:ascii="Times New Roman" w:hAnsi="Times New Roman" w:eastAsia="宋体" w:cs="Times New Roman"/>
                      <w:b/>
                      <w:bCs/>
                      <w:color w:val="auto"/>
                      <w:sz w:val="21"/>
                      <w:szCs w:val="21"/>
                      <w:shd w:val="clear" w:color="auto" w:fill="FFFFFF"/>
                    </w:rPr>
                    <w:t>序号</w:t>
                  </w:r>
                </w:p>
              </w:tc>
              <w:tc>
                <w:tcPr>
                  <w:tcW w:w="3039" w:type="pct"/>
                  <w:noWrap w:val="0"/>
                  <w:vAlign w:val="center"/>
                </w:tcPr>
                <w:p w14:paraId="391E7D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shd w:val="clear" w:color="auto" w:fill="FFFFFF"/>
                    </w:rPr>
                  </w:pPr>
                  <w:r>
                    <w:rPr>
                      <w:rFonts w:hint="default" w:ascii="Times New Roman" w:hAnsi="Times New Roman" w:eastAsia="宋体" w:cs="Times New Roman"/>
                      <w:b/>
                      <w:bCs/>
                      <w:color w:val="auto"/>
                      <w:sz w:val="21"/>
                      <w:szCs w:val="21"/>
                      <w:shd w:val="clear" w:color="auto" w:fill="FFFFFF"/>
                    </w:rPr>
                    <w:t>规范要求</w:t>
                  </w:r>
                </w:p>
              </w:tc>
              <w:tc>
                <w:tcPr>
                  <w:tcW w:w="1146" w:type="pct"/>
                  <w:noWrap w:val="0"/>
                  <w:vAlign w:val="center"/>
                </w:tcPr>
                <w:p w14:paraId="7DDBE9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项目实际情况</w:t>
                  </w:r>
                </w:p>
              </w:tc>
              <w:tc>
                <w:tcPr>
                  <w:tcW w:w="473" w:type="pct"/>
                  <w:noWrap w:val="0"/>
                  <w:vAlign w:val="center"/>
                </w:tcPr>
                <w:p w14:paraId="2ED45B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相符性</w:t>
                  </w:r>
                </w:p>
              </w:tc>
            </w:tr>
            <w:tr w14:paraId="2545D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16AACD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w:t>
                  </w:r>
                </w:p>
              </w:tc>
              <w:tc>
                <w:tcPr>
                  <w:tcW w:w="3039" w:type="pct"/>
                  <w:noWrap w:val="0"/>
                  <w:vAlign w:val="center"/>
                </w:tcPr>
                <w:p w14:paraId="67CEBC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shd w:val="clear" w:color="auto" w:fill="FFFFFF"/>
                    </w:rPr>
                    <w:t>禁止一切不符合主体功能定位的投资建设项目，严禁任意改变用途，因国家重大战略资源勘查需要，在不影响主体功能定位的前提下，经依法批准后予以安排勘查项目。</w:t>
                  </w:r>
                </w:p>
              </w:tc>
              <w:tc>
                <w:tcPr>
                  <w:tcW w:w="1146" w:type="pct"/>
                  <w:noWrap w:val="0"/>
                  <w:vAlign w:val="center"/>
                </w:tcPr>
                <w:p w14:paraId="790767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w:t>
                  </w:r>
                  <w:r>
                    <w:rPr>
                      <w:rFonts w:hint="eastAsia" w:ascii="Times New Roman" w:hAnsi="Times New Roman" w:eastAsia="宋体" w:cs="Times New Roman"/>
                      <w:color w:val="auto"/>
                      <w:sz w:val="21"/>
                      <w:szCs w:val="21"/>
                      <w:lang w:val="en-US" w:eastAsia="zh-CN"/>
                    </w:rPr>
                    <w:t>位于云南省昆明市富民工业园区白石岩——大白坡片区哨箐组团，符合工业园区定位，项目用地为二类工业用地，不涉及改变土地用途。</w:t>
                  </w:r>
                </w:p>
              </w:tc>
              <w:tc>
                <w:tcPr>
                  <w:tcW w:w="473" w:type="pct"/>
                  <w:noWrap w:val="0"/>
                  <w:vAlign w:val="center"/>
                </w:tcPr>
                <w:p w14:paraId="66F53C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5BAF9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54EE0A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2</w:t>
                  </w:r>
                </w:p>
              </w:tc>
              <w:tc>
                <w:tcPr>
                  <w:tcW w:w="3039" w:type="pct"/>
                  <w:noWrap w:val="0"/>
                  <w:vAlign w:val="center"/>
                </w:tcPr>
                <w:p w14:paraId="4C0B41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shd w:val="clear" w:color="auto" w:fill="FFFFFF"/>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1146" w:type="pct"/>
                  <w:noWrap w:val="0"/>
                  <w:vAlign w:val="center"/>
                </w:tcPr>
                <w:p w14:paraId="25C138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本项目不属于</w:t>
                  </w:r>
                  <w:r>
                    <w:rPr>
                      <w:rFonts w:hint="default" w:ascii="Times New Roman" w:hAnsi="Times New Roman" w:eastAsia="宋体" w:cs="Times New Roman"/>
                      <w:color w:val="auto"/>
                      <w:sz w:val="21"/>
                      <w:szCs w:val="21"/>
                      <w:shd w:val="clear" w:color="auto" w:fill="FFFFFF"/>
                    </w:rPr>
                    <w:t>《长江岸线保护和开发利用总体规划》划定的岸线保护区内、《全国重要江河湖泊水功能区划》划定的河段保护区、保留区内</w:t>
                  </w:r>
                  <w:r>
                    <w:rPr>
                      <w:rFonts w:hint="default" w:ascii="Times New Roman" w:hAnsi="Times New Roman" w:eastAsia="宋体" w:cs="Times New Roman"/>
                      <w:color w:val="auto"/>
                      <w:sz w:val="21"/>
                      <w:szCs w:val="21"/>
                      <w:shd w:val="clear" w:color="auto" w:fill="FFFFFF"/>
                      <w:lang w:eastAsia="zh-CN"/>
                    </w:rPr>
                    <w:t>。</w:t>
                  </w:r>
                </w:p>
              </w:tc>
              <w:tc>
                <w:tcPr>
                  <w:tcW w:w="473" w:type="pct"/>
                  <w:noWrap w:val="0"/>
                  <w:vAlign w:val="center"/>
                </w:tcPr>
                <w:p w14:paraId="12F969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58F57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6C079E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3</w:t>
                  </w:r>
                </w:p>
              </w:tc>
              <w:tc>
                <w:tcPr>
                  <w:tcW w:w="3039" w:type="pct"/>
                  <w:noWrap w:val="0"/>
                  <w:vAlign w:val="center"/>
                </w:tcPr>
                <w:p w14:paraId="25F99F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shd w:val="clear" w:color="auto" w:fill="FFFFFF"/>
                    </w:rPr>
                    <w:t>禁止在生态保护红线范围内投资建设除国家重大战略资源勘查项目、生态保护修复和环境治理项目、重大基础设施项目、军事国防项目以及农牧民基本生产生活等必要的民生项目以外的项目。生态保护红线原则上按禁止开发区域的要求进行管理</w:t>
                  </w:r>
                  <w:r>
                    <w:rPr>
                      <w:rFonts w:hint="default" w:ascii="Times New Roman" w:hAnsi="Times New Roman" w:eastAsia="宋体" w:cs="Times New Roman"/>
                      <w:color w:val="auto"/>
                      <w:sz w:val="21"/>
                      <w:szCs w:val="21"/>
                      <w:shd w:val="clear" w:color="auto" w:fill="FFFFFF"/>
                      <w:lang w:eastAsia="zh-CN"/>
                    </w:rPr>
                    <w:t>。</w:t>
                  </w:r>
                </w:p>
              </w:tc>
              <w:tc>
                <w:tcPr>
                  <w:tcW w:w="1146" w:type="pct"/>
                  <w:noWrap w:val="0"/>
                  <w:vAlign w:val="center"/>
                </w:tcPr>
                <w:p w14:paraId="44E007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z w:val="21"/>
                      <w:szCs w:val="21"/>
                    </w:rPr>
                    <w:t>用地不涉及</w:t>
                  </w:r>
                  <w:r>
                    <w:rPr>
                      <w:rFonts w:hint="default" w:ascii="Times New Roman" w:hAnsi="Times New Roman" w:eastAsia="宋体" w:cs="Times New Roman"/>
                      <w:color w:val="auto"/>
                      <w:sz w:val="21"/>
                      <w:szCs w:val="21"/>
                      <w:lang w:eastAsia="zh-CN"/>
                    </w:rPr>
                    <w:t>昆明市</w:t>
                  </w:r>
                  <w:r>
                    <w:rPr>
                      <w:rFonts w:hint="default" w:ascii="Times New Roman" w:hAnsi="Times New Roman" w:eastAsia="宋体" w:cs="Times New Roman"/>
                      <w:color w:val="auto"/>
                      <w:sz w:val="21"/>
                      <w:szCs w:val="21"/>
                    </w:rPr>
                    <w:t>生态保护红线</w:t>
                  </w:r>
                  <w:r>
                    <w:rPr>
                      <w:rFonts w:hint="default" w:ascii="Times New Roman" w:hAnsi="Times New Roman" w:eastAsia="宋体" w:cs="Times New Roman"/>
                      <w:color w:val="auto"/>
                      <w:sz w:val="21"/>
                      <w:szCs w:val="21"/>
                      <w:lang w:eastAsia="zh-CN"/>
                    </w:rPr>
                    <w:t>。</w:t>
                  </w:r>
                </w:p>
              </w:tc>
              <w:tc>
                <w:tcPr>
                  <w:tcW w:w="473" w:type="pct"/>
                  <w:noWrap w:val="0"/>
                  <w:vAlign w:val="center"/>
                </w:tcPr>
                <w:p w14:paraId="0B921C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675B6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7082CD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4</w:t>
                  </w:r>
                </w:p>
              </w:tc>
              <w:tc>
                <w:tcPr>
                  <w:tcW w:w="3039" w:type="pct"/>
                  <w:noWrap w:val="0"/>
                  <w:vAlign w:val="center"/>
                </w:tcPr>
                <w:p w14:paraId="5AA16A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shd w:val="clear" w:color="auto" w:fill="FFFFFF"/>
                    </w:rPr>
                    <w:t>禁止在永久基本农田范围内投资建设除国家重大战略资源勘查项目、生态保护修复和环境治理项目、重大基础设施项目、军事国防项目以及农牧民基本生产生活等必要的民生项目以外的项目，重大建设项目选址确实难以避让永久基本农田的，需依法依规办理农用地转用和土地征收，并按照“数量不减、质量不降、布局稳定”的要求进行补划和法定程序修改相应的土地利用总体规划</w:t>
                  </w:r>
                  <w:r>
                    <w:rPr>
                      <w:rFonts w:hint="default" w:ascii="Times New Roman" w:hAnsi="Times New Roman" w:eastAsia="宋体" w:cs="Times New Roman"/>
                      <w:color w:val="auto"/>
                      <w:sz w:val="21"/>
                      <w:szCs w:val="21"/>
                      <w:shd w:val="clear" w:color="auto" w:fill="FFFFFF"/>
                      <w:lang w:eastAsia="zh-CN"/>
                    </w:rPr>
                    <w:t>。</w:t>
                  </w:r>
                </w:p>
              </w:tc>
              <w:tc>
                <w:tcPr>
                  <w:tcW w:w="1146" w:type="pct"/>
                  <w:noWrap w:val="0"/>
                  <w:vAlign w:val="center"/>
                </w:tcPr>
                <w:p w14:paraId="00DCAD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本项目不占用基本农田</w:t>
                  </w:r>
                  <w:r>
                    <w:rPr>
                      <w:rFonts w:hint="default" w:ascii="Times New Roman" w:hAnsi="Times New Roman" w:eastAsia="宋体" w:cs="Times New Roman"/>
                      <w:color w:val="auto"/>
                      <w:sz w:val="21"/>
                      <w:szCs w:val="21"/>
                      <w:lang w:eastAsia="zh-CN"/>
                    </w:rPr>
                    <w:t>。</w:t>
                  </w:r>
                </w:p>
              </w:tc>
              <w:tc>
                <w:tcPr>
                  <w:tcW w:w="473" w:type="pct"/>
                  <w:noWrap w:val="0"/>
                  <w:vAlign w:val="center"/>
                </w:tcPr>
                <w:p w14:paraId="5E064A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342F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39B368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5</w:t>
                  </w:r>
                </w:p>
              </w:tc>
              <w:tc>
                <w:tcPr>
                  <w:tcW w:w="3039" w:type="pct"/>
                  <w:noWrap w:val="0"/>
                  <w:vAlign w:val="center"/>
                </w:tcPr>
                <w:p w14:paraId="1A3723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shd w:val="clear" w:color="auto" w:fill="FFFFFF"/>
                    </w:rPr>
                    <w:t>禁止擅自占用和调整已经划定的永久基本农田特别是城市周边永久基本农田，不得多预留永久基本农田为建设占用留有空间，严禁通过擅自调整县乡土地利用总体规划规避占用永久基本农田的审批，严禁未经审批违法违规占用。禁止在永久基本农田范围内建窑、建房、建坟、挖沙、采石、采矿、取土、堆放固体废弃物或者进行其他破坏永久基本农田的活动；禁止任何单位和个人破坏永久基本农田耕作层；禁止任何单位和个人闲置、荒芜永久基本农田。禁止以设施农用地为名违规占用永久基本农田建设休闲旅游、仓储厂房等设施，坚决防止永久基本农田“非农化”。</w:t>
                  </w:r>
                </w:p>
              </w:tc>
              <w:tc>
                <w:tcPr>
                  <w:tcW w:w="1146" w:type="pct"/>
                  <w:noWrap w:val="0"/>
                  <w:vAlign w:val="center"/>
                </w:tcPr>
                <w:p w14:paraId="02BB78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本项目不占用基本农田</w:t>
                  </w:r>
                  <w:r>
                    <w:rPr>
                      <w:rFonts w:hint="default" w:ascii="Times New Roman" w:hAnsi="Times New Roman" w:eastAsia="宋体" w:cs="Times New Roman"/>
                      <w:color w:val="auto"/>
                      <w:sz w:val="21"/>
                      <w:szCs w:val="21"/>
                      <w:lang w:eastAsia="zh-CN"/>
                    </w:rPr>
                    <w:t>。</w:t>
                  </w:r>
                </w:p>
              </w:tc>
              <w:tc>
                <w:tcPr>
                  <w:tcW w:w="473" w:type="pct"/>
                  <w:noWrap w:val="0"/>
                  <w:vAlign w:val="center"/>
                </w:tcPr>
                <w:p w14:paraId="452101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31004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2B37A5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6</w:t>
                  </w:r>
                </w:p>
              </w:tc>
              <w:tc>
                <w:tcPr>
                  <w:tcW w:w="3039" w:type="pct"/>
                  <w:noWrap w:val="0"/>
                  <w:vAlign w:val="center"/>
                </w:tcPr>
                <w:p w14:paraId="269315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shd w:val="clear" w:color="auto" w:fill="FFFFFF"/>
                    </w:rPr>
                    <w:t>禁止在金沙江、长江一级支流建设除党中央、国务院、国家投资主管部门、省级有关部门批复同意以外的过江基础设施项目</w:t>
                  </w:r>
                  <w:r>
                    <w:rPr>
                      <w:rFonts w:hint="default" w:ascii="Times New Roman" w:hAnsi="Times New Roman" w:eastAsia="宋体" w:cs="Times New Roman"/>
                      <w:color w:val="auto"/>
                      <w:sz w:val="21"/>
                      <w:szCs w:val="21"/>
                      <w:shd w:val="clear" w:color="auto" w:fill="FFFFFF"/>
                      <w:lang w:eastAsia="zh-CN"/>
                    </w:rPr>
                    <w:t>。</w:t>
                  </w:r>
                </w:p>
              </w:tc>
              <w:tc>
                <w:tcPr>
                  <w:tcW w:w="1146" w:type="pct"/>
                  <w:noWrap w:val="0"/>
                  <w:vAlign w:val="center"/>
                </w:tcPr>
                <w:p w14:paraId="723BE9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本项目不属于过江基础设施项目</w:t>
                  </w:r>
                  <w:r>
                    <w:rPr>
                      <w:rFonts w:hint="default" w:ascii="Times New Roman" w:hAnsi="Times New Roman" w:eastAsia="宋体" w:cs="Times New Roman"/>
                      <w:color w:val="auto"/>
                      <w:sz w:val="21"/>
                      <w:szCs w:val="21"/>
                      <w:lang w:eastAsia="zh-CN"/>
                    </w:rPr>
                    <w:t>。</w:t>
                  </w:r>
                </w:p>
              </w:tc>
              <w:tc>
                <w:tcPr>
                  <w:tcW w:w="473" w:type="pct"/>
                  <w:noWrap w:val="0"/>
                  <w:vAlign w:val="center"/>
                </w:tcPr>
                <w:p w14:paraId="11FF72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59BAD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55498E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7</w:t>
                  </w:r>
                </w:p>
              </w:tc>
              <w:tc>
                <w:tcPr>
                  <w:tcW w:w="3039" w:type="pct"/>
                  <w:noWrap w:val="0"/>
                  <w:vAlign w:val="center"/>
                </w:tcPr>
                <w:p w14:paraId="10B913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shd w:val="clear" w:color="auto" w:fill="FFFFFF"/>
                    </w:rPr>
                    <w:t>禁止在自然保护区核心区、缓冲区建设任何生产设施。禁止在自然保护区的实验区内建设污染环境、破坏资源或者景观的生产设施和污染物排放超过国家和地方规定的污染物排放标准的其他项目。禁止在自然保护区内进行砍伐、放牧、狩猎、捕捞、采药、开垦、烧荒、开矿、采石、挖沙等活动，法律、行政法规另有规定的除外</w:t>
                  </w:r>
                  <w:r>
                    <w:rPr>
                      <w:rFonts w:hint="default" w:ascii="Times New Roman" w:hAnsi="Times New Roman" w:eastAsia="宋体" w:cs="Times New Roman"/>
                      <w:color w:val="auto"/>
                      <w:sz w:val="21"/>
                      <w:szCs w:val="21"/>
                      <w:shd w:val="clear" w:color="auto" w:fill="FFFFFF"/>
                      <w:lang w:eastAsia="zh-CN"/>
                    </w:rPr>
                    <w:t>。</w:t>
                  </w:r>
                </w:p>
              </w:tc>
              <w:tc>
                <w:tcPr>
                  <w:tcW w:w="1146" w:type="pct"/>
                  <w:noWrap w:val="0"/>
                  <w:vAlign w:val="center"/>
                </w:tcPr>
                <w:p w14:paraId="0D764F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本项目不涉及自然保护区</w:t>
                  </w:r>
                  <w:r>
                    <w:rPr>
                      <w:rFonts w:hint="default" w:ascii="Times New Roman" w:hAnsi="Times New Roman" w:eastAsia="宋体" w:cs="Times New Roman"/>
                      <w:color w:val="auto"/>
                      <w:sz w:val="21"/>
                      <w:szCs w:val="21"/>
                      <w:lang w:eastAsia="zh-CN"/>
                    </w:rPr>
                    <w:t>。</w:t>
                  </w:r>
                </w:p>
              </w:tc>
              <w:tc>
                <w:tcPr>
                  <w:tcW w:w="473" w:type="pct"/>
                  <w:noWrap w:val="0"/>
                  <w:vAlign w:val="center"/>
                </w:tcPr>
                <w:p w14:paraId="654254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5C8D1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14A4F2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8</w:t>
                  </w:r>
                </w:p>
              </w:tc>
              <w:tc>
                <w:tcPr>
                  <w:tcW w:w="3039" w:type="pct"/>
                  <w:noWrap w:val="0"/>
                  <w:vAlign w:val="center"/>
                </w:tcPr>
                <w:p w14:paraId="27D5BC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shd w:val="clear" w:color="auto" w:fill="FFFFFF"/>
                    </w:rPr>
                    <w:t>禁止风景名胜区规划未经批准前或者违反经批准的风景名胜区规划进行各类建设活动。禁止在风景名胜区内设立各类开发区和在核心景区内投资建设宾馆、招待所、培训中心、疗养院以及与风景名胜资源保护无关的其他建筑物。禁止在风景名胜区内进行开山、采石、开矿、开荒、修坟立碑等破坏景观、植被和地形地貌的活动；禁止修建储存爆炸性、易燃性、放射性、毒害性、腐蚀性物品的设施</w:t>
                  </w:r>
                  <w:r>
                    <w:rPr>
                      <w:rFonts w:hint="default" w:ascii="Times New Roman" w:hAnsi="Times New Roman" w:eastAsia="宋体" w:cs="Times New Roman"/>
                      <w:color w:val="auto"/>
                      <w:sz w:val="21"/>
                      <w:szCs w:val="21"/>
                      <w:shd w:val="clear" w:color="auto" w:fill="FFFFFF"/>
                      <w:lang w:eastAsia="zh-CN"/>
                    </w:rPr>
                    <w:t>。</w:t>
                  </w:r>
                </w:p>
              </w:tc>
              <w:tc>
                <w:tcPr>
                  <w:tcW w:w="1146" w:type="pct"/>
                  <w:noWrap w:val="0"/>
                  <w:vAlign w:val="center"/>
                </w:tcPr>
                <w:p w14:paraId="06A855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本项目不涉及风景名胜区</w:t>
                  </w:r>
                  <w:r>
                    <w:rPr>
                      <w:rFonts w:hint="default" w:ascii="Times New Roman" w:hAnsi="Times New Roman" w:eastAsia="宋体" w:cs="Times New Roman"/>
                      <w:color w:val="auto"/>
                      <w:sz w:val="21"/>
                      <w:szCs w:val="21"/>
                      <w:lang w:eastAsia="zh-CN"/>
                    </w:rPr>
                    <w:t>。</w:t>
                  </w:r>
                </w:p>
              </w:tc>
              <w:tc>
                <w:tcPr>
                  <w:tcW w:w="473" w:type="pct"/>
                  <w:noWrap w:val="0"/>
                  <w:vAlign w:val="center"/>
                </w:tcPr>
                <w:p w14:paraId="2B0D39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5DBD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4D425A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9</w:t>
                  </w:r>
                </w:p>
              </w:tc>
              <w:tc>
                <w:tcPr>
                  <w:tcW w:w="3039" w:type="pct"/>
                  <w:noWrap w:val="0"/>
                  <w:vAlign w:val="center"/>
                </w:tcPr>
                <w:p w14:paraId="0C05E4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shd w:val="clear" w:color="auto" w:fill="FFFFFF"/>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r>
                    <w:rPr>
                      <w:rFonts w:hint="default" w:ascii="Times New Roman" w:hAnsi="Times New Roman" w:eastAsia="宋体" w:cs="Times New Roman"/>
                      <w:color w:val="auto"/>
                      <w:sz w:val="21"/>
                      <w:szCs w:val="21"/>
                      <w:shd w:val="clear" w:color="auto" w:fill="FFFFFF"/>
                      <w:lang w:eastAsia="zh-CN"/>
                    </w:rPr>
                    <w:t>。</w:t>
                  </w:r>
                </w:p>
              </w:tc>
              <w:tc>
                <w:tcPr>
                  <w:tcW w:w="1146" w:type="pct"/>
                  <w:noWrap w:val="0"/>
                  <w:vAlign w:val="center"/>
                </w:tcPr>
                <w:p w14:paraId="1B8DE3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本项目不属于</w:t>
                  </w:r>
                  <w:r>
                    <w:rPr>
                      <w:rFonts w:hint="default" w:ascii="Times New Roman" w:hAnsi="Times New Roman" w:eastAsia="宋体" w:cs="Times New Roman"/>
                      <w:color w:val="auto"/>
                      <w:sz w:val="21"/>
                      <w:szCs w:val="21"/>
                      <w:shd w:val="clear" w:color="auto" w:fill="FFFFFF"/>
                    </w:rPr>
                    <w:t>饮用水水源一级、二级保护区的岸线和河段范围</w:t>
                  </w:r>
                  <w:r>
                    <w:rPr>
                      <w:rFonts w:hint="default" w:ascii="Times New Roman" w:hAnsi="Times New Roman" w:eastAsia="宋体" w:cs="Times New Roman"/>
                      <w:color w:val="auto"/>
                      <w:sz w:val="21"/>
                      <w:szCs w:val="21"/>
                      <w:shd w:val="clear" w:color="auto" w:fill="FFFFFF"/>
                      <w:lang w:eastAsia="zh-CN"/>
                    </w:rPr>
                    <w:t>。</w:t>
                  </w:r>
                </w:p>
              </w:tc>
              <w:tc>
                <w:tcPr>
                  <w:tcW w:w="473" w:type="pct"/>
                  <w:noWrap w:val="0"/>
                  <w:vAlign w:val="center"/>
                </w:tcPr>
                <w:p w14:paraId="1C8F83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2C18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33E467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10</w:t>
                  </w:r>
                </w:p>
              </w:tc>
              <w:tc>
                <w:tcPr>
                  <w:tcW w:w="3039" w:type="pct"/>
                  <w:noWrap w:val="0"/>
                  <w:vAlign w:val="center"/>
                </w:tcPr>
                <w:p w14:paraId="4F9D75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shd w:val="clear" w:color="auto" w:fill="FFFFFF"/>
                    </w:rPr>
                    <w:t>禁止在水产种质资源保护区的岸线和河段范围内新建排污口，以及围湖造田、围湖造地或围垦河道等工程。禁止在国家湿地公园范围内从事房地产、度假村、高尔夫球场、风力发电、光伏发电等任何不符合主体功能定位的建设项目和开发活动；禁止开（围）垦、填埋或者排干湿地；禁止截断湿地水源、挖沙、采矿、引入外来物种；禁止擅自放牧、捕捞、取土、取水、排污、放生；禁止其他破坏湿地及其生态功能的活动</w:t>
                  </w:r>
                  <w:r>
                    <w:rPr>
                      <w:rFonts w:hint="default" w:ascii="Times New Roman" w:hAnsi="Times New Roman" w:eastAsia="宋体" w:cs="Times New Roman"/>
                      <w:color w:val="auto"/>
                      <w:sz w:val="21"/>
                      <w:szCs w:val="21"/>
                      <w:shd w:val="clear" w:color="auto" w:fill="FFFFFF"/>
                      <w:lang w:eastAsia="zh-CN"/>
                    </w:rPr>
                    <w:t>。</w:t>
                  </w:r>
                </w:p>
              </w:tc>
              <w:tc>
                <w:tcPr>
                  <w:tcW w:w="1146" w:type="pct"/>
                  <w:noWrap w:val="0"/>
                  <w:vAlign w:val="center"/>
                </w:tcPr>
                <w:p w14:paraId="5BF72A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本项目不属于</w:t>
                  </w:r>
                  <w:r>
                    <w:rPr>
                      <w:rFonts w:hint="default" w:ascii="Times New Roman" w:hAnsi="Times New Roman" w:eastAsia="宋体" w:cs="Times New Roman"/>
                      <w:color w:val="auto"/>
                      <w:sz w:val="21"/>
                      <w:szCs w:val="21"/>
                      <w:shd w:val="clear" w:color="auto" w:fill="FFFFFF"/>
                    </w:rPr>
                    <w:t>水产种质资源保护区的岸线和河段范围、国家湿地公园范围，</w:t>
                  </w:r>
                  <w:r>
                    <w:rPr>
                      <w:rFonts w:hint="default" w:ascii="Times New Roman" w:hAnsi="Times New Roman" w:eastAsia="宋体" w:cs="Times New Roman"/>
                      <w:color w:val="auto"/>
                      <w:sz w:val="21"/>
                      <w:szCs w:val="21"/>
                    </w:rPr>
                    <w:t>本项目不属于</w:t>
                  </w:r>
                  <w:r>
                    <w:rPr>
                      <w:rFonts w:hint="default" w:ascii="Times New Roman" w:hAnsi="Times New Roman" w:eastAsia="宋体" w:cs="Times New Roman"/>
                      <w:color w:val="auto"/>
                      <w:sz w:val="21"/>
                      <w:szCs w:val="21"/>
                      <w:shd w:val="clear" w:color="auto" w:fill="FFFFFF"/>
                    </w:rPr>
                    <w:t>破坏湿地及其生态功能的活动</w:t>
                  </w:r>
                  <w:r>
                    <w:rPr>
                      <w:rFonts w:hint="default" w:ascii="Times New Roman" w:hAnsi="Times New Roman" w:eastAsia="宋体" w:cs="Times New Roman"/>
                      <w:color w:val="auto"/>
                      <w:sz w:val="21"/>
                      <w:szCs w:val="21"/>
                      <w:shd w:val="clear" w:color="auto" w:fill="FFFFFF"/>
                      <w:lang w:eastAsia="zh-CN"/>
                    </w:rPr>
                    <w:t>。</w:t>
                  </w:r>
                </w:p>
              </w:tc>
              <w:tc>
                <w:tcPr>
                  <w:tcW w:w="473" w:type="pct"/>
                  <w:noWrap w:val="0"/>
                  <w:vAlign w:val="center"/>
                </w:tcPr>
                <w:p w14:paraId="75B847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6CD42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03ECC8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11</w:t>
                  </w:r>
                </w:p>
              </w:tc>
              <w:tc>
                <w:tcPr>
                  <w:tcW w:w="3039" w:type="pct"/>
                  <w:noWrap w:val="0"/>
                  <w:vAlign w:val="center"/>
                </w:tcPr>
                <w:p w14:paraId="66D84F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shd w:val="clear" w:color="auto" w:fill="FFFFFF"/>
                    </w:rPr>
                    <w:t>禁止在金沙江、长江一级支流岸线边界1公里范围内新建、扩建化工园区和化工项目。新建化工园区充分留足与周边城镇未来扩张发展的安全距离，立足于生态工业园区建设方向，推广绿色化学和绿色化工发展模式。化工园区设立及园区产业发展规划由省级业务主管部门牵头组织专家论证后审定</w:t>
                  </w:r>
                  <w:r>
                    <w:rPr>
                      <w:rFonts w:hint="default" w:ascii="Times New Roman" w:hAnsi="Times New Roman" w:eastAsia="宋体" w:cs="Times New Roman"/>
                      <w:color w:val="auto"/>
                      <w:sz w:val="21"/>
                      <w:szCs w:val="21"/>
                      <w:shd w:val="clear" w:color="auto" w:fill="FFFFFF"/>
                      <w:lang w:eastAsia="zh-CN"/>
                    </w:rPr>
                    <w:t>。</w:t>
                  </w:r>
                </w:p>
              </w:tc>
              <w:tc>
                <w:tcPr>
                  <w:tcW w:w="1146" w:type="pct"/>
                  <w:noWrap w:val="0"/>
                  <w:vAlign w:val="center"/>
                </w:tcPr>
                <w:p w14:paraId="0733D4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属于</w:t>
                  </w:r>
                  <w:r>
                    <w:rPr>
                      <w:rFonts w:hint="default" w:ascii="Times New Roman" w:hAnsi="Times New Roman" w:eastAsia="宋体" w:cs="Times New Roman"/>
                      <w:color w:val="auto"/>
                      <w:sz w:val="21"/>
                      <w:szCs w:val="21"/>
                      <w:shd w:val="clear" w:color="auto" w:fill="FFFFFF"/>
                    </w:rPr>
                    <w:t>化工项目</w:t>
                  </w:r>
                  <w:r>
                    <w:rPr>
                      <w:rFonts w:hint="eastAsia" w:ascii="Times New Roman" w:hAnsi="Times New Roman" w:eastAsia="宋体" w:cs="Times New Roman"/>
                      <w:color w:val="auto"/>
                      <w:sz w:val="21"/>
                      <w:szCs w:val="21"/>
                      <w:shd w:val="clear" w:color="auto" w:fill="FFFFFF"/>
                      <w:lang w:eastAsia="zh-CN"/>
                    </w:rPr>
                    <w:t>，</w:t>
                  </w:r>
                  <w:r>
                    <w:rPr>
                      <w:rFonts w:hint="eastAsia" w:ascii="Times New Roman" w:hAnsi="Times New Roman" w:eastAsia="宋体" w:cs="Times New Roman"/>
                      <w:color w:val="auto"/>
                      <w:sz w:val="21"/>
                      <w:szCs w:val="21"/>
                      <w:shd w:val="clear" w:color="auto" w:fill="FFFFFF"/>
                      <w:lang w:val="en-US" w:eastAsia="zh-CN"/>
                    </w:rPr>
                    <w:t>但距离地表水螳螂川1.3km，不在一公里范围内</w:t>
                  </w:r>
                  <w:r>
                    <w:rPr>
                      <w:rFonts w:hint="default" w:ascii="Times New Roman" w:hAnsi="Times New Roman" w:eastAsia="宋体" w:cs="Times New Roman"/>
                      <w:color w:val="auto"/>
                      <w:sz w:val="21"/>
                      <w:szCs w:val="21"/>
                    </w:rPr>
                    <w:t>。</w:t>
                  </w:r>
                </w:p>
              </w:tc>
              <w:tc>
                <w:tcPr>
                  <w:tcW w:w="473" w:type="pct"/>
                  <w:noWrap w:val="0"/>
                  <w:vAlign w:val="center"/>
                </w:tcPr>
                <w:p w14:paraId="0C83B2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305F5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47A5EE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12</w:t>
                  </w:r>
                </w:p>
              </w:tc>
              <w:tc>
                <w:tcPr>
                  <w:tcW w:w="3039" w:type="pct"/>
                  <w:noWrap w:val="0"/>
                  <w:vAlign w:val="center"/>
                </w:tcPr>
                <w:p w14:paraId="73EA2A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shd w:val="clear" w:color="auto" w:fill="FFFFFF"/>
                    </w:rPr>
                    <w:t>禁止新建不符合非煤矿山转型升级有关准入标准的非煤矿山。禁止在金沙江岸线3公里、长江一级支流岸线1公里范围内新建、改建、扩建尾矿库</w:t>
                  </w:r>
                  <w:r>
                    <w:rPr>
                      <w:rFonts w:hint="default" w:ascii="Times New Roman" w:hAnsi="Times New Roman" w:eastAsia="宋体" w:cs="Times New Roman"/>
                      <w:color w:val="auto"/>
                      <w:sz w:val="21"/>
                      <w:szCs w:val="21"/>
                      <w:shd w:val="clear" w:color="auto" w:fill="FFFFFF"/>
                      <w:lang w:eastAsia="zh-CN"/>
                    </w:rPr>
                    <w:t>。</w:t>
                  </w:r>
                </w:p>
              </w:tc>
              <w:tc>
                <w:tcPr>
                  <w:tcW w:w="1146" w:type="pct"/>
                  <w:noWrap w:val="0"/>
                  <w:vAlign w:val="center"/>
                </w:tcPr>
                <w:p w14:paraId="312BE4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不属于</w:t>
                  </w:r>
                  <w:r>
                    <w:rPr>
                      <w:rFonts w:hint="default" w:ascii="Times New Roman" w:hAnsi="Times New Roman" w:eastAsia="宋体" w:cs="Times New Roman"/>
                      <w:color w:val="auto"/>
                      <w:sz w:val="21"/>
                      <w:szCs w:val="21"/>
                      <w:shd w:val="clear" w:color="auto" w:fill="FFFFFF"/>
                    </w:rPr>
                    <w:t>非煤矿山</w:t>
                  </w:r>
                  <w:r>
                    <w:rPr>
                      <w:rFonts w:hint="default" w:ascii="Times New Roman" w:hAnsi="Times New Roman" w:eastAsia="宋体" w:cs="Times New Roman"/>
                      <w:color w:val="auto"/>
                      <w:sz w:val="21"/>
                      <w:szCs w:val="21"/>
                      <w:shd w:val="clear" w:color="auto" w:fill="FFFFFF"/>
                      <w:lang w:eastAsia="zh-CN"/>
                    </w:rPr>
                    <w:t>、</w:t>
                  </w:r>
                  <w:r>
                    <w:rPr>
                      <w:rFonts w:hint="default" w:ascii="Times New Roman" w:hAnsi="Times New Roman" w:eastAsia="宋体" w:cs="Times New Roman"/>
                      <w:color w:val="auto"/>
                      <w:sz w:val="21"/>
                      <w:szCs w:val="21"/>
                      <w:shd w:val="clear" w:color="auto" w:fill="FFFFFF"/>
                    </w:rPr>
                    <w:t>尾矿库</w:t>
                  </w:r>
                  <w:r>
                    <w:rPr>
                      <w:rFonts w:hint="default" w:ascii="Times New Roman" w:hAnsi="Times New Roman" w:eastAsia="宋体" w:cs="Times New Roman"/>
                      <w:color w:val="auto"/>
                      <w:sz w:val="21"/>
                      <w:szCs w:val="21"/>
                      <w:shd w:val="clear" w:color="auto" w:fill="FFFFFF"/>
                      <w:lang w:val="en-US" w:eastAsia="zh-CN"/>
                    </w:rPr>
                    <w:t>项目。</w:t>
                  </w:r>
                </w:p>
              </w:tc>
              <w:tc>
                <w:tcPr>
                  <w:tcW w:w="473" w:type="pct"/>
                  <w:noWrap w:val="0"/>
                  <w:vAlign w:val="center"/>
                </w:tcPr>
                <w:p w14:paraId="72D065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55BC2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2DAFEF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13</w:t>
                  </w:r>
                </w:p>
              </w:tc>
              <w:tc>
                <w:tcPr>
                  <w:tcW w:w="3039" w:type="pct"/>
                  <w:noWrap w:val="0"/>
                  <w:vAlign w:val="center"/>
                </w:tcPr>
                <w:p w14:paraId="050979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shd w:val="clear" w:color="auto" w:fill="FFFFFF"/>
                    </w:rPr>
                    <w:t>禁止在合规园区外新建、扩建钢铁、石化、化工、焦化、建材、有色等高污染项目。禁止新增钢铁、水泥、平板玻璃等行业建设产能，确有必要建设的，应按规定实施产能等量或减量置换</w:t>
                  </w:r>
                  <w:r>
                    <w:rPr>
                      <w:rFonts w:hint="default" w:ascii="Times New Roman" w:hAnsi="Times New Roman" w:eastAsia="宋体" w:cs="Times New Roman"/>
                      <w:color w:val="auto"/>
                      <w:sz w:val="21"/>
                      <w:szCs w:val="21"/>
                      <w:shd w:val="clear" w:color="auto" w:fill="FFFFFF"/>
                      <w:lang w:eastAsia="zh-CN"/>
                    </w:rPr>
                    <w:t>。</w:t>
                  </w:r>
                </w:p>
              </w:tc>
              <w:tc>
                <w:tcPr>
                  <w:tcW w:w="1146" w:type="pct"/>
                  <w:noWrap w:val="0"/>
                  <w:vAlign w:val="center"/>
                </w:tcPr>
                <w:p w14:paraId="63E131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shd w:val="clear" w:color="auto" w:fill="FFFFFF"/>
                      <w:lang w:val="en-US" w:eastAsia="zh-CN"/>
                    </w:rPr>
                    <w:t>本项目位于云南省昆明市富民工业园区白石岩——大白坡片区哨箐组团，</w:t>
                  </w:r>
                  <w:r>
                    <w:rPr>
                      <w:rFonts w:hint="eastAsia" w:ascii="Times New Roman" w:hAnsi="Times New Roman" w:eastAsia="宋体" w:cs="Times New Roman"/>
                      <w:color w:val="auto"/>
                      <w:sz w:val="21"/>
                      <w:szCs w:val="21"/>
                      <w:shd w:val="clear" w:color="auto" w:fill="FFFFFF"/>
                      <w:lang w:val="en-US" w:eastAsia="zh-CN"/>
                    </w:rPr>
                    <w:t>在合规园区内，不属于</w:t>
                  </w:r>
                  <w:r>
                    <w:rPr>
                      <w:rFonts w:hint="default" w:ascii="Times New Roman" w:hAnsi="Times New Roman" w:eastAsia="宋体" w:cs="Times New Roman"/>
                      <w:color w:val="auto"/>
                      <w:sz w:val="21"/>
                      <w:szCs w:val="21"/>
                      <w:shd w:val="clear" w:color="auto" w:fill="FFFFFF"/>
                    </w:rPr>
                    <w:t>钢铁、水泥、平板玻璃等行业</w:t>
                  </w:r>
                  <w:r>
                    <w:rPr>
                      <w:rFonts w:hint="default" w:ascii="Times New Roman" w:hAnsi="Times New Roman" w:eastAsia="宋体" w:cs="Times New Roman"/>
                      <w:color w:val="auto"/>
                      <w:sz w:val="21"/>
                      <w:szCs w:val="21"/>
                      <w:shd w:val="clear" w:color="auto" w:fill="FFFFFF"/>
                      <w:lang w:val="en-US" w:eastAsia="zh-CN"/>
                    </w:rPr>
                    <w:t>。</w:t>
                  </w:r>
                </w:p>
              </w:tc>
              <w:tc>
                <w:tcPr>
                  <w:tcW w:w="473" w:type="pct"/>
                  <w:noWrap w:val="0"/>
                  <w:vAlign w:val="center"/>
                </w:tcPr>
                <w:p w14:paraId="64918B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67593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759750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14</w:t>
                  </w:r>
                </w:p>
              </w:tc>
              <w:tc>
                <w:tcPr>
                  <w:tcW w:w="3039" w:type="pct"/>
                  <w:noWrap w:val="0"/>
                  <w:vAlign w:val="center"/>
                </w:tcPr>
                <w:p w14:paraId="3F1906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shd w:val="clear" w:color="auto" w:fill="FFFFFF"/>
                    </w:rPr>
                    <w:t>禁止新建、扩建不符合国家石化、现代煤化工等产业布局规划的项目</w:t>
                  </w:r>
                  <w:r>
                    <w:rPr>
                      <w:rFonts w:hint="default" w:ascii="Times New Roman" w:hAnsi="Times New Roman" w:eastAsia="宋体" w:cs="Times New Roman"/>
                      <w:color w:val="auto"/>
                      <w:sz w:val="21"/>
                      <w:szCs w:val="21"/>
                      <w:shd w:val="clear" w:color="auto" w:fill="FFFFFF"/>
                      <w:lang w:eastAsia="zh-CN"/>
                    </w:rPr>
                    <w:t>。</w:t>
                  </w:r>
                </w:p>
              </w:tc>
              <w:tc>
                <w:tcPr>
                  <w:tcW w:w="1146" w:type="pct"/>
                  <w:noWrap w:val="0"/>
                  <w:vAlign w:val="center"/>
                </w:tcPr>
                <w:p w14:paraId="0F76B4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shd w:val="clear" w:color="auto" w:fill="FFFFFF"/>
                    </w:rPr>
                    <w:t>不属于国家石化、现代煤化工等产业布局规划的项目</w:t>
                  </w:r>
                  <w:r>
                    <w:rPr>
                      <w:rFonts w:hint="default" w:ascii="Times New Roman" w:hAnsi="Times New Roman" w:eastAsia="宋体" w:cs="Times New Roman"/>
                      <w:color w:val="auto"/>
                      <w:sz w:val="21"/>
                      <w:szCs w:val="21"/>
                      <w:shd w:val="clear" w:color="auto" w:fill="FFFFFF"/>
                      <w:lang w:eastAsia="zh-CN"/>
                    </w:rPr>
                    <w:t>。</w:t>
                  </w:r>
                </w:p>
              </w:tc>
              <w:tc>
                <w:tcPr>
                  <w:tcW w:w="473" w:type="pct"/>
                  <w:noWrap w:val="0"/>
                  <w:vAlign w:val="center"/>
                </w:tcPr>
                <w:p w14:paraId="0654FA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01AC1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464375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15</w:t>
                  </w:r>
                </w:p>
              </w:tc>
              <w:tc>
                <w:tcPr>
                  <w:tcW w:w="3039" w:type="pct"/>
                  <w:noWrap w:val="0"/>
                  <w:vAlign w:val="center"/>
                </w:tcPr>
                <w:p w14:paraId="52D9EA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shd w:val="clear" w:color="auto" w:fill="FFFFFF"/>
                    </w:rPr>
                    <w:t>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无机复混肥料、过磷酸钙和钙镁磷肥生产线</w:t>
                  </w:r>
                  <w:r>
                    <w:rPr>
                      <w:rFonts w:hint="default" w:ascii="Times New Roman" w:hAnsi="Times New Roman" w:eastAsia="宋体" w:cs="Times New Roman"/>
                      <w:color w:val="auto"/>
                      <w:sz w:val="21"/>
                      <w:szCs w:val="21"/>
                      <w:shd w:val="clear" w:color="auto" w:fill="FFFFFF"/>
                      <w:lang w:eastAsia="zh-CN"/>
                    </w:rPr>
                    <w:t>。</w:t>
                  </w:r>
                </w:p>
              </w:tc>
              <w:tc>
                <w:tcPr>
                  <w:tcW w:w="1146" w:type="pct"/>
                  <w:noWrap w:val="0"/>
                  <w:vAlign w:val="center"/>
                </w:tcPr>
                <w:p w14:paraId="65A088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本项目符合《产业结构调整指导目录（2019年本）》，不属于落后产能项目</w:t>
                  </w:r>
                  <w:r>
                    <w:rPr>
                      <w:rFonts w:hint="default" w:ascii="Times New Roman" w:hAnsi="Times New Roman" w:eastAsia="宋体" w:cs="Times New Roman"/>
                      <w:color w:val="auto"/>
                      <w:sz w:val="21"/>
                      <w:szCs w:val="21"/>
                      <w:lang w:eastAsia="zh-CN"/>
                    </w:rPr>
                    <w:t>。</w:t>
                  </w:r>
                </w:p>
              </w:tc>
              <w:tc>
                <w:tcPr>
                  <w:tcW w:w="473" w:type="pct"/>
                  <w:noWrap w:val="0"/>
                  <w:vAlign w:val="center"/>
                </w:tcPr>
                <w:p w14:paraId="648574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39DDD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66338A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16</w:t>
                  </w:r>
                </w:p>
              </w:tc>
              <w:tc>
                <w:tcPr>
                  <w:tcW w:w="3039" w:type="pct"/>
                  <w:noWrap w:val="0"/>
                  <w:vAlign w:val="center"/>
                </w:tcPr>
                <w:p w14:paraId="55A863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shd w:val="clear" w:color="auto" w:fill="FFFFFF"/>
                    </w:rPr>
                    <w:t>禁止建设高毒高残留以及对环境影响大的农药原药生产装置，严格控制尿素、磷铵、电石、焦炭、黄磷、烧碱、纯碱、聚氯乙烯等行业新增产能</w:t>
                  </w:r>
                  <w:r>
                    <w:rPr>
                      <w:rFonts w:hint="default" w:ascii="Times New Roman" w:hAnsi="Times New Roman" w:eastAsia="宋体" w:cs="Times New Roman"/>
                      <w:color w:val="auto"/>
                      <w:sz w:val="21"/>
                      <w:szCs w:val="21"/>
                      <w:shd w:val="clear" w:color="auto" w:fill="FFFFFF"/>
                      <w:lang w:eastAsia="zh-CN"/>
                    </w:rPr>
                    <w:t>。</w:t>
                  </w:r>
                </w:p>
              </w:tc>
              <w:tc>
                <w:tcPr>
                  <w:tcW w:w="1146" w:type="pct"/>
                  <w:noWrap w:val="0"/>
                  <w:vAlign w:val="center"/>
                </w:tcPr>
                <w:p w14:paraId="3446B8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本项目不属于</w:t>
                  </w:r>
                  <w:r>
                    <w:rPr>
                      <w:rFonts w:hint="default" w:ascii="Times New Roman" w:hAnsi="Times New Roman" w:eastAsia="宋体" w:cs="Times New Roman"/>
                      <w:color w:val="auto"/>
                      <w:sz w:val="21"/>
                      <w:szCs w:val="21"/>
                      <w:shd w:val="clear" w:color="auto" w:fill="FFFFFF"/>
                    </w:rPr>
                    <w:t>高毒高残留以及对环境影响大的农药原药生产装置</w:t>
                  </w:r>
                  <w:r>
                    <w:rPr>
                      <w:rFonts w:hint="default" w:ascii="Times New Roman" w:hAnsi="Times New Roman" w:eastAsia="宋体" w:cs="Times New Roman"/>
                      <w:color w:val="auto"/>
                      <w:sz w:val="21"/>
                      <w:szCs w:val="21"/>
                      <w:shd w:val="clear" w:color="auto" w:fill="FFFFFF"/>
                      <w:lang w:eastAsia="zh-CN"/>
                    </w:rPr>
                    <w:t>。</w:t>
                  </w:r>
                </w:p>
              </w:tc>
              <w:tc>
                <w:tcPr>
                  <w:tcW w:w="473" w:type="pct"/>
                  <w:noWrap w:val="0"/>
                  <w:vAlign w:val="center"/>
                </w:tcPr>
                <w:p w14:paraId="48712F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28E5D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noWrap w:val="0"/>
                  <w:vAlign w:val="center"/>
                </w:tcPr>
                <w:p w14:paraId="1D7BA1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17</w:t>
                  </w:r>
                </w:p>
              </w:tc>
              <w:tc>
                <w:tcPr>
                  <w:tcW w:w="3039" w:type="pct"/>
                  <w:noWrap w:val="0"/>
                  <w:vAlign w:val="center"/>
                </w:tcPr>
                <w:p w14:paraId="333105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shd w:val="clear" w:color="auto" w:fill="FFFFFF"/>
                    </w:rPr>
                    <w:t>禁止列入《云南省城镇人口密集区危险化学品生产企业搬迁改造名单》的搬迁改造企业在原址新建、扩建危险化学品生产项目，加强搬迁入园、关闭退出企业腾退土地污染风险管控和治理修复，确保腾退土地符合规划用地土壤环境质量标准</w:t>
                  </w:r>
                  <w:r>
                    <w:rPr>
                      <w:rFonts w:hint="default" w:ascii="Times New Roman" w:hAnsi="Times New Roman" w:eastAsia="宋体" w:cs="Times New Roman"/>
                      <w:color w:val="auto"/>
                      <w:sz w:val="21"/>
                      <w:szCs w:val="21"/>
                      <w:shd w:val="clear" w:color="auto" w:fill="FFFFFF"/>
                      <w:lang w:eastAsia="zh-CN"/>
                    </w:rPr>
                    <w:t>。</w:t>
                  </w:r>
                </w:p>
              </w:tc>
              <w:tc>
                <w:tcPr>
                  <w:tcW w:w="1146" w:type="pct"/>
                  <w:noWrap w:val="0"/>
                  <w:vAlign w:val="center"/>
                </w:tcPr>
                <w:p w14:paraId="442C42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本项目不属于危险化学品生产项目</w:t>
                  </w:r>
                  <w:r>
                    <w:rPr>
                      <w:rFonts w:hint="default" w:ascii="Times New Roman" w:hAnsi="Times New Roman" w:eastAsia="宋体" w:cs="Times New Roman"/>
                      <w:color w:val="auto"/>
                      <w:sz w:val="21"/>
                      <w:szCs w:val="21"/>
                      <w:lang w:eastAsia="zh-CN"/>
                    </w:rPr>
                    <w:t>。</w:t>
                  </w:r>
                </w:p>
              </w:tc>
              <w:tc>
                <w:tcPr>
                  <w:tcW w:w="473" w:type="pct"/>
                  <w:noWrap w:val="0"/>
                  <w:vAlign w:val="center"/>
                </w:tcPr>
                <w:p w14:paraId="5A267B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bl>
          <w:p w14:paraId="5E8623C2">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sz w:val="24"/>
              </w:rPr>
              <w:t>综上，本项目与《云南省长江经济带发展负面清单指南实施细则（试行）》规定的内容相符合。</w:t>
            </w:r>
          </w:p>
          <w:p w14:paraId="5F785C3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、与《中华人民共和国长江保护法》相符性分析</w:t>
            </w:r>
          </w:p>
          <w:p w14:paraId="480573AB">
            <w:pPr>
              <w:keepNext w:val="0"/>
              <w:keepLines w:val="0"/>
              <w:pageBreakBefore w:val="0"/>
              <w:suppressLineNumbers w:val="0"/>
              <w:kinsoku/>
              <w:wordWrap/>
              <w:overflowPunct/>
              <w:topLinePunct w:val="0"/>
              <w:bidi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2020年12月26日第十三届全国人民代表大会常务委员会第二十四次会议通过</w:t>
            </w:r>
            <w:r>
              <w:rPr>
                <w:rFonts w:hint="default" w:ascii="Times New Roman" w:hAnsi="Times New Roman" w:eastAsia="宋体" w:cs="Times New Roman"/>
                <w:color w:val="auto"/>
                <w:sz w:val="24"/>
                <w:szCs w:val="24"/>
                <w:lang w:eastAsia="zh-CN"/>
              </w:rPr>
              <w:t>《中华人民共和国长江保护法》。</w:t>
            </w:r>
          </w:p>
          <w:p w14:paraId="7381D0F6">
            <w:pPr>
              <w:keepNext w:val="0"/>
              <w:keepLines w:val="0"/>
              <w:pageBreakBefore w:val="0"/>
              <w:widowControl w:val="0"/>
              <w:numPr>
                <w:ilvl w:val="0"/>
                <w:numId w:val="0"/>
              </w:numPr>
              <w:suppressLineNumbers w:val="0"/>
              <w:kinsoku/>
              <w:wordWrap/>
              <w:overflowPunct/>
              <w:topLinePunct w:val="0"/>
              <w:autoSpaceDE/>
              <w:autoSpaceDN w:val="0"/>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en-US" w:eastAsia="zh-CN"/>
              </w:rPr>
              <w:t>本项目主要从事涂料</w:t>
            </w:r>
            <w:r>
              <w:rPr>
                <w:rFonts w:hint="eastAsia" w:cs="Times New Roman"/>
                <w:color w:val="auto"/>
                <w:sz w:val="24"/>
                <w:szCs w:val="24"/>
                <w:lang w:val="en-US" w:eastAsia="zh-CN"/>
              </w:rPr>
              <w:t>生产</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项目选址</w:t>
            </w:r>
            <w:r>
              <w:rPr>
                <w:rFonts w:hint="default" w:ascii="Times New Roman" w:hAnsi="Times New Roman" w:eastAsia="宋体" w:cs="Times New Roman"/>
                <w:color w:val="auto"/>
                <w:sz w:val="24"/>
                <w:szCs w:val="24"/>
                <w:lang w:val="en-US" w:eastAsia="zh-CN"/>
              </w:rPr>
              <w:t>于云南省昆明市富民工业园区白石岩—大白坡片区</w:t>
            </w:r>
            <w:r>
              <w:rPr>
                <w:rFonts w:hint="eastAsia" w:hAnsi="Times New Roman" w:cs="Times New Roman"/>
                <w:color w:val="auto"/>
                <w:sz w:val="24"/>
                <w:szCs w:val="24"/>
                <w:lang w:val="en-US" w:eastAsia="zh-CN"/>
              </w:rPr>
              <w:t>哨箐</w:t>
            </w:r>
            <w:r>
              <w:rPr>
                <w:rFonts w:hint="default" w:ascii="Times New Roman" w:hAnsi="Times New Roman" w:eastAsia="宋体" w:cs="Times New Roman"/>
                <w:color w:val="auto"/>
                <w:sz w:val="24"/>
                <w:szCs w:val="24"/>
                <w:lang w:val="en-US" w:eastAsia="zh-CN"/>
              </w:rPr>
              <w:t>组团</w:t>
            </w:r>
            <w:r>
              <w:rPr>
                <w:rFonts w:hint="eastAsia" w:cs="Times New Roman"/>
                <w:color w:val="auto"/>
                <w:sz w:val="24"/>
                <w:szCs w:val="24"/>
                <w:lang w:val="en-US" w:eastAsia="zh-CN"/>
              </w:rPr>
              <w:t>，项目的建设符合园区定位，项目距离螳螂川1.3km，不在长江干支流岸线一公里范围内。</w:t>
            </w:r>
            <w:r>
              <w:rPr>
                <w:rFonts w:hint="default" w:ascii="Times New Roman" w:hAnsi="Times New Roman" w:eastAsia="宋体" w:cs="Times New Roman"/>
                <w:color w:val="auto"/>
                <w:sz w:val="24"/>
                <w:szCs w:val="24"/>
                <w:lang w:val="en-US" w:eastAsia="zh-CN"/>
              </w:rPr>
              <w:t>不属于</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中华人民共和国长江保护法</w:t>
            </w:r>
            <w:r>
              <w:rPr>
                <w:rFonts w:hint="default" w:ascii="Times New Roman" w:hAnsi="Times New Roman" w:eastAsia="宋体" w:cs="Times New Roman"/>
                <w:color w:val="auto"/>
                <w:sz w:val="24"/>
                <w:szCs w:val="24"/>
              </w:rPr>
              <w:t>》中</w:t>
            </w:r>
            <w:r>
              <w:rPr>
                <w:rFonts w:hint="default" w:ascii="Times New Roman" w:hAnsi="Times New Roman" w:eastAsia="宋体" w:cs="Times New Roman"/>
                <w:color w:val="auto"/>
                <w:sz w:val="24"/>
                <w:szCs w:val="24"/>
                <w:lang w:eastAsia="zh-CN"/>
              </w:rPr>
              <w:t>禁止建设的行业，不</w:t>
            </w:r>
            <w:r>
              <w:rPr>
                <w:rFonts w:hint="default" w:ascii="Times New Roman" w:hAnsi="Times New Roman" w:eastAsia="宋体" w:cs="Times New Roman"/>
                <w:color w:val="auto"/>
                <w:sz w:val="24"/>
                <w:szCs w:val="24"/>
              </w:rPr>
              <w:t>违反生态环境准入清单的规定进行生产建设活动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符合国家产业政策</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选址不涉及自然保护区、饮用水源保护区、水产种质资源保护区、生态红线、基本农田等环境敏感区域，满足《</w:t>
            </w:r>
            <w:r>
              <w:rPr>
                <w:rFonts w:hint="default" w:ascii="Times New Roman" w:hAnsi="Times New Roman" w:eastAsia="宋体" w:cs="Times New Roman"/>
                <w:color w:val="auto"/>
                <w:sz w:val="24"/>
                <w:szCs w:val="24"/>
                <w:lang w:eastAsia="zh-CN"/>
              </w:rPr>
              <w:t>中华人民共和国长江保护法</w:t>
            </w:r>
            <w:r>
              <w:rPr>
                <w:rFonts w:hint="default" w:ascii="Times New Roman" w:hAnsi="Times New Roman" w:eastAsia="宋体" w:cs="Times New Roman"/>
                <w:color w:val="auto"/>
                <w:sz w:val="24"/>
                <w:szCs w:val="24"/>
              </w:rPr>
              <w:t>》中的要求。</w:t>
            </w:r>
          </w:p>
          <w:p w14:paraId="53A757DD">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val="0"/>
                <w:color w:val="auto"/>
                <w:sz w:val="24"/>
                <w:szCs w:val="24"/>
                <w:highlight w:val="none"/>
                <w:lang w:val="en-US" w:eastAsia="zh-CN"/>
              </w:rPr>
              <w:t>与《昆明市大气污染防治条例》相符性分析</w:t>
            </w:r>
          </w:p>
          <w:p w14:paraId="05EF07E1">
            <w:pPr>
              <w:keepNext w:val="0"/>
              <w:keepLines w:val="0"/>
              <w:pageBreakBefore w:val="0"/>
              <w:suppressLineNumbers w:val="0"/>
              <w:kinsoku/>
              <w:wordWrap/>
              <w:overflowPunct/>
              <w:topLinePunct w:val="0"/>
              <w:bidi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项目与《昆明市大气污染防治条例》相符性分析见表1-</w:t>
            </w:r>
            <w:r>
              <w:rPr>
                <w:rFonts w:hint="eastAsia" w:cs="Times New Roman"/>
                <w:color w:val="auto"/>
                <w:kern w:val="0"/>
                <w:sz w:val="24"/>
                <w:highlight w:val="none"/>
                <w:lang w:val="en-US" w:eastAsia="zh-CN"/>
              </w:rPr>
              <w:t>5</w:t>
            </w:r>
            <w:r>
              <w:rPr>
                <w:rFonts w:hint="default" w:ascii="Times New Roman" w:hAnsi="Times New Roman" w:eastAsia="宋体" w:cs="Times New Roman"/>
                <w:color w:val="auto"/>
                <w:kern w:val="0"/>
                <w:sz w:val="24"/>
                <w:highlight w:val="none"/>
                <w:lang w:val="en-US" w:eastAsia="zh-CN"/>
              </w:rPr>
              <w:t>。</w:t>
            </w:r>
          </w:p>
          <w:p w14:paraId="46AA43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76" w:lineRule="auto"/>
              <w:ind w:left="0" w:leftChars="0" w:righ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表1-</w:t>
            </w:r>
            <w:r>
              <w:rPr>
                <w:rFonts w:hint="eastAsia" w:cs="Times New Roman"/>
                <w:b/>
                <w:bCs/>
                <w:color w:val="auto"/>
                <w:spacing w:val="-2"/>
                <w:sz w:val="21"/>
                <w:szCs w:val="21"/>
                <w:highlight w:val="none"/>
                <w:lang w:val="en-US" w:eastAsia="zh-CN"/>
              </w:rPr>
              <w:t>5</w:t>
            </w:r>
            <w:r>
              <w:rPr>
                <w:rFonts w:hint="default" w:ascii="Times New Roman" w:hAnsi="Times New Roman" w:eastAsia="宋体" w:cs="Times New Roman"/>
                <w:b/>
                <w:bCs/>
                <w:color w:val="auto"/>
                <w:spacing w:val="-2"/>
                <w:sz w:val="21"/>
                <w:szCs w:val="21"/>
                <w:highlight w:val="none"/>
              </w:rPr>
              <w:t xml:space="preserve"> </w:t>
            </w:r>
            <w:r>
              <w:rPr>
                <w:rFonts w:hint="default" w:ascii="Times New Roman" w:hAnsi="Times New Roman" w:eastAsia="宋体" w:cs="Times New Roman"/>
                <w:b/>
                <w:bCs/>
                <w:color w:val="auto"/>
                <w:spacing w:val="-2"/>
                <w:sz w:val="21"/>
                <w:szCs w:val="21"/>
                <w:highlight w:val="none"/>
                <w:lang w:val="en-US" w:eastAsia="zh-CN"/>
              </w:rPr>
              <w:t xml:space="preserve"> </w:t>
            </w:r>
            <w:r>
              <w:rPr>
                <w:rFonts w:hint="default" w:ascii="Times New Roman" w:hAnsi="Times New Roman" w:eastAsia="宋体" w:cs="Times New Roman"/>
                <w:b/>
                <w:bCs/>
                <w:color w:val="auto"/>
                <w:spacing w:val="-2"/>
                <w:sz w:val="21"/>
                <w:szCs w:val="21"/>
                <w:highlight w:val="none"/>
                <w:lang w:eastAsia="zh-CN"/>
              </w:rPr>
              <w:t>与《昆明市大气污染防治条例》</w:t>
            </w:r>
            <w:r>
              <w:rPr>
                <w:rFonts w:hint="default" w:ascii="Times New Roman" w:hAnsi="Times New Roman" w:eastAsia="宋体" w:cs="Times New Roman"/>
                <w:b/>
                <w:bCs/>
                <w:color w:val="auto"/>
                <w:spacing w:val="-2"/>
                <w:sz w:val="21"/>
                <w:szCs w:val="21"/>
                <w:highlight w:val="none"/>
              </w:rPr>
              <w:t>的符合性分析</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7"/>
              <w:gridCol w:w="1855"/>
              <w:gridCol w:w="935"/>
            </w:tblGrid>
            <w:tr w14:paraId="1819B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 w:hRule="atLeast"/>
                <w:jc w:val="center"/>
              </w:trPr>
              <w:tc>
                <w:tcPr>
                  <w:tcW w:w="3197" w:type="pct"/>
                  <w:noWrap w:val="0"/>
                  <w:vAlign w:val="center"/>
                </w:tcPr>
                <w:p w14:paraId="4383961C">
                  <w:pPr>
                    <w:keepNext w:val="0"/>
                    <w:keepLines w:val="0"/>
                    <w:pageBreakBefore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rPr>
                    <w:t>昆明市大气污染防治条例</w:t>
                  </w:r>
                  <w:r>
                    <w:rPr>
                      <w:rFonts w:hint="default" w:ascii="Times New Roman" w:hAnsi="Times New Roman" w:eastAsia="宋体" w:cs="Times New Roman"/>
                      <w:b/>
                      <w:bCs/>
                      <w:color w:val="auto"/>
                      <w:kern w:val="0"/>
                      <w:sz w:val="21"/>
                      <w:szCs w:val="21"/>
                      <w:highlight w:val="none"/>
                    </w:rPr>
                    <w:t>要求</w:t>
                  </w:r>
                </w:p>
              </w:tc>
              <w:tc>
                <w:tcPr>
                  <w:tcW w:w="1198" w:type="pct"/>
                  <w:noWrap w:val="0"/>
                  <w:vAlign w:val="center"/>
                </w:tcPr>
                <w:p w14:paraId="2C498A5F">
                  <w:pPr>
                    <w:keepNext w:val="0"/>
                    <w:keepLines w:val="0"/>
                    <w:pageBreakBefore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rPr>
                    <w:t>项目情况</w:t>
                  </w:r>
                </w:p>
              </w:tc>
              <w:tc>
                <w:tcPr>
                  <w:tcW w:w="604" w:type="pct"/>
                  <w:noWrap w:val="0"/>
                  <w:vAlign w:val="center"/>
                </w:tcPr>
                <w:p w14:paraId="62725D3B">
                  <w:pPr>
                    <w:keepNext w:val="0"/>
                    <w:keepLines w:val="0"/>
                    <w:pageBreakBefore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rPr>
                    <w:t>符合性</w:t>
                  </w:r>
                </w:p>
              </w:tc>
            </w:tr>
            <w:tr w14:paraId="57316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7" w:type="pct"/>
                  <w:noWrap w:val="0"/>
                  <w:vAlign w:val="center"/>
                </w:tcPr>
                <w:p w14:paraId="5FF216A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禁止通过偷排、篡改或者伪造监测数据、以逃避现场检查为目的的临时停产、非紧急情况下开启应急排放通道、擅自拆除或者不正常运行大气污染防治设施等逃避监管的方式排放大气污染物。</w:t>
                  </w:r>
                </w:p>
              </w:tc>
              <w:tc>
                <w:tcPr>
                  <w:tcW w:w="1198" w:type="pct"/>
                  <w:noWrap w:val="0"/>
                  <w:vAlign w:val="center"/>
                </w:tcPr>
                <w:p w14:paraId="081CCED7">
                  <w:pPr>
                    <w:keepNext w:val="0"/>
                    <w:keepLines w:val="0"/>
                    <w:pageBreakBefore w:val="0"/>
                    <w:widowControl/>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本项目为</w:t>
                  </w:r>
                  <w:r>
                    <w:rPr>
                      <w:rFonts w:hint="eastAsia" w:cs="Times New Roman"/>
                      <w:color w:val="auto"/>
                      <w:sz w:val="21"/>
                      <w:szCs w:val="21"/>
                      <w:highlight w:val="none"/>
                      <w:lang w:eastAsia="zh-CN"/>
                    </w:rPr>
                    <w:t>涂料制造</w:t>
                  </w:r>
                  <w:r>
                    <w:rPr>
                      <w:rFonts w:hint="default" w:ascii="Times New Roman" w:hAnsi="Times New Roman" w:eastAsia="宋体" w:cs="Times New Roman"/>
                      <w:color w:val="auto"/>
                      <w:sz w:val="21"/>
                      <w:szCs w:val="21"/>
                      <w:highlight w:val="none"/>
                      <w:lang w:eastAsia="zh-CN"/>
                    </w:rPr>
                    <w:t>项目，</w:t>
                  </w:r>
                  <w:r>
                    <w:rPr>
                      <w:rFonts w:hint="eastAsia" w:cs="Times New Roman"/>
                      <w:color w:val="auto"/>
                      <w:sz w:val="21"/>
                      <w:szCs w:val="21"/>
                      <w:highlight w:val="none"/>
                      <w:lang w:eastAsia="zh-CN"/>
                    </w:rPr>
                    <w:t>产生的颗粒物、非甲烷总烃均采用科学合理的处置措施处理，满足达标排放，严格按照要设置排气筒，定期监测</w:t>
                  </w:r>
                  <w:r>
                    <w:rPr>
                      <w:rFonts w:hint="default" w:ascii="Times New Roman" w:hAnsi="Times New Roman" w:eastAsia="宋体" w:cs="Times New Roman"/>
                      <w:color w:val="auto"/>
                      <w:sz w:val="21"/>
                      <w:szCs w:val="21"/>
                      <w:highlight w:val="none"/>
                      <w:lang w:eastAsia="zh-CN"/>
                    </w:rPr>
                    <w:t>，不存在偷排</w:t>
                  </w:r>
                  <w:r>
                    <w:rPr>
                      <w:rFonts w:hint="default" w:ascii="Times New Roman" w:hAnsi="Times New Roman" w:eastAsia="宋体" w:cs="Times New Roman"/>
                      <w:b w:val="0"/>
                      <w:bCs w:val="0"/>
                      <w:snapToGrid w:val="0"/>
                      <w:color w:val="auto"/>
                      <w:kern w:val="0"/>
                      <w:sz w:val="21"/>
                      <w:szCs w:val="21"/>
                      <w:highlight w:val="none"/>
                      <w:lang w:eastAsia="zh-CN"/>
                    </w:rPr>
                    <w:t>。</w:t>
                  </w:r>
                </w:p>
              </w:tc>
              <w:tc>
                <w:tcPr>
                  <w:tcW w:w="604" w:type="pct"/>
                  <w:noWrap w:val="0"/>
                  <w:vAlign w:val="center"/>
                </w:tcPr>
                <w:p w14:paraId="6B19298A">
                  <w:pPr>
                    <w:keepNext w:val="0"/>
                    <w:keepLines w:val="0"/>
                    <w:pageBreakBefore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14:paraId="4E326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7" w:type="pct"/>
                  <w:noWrap w:val="0"/>
                  <w:vAlign w:val="center"/>
                </w:tcPr>
                <w:p w14:paraId="0869775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列产生含挥发性有机物废气的生产和服务活动，应当在密闭空间或者设备中进行，并按照规定安装、使用污染防治设施；无法密闭的，应当采取高效处理措施减少废气排放：（一）石油炼制及有机化学品、合成树脂、合成纤维、合成橡胶等行业；（二）制药、农药、涂料、油墨、胶粘剂、橡胶和塑料加工等行业；（三）汽车、家具、集装箱、电子产品、工程机械等行业；（四）塑料软包装印刷、印铁制罐等行业；（五）其他产生挥发性有机物的生产和服务活动。</w:t>
                  </w:r>
                </w:p>
              </w:tc>
              <w:tc>
                <w:tcPr>
                  <w:tcW w:w="1198" w:type="pct"/>
                  <w:noWrap w:val="0"/>
                  <w:vAlign w:val="center"/>
                </w:tcPr>
                <w:p w14:paraId="5C74FA69">
                  <w:pPr>
                    <w:keepNext w:val="0"/>
                    <w:keepLines w:val="0"/>
                    <w:pageBreakBefore w:val="0"/>
                    <w:widowControl/>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本项目为</w:t>
                  </w:r>
                  <w:r>
                    <w:rPr>
                      <w:rFonts w:hint="eastAsia" w:cs="Times New Roman"/>
                      <w:color w:val="auto"/>
                      <w:sz w:val="21"/>
                      <w:szCs w:val="21"/>
                      <w:highlight w:val="none"/>
                      <w:lang w:eastAsia="zh-CN"/>
                    </w:rPr>
                    <w:t>涂料制造</w:t>
                  </w:r>
                  <w:r>
                    <w:rPr>
                      <w:rFonts w:hint="default" w:ascii="Times New Roman" w:hAnsi="Times New Roman" w:eastAsia="宋体" w:cs="Times New Roman"/>
                      <w:color w:val="auto"/>
                      <w:sz w:val="21"/>
                      <w:szCs w:val="21"/>
                      <w:highlight w:val="none"/>
                      <w:lang w:eastAsia="zh-CN"/>
                    </w:rPr>
                    <w:t>项目，</w:t>
                  </w:r>
                  <w:r>
                    <w:rPr>
                      <w:rFonts w:hint="eastAsia" w:cs="Times New Roman"/>
                      <w:color w:val="auto"/>
                      <w:sz w:val="21"/>
                      <w:szCs w:val="21"/>
                      <w:highlight w:val="none"/>
                      <w:lang w:eastAsia="zh-CN"/>
                    </w:rPr>
                    <w:t>生产线设置在封闭的生产厂房内，产生的颗粒物采取布袋</w:t>
                  </w:r>
                  <w:r>
                    <w:rPr>
                      <w:rFonts w:hint="eastAsia" w:cs="Times New Roman"/>
                      <w:color w:val="auto"/>
                      <w:sz w:val="21"/>
                      <w:szCs w:val="21"/>
                      <w:highlight w:val="none"/>
                      <w:lang w:val="en-US" w:eastAsia="zh-CN"/>
                    </w:rPr>
                    <w:t>除尘</w:t>
                  </w:r>
                  <w:r>
                    <w:rPr>
                      <w:rFonts w:hint="eastAsia" w:cs="Times New Roman"/>
                      <w:color w:val="auto"/>
                      <w:sz w:val="21"/>
                      <w:szCs w:val="21"/>
                      <w:highlight w:val="none"/>
                      <w:lang w:eastAsia="zh-CN"/>
                    </w:rPr>
                    <w:t>、旋风</w:t>
                  </w:r>
                  <w:r>
                    <w:rPr>
                      <w:rFonts w:hint="eastAsia" w:cs="Times New Roman"/>
                      <w:color w:val="auto"/>
                      <w:sz w:val="21"/>
                      <w:szCs w:val="21"/>
                      <w:highlight w:val="none"/>
                      <w:lang w:val="en-US" w:eastAsia="zh-CN"/>
                    </w:rPr>
                    <w:t>除尘，集中式滤筒除尘，</w:t>
                  </w:r>
                  <w:r>
                    <w:rPr>
                      <w:rFonts w:hint="eastAsia" w:cs="Times New Roman"/>
                      <w:color w:val="auto"/>
                      <w:sz w:val="21"/>
                      <w:szCs w:val="21"/>
                      <w:highlight w:val="none"/>
                      <w:lang w:eastAsia="zh-CN"/>
                    </w:rPr>
                    <w:t>非甲烷总烃</w:t>
                  </w:r>
                  <w:r>
                    <w:rPr>
                      <w:rFonts w:hint="eastAsia" w:cs="Times New Roman"/>
                      <w:color w:val="auto"/>
                      <w:sz w:val="21"/>
                      <w:szCs w:val="21"/>
                      <w:highlight w:val="none"/>
                      <w:lang w:val="en-US" w:eastAsia="zh-CN"/>
                    </w:rPr>
                    <w:t>采用UV+</w:t>
                  </w:r>
                  <w:r>
                    <w:rPr>
                      <w:rFonts w:hint="eastAsia" w:cs="Times New Roman"/>
                      <w:color w:val="auto"/>
                      <w:sz w:val="21"/>
                      <w:szCs w:val="21"/>
                      <w:highlight w:val="none"/>
                      <w:lang w:eastAsia="zh-CN"/>
                    </w:rPr>
                    <w:t>活性炭</w:t>
                  </w:r>
                  <w:r>
                    <w:rPr>
                      <w:rFonts w:hint="eastAsia" w:cs="Times New Roman"/>
                      <w:color w:val="auto"/>
                      <w:sz w:val="21"/>
                      <w:szCs w:val="21"/>
                      <w:highlight w:val="none"/>
                      <w:lang w:val="en-US" w:eastAsia="zh-CN"/>
                    </w:rPr>
                    <w:t>吸附装置</w:t>
                  </w:r>
                  <w:r>
                    <w:rPr>
                      <w:rFonts w:hint="eastAsia" w:cs="Times New Roman"/>
                      <w:color w:val="auto"/>
                      <w:sz w:val="21"/>
                      <w:szCs w:val="21"/>
                      <w:highlight w:val="none"/>
                      <w:lang w:eastAsia="zh-CN"/>
                    </w:rPr>
                    <w:t>等废气处置措施进行处理。</w:t>
                  </w:r>
                </w:p>
              </w:tc>
              <w:tc>
                <w:tcPr>
                  <w:tcW w:w="604" w:type="pct"/>
                  <w:noWrap w:val="0"/>
                  <w:vAlign w:val="center"/>
                </w:tcPr>
                <w:p w14:paraId="66A809A8">
                  <w:pPr>
                    <w:keepNext w:val="0"/>
                    <w:keepLines w:val="0"/>
                    <w:pageBreakBefore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14:paraId="589A0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7" w:type="pct"/>
                  <w:noWrap w:val="0"/>
                  <w:vAlign w:val="center"/>
                </w:tcPr>
                <w:p w14:paraId="57F929A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进口、销售和使用含挥发性有机物原材料和产品的，其挥发性有机物含量应当符合质量标准或者要求。工业涂装企业应当使用低挥发性有机物含量的涂料，并建立台账，记录生产原料、辅料的使用量、废弃量、去向以及挥发性有机物含量。台账保存期限不得少于3年。</w:t>
                  </w:r>
                </w:p>
              </w:tc>
              <w:tc>
                <w:tcPr>
                  <w:tcW w:w="1198" w:type="pct"/>
                  <w:noWrap w:val="0"/>
                  <w:vAlign w:val="center"/>
                </w:tcPr>
                <w:p w14:paraId="79B9039A">
                  <w:pPr>
                    <w:keepNext w:val="0"/>
                    <w:keepLines w:val="0"/>
                    <w:pageBreakBefore w:val="0"/>
                    <w:widowControl/>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本项目含挥发性有机物的原料为</w:t>
                  </w:r>
                  <w:r>
                    <w:rPr>
                      <w:rFonts w:hint="default"/>
                      <w:color w:val="auto"/>
                      <w:sz w:val="21"/>
                    </w:rPr>
                    <w:t>防冻剂（丙二醇）</w:t>
                  </w:r>
                  <w:r>
                    <w:rPr>
                      <w:rFonts w:hint="default" w:ascii="Times New Roman" w:hAnsi="Times New Roman" w:eastAsia="宋体" w:cs="Times New Roman"/>
                      <w:color w:val="auto"/>
                      <w:sz w:val="21"/>
                      <w:szCs w:val="21"/>
                      <w:highlight w:val="none"/>
                      <w:lang w:eastAsia="zh-CN"/>
                    </w:rPr>
                    <w:t>符合质量标准要求。</w:t>
                  </w:r>
                </w:p>
              </w:tc>
              <w:tc>
                <w:tcPr>
                  <w:tcW w:w="604" w:type="pct"/>
                  <w:noWrap w:val="0"/>
                  <w:vAlign w:val="center"/>
                </w:tcPr>
                <w:p w14:paraId="014B12B5">
                  <w:pPr>
                    <w:keepNext w:val="0"/>
                    <w:keepLines w:val="0"/>
                    <w:pageBreakBefore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符合</w:t>
                  </w:r>
                </w:p>
              </w:tc>
            </w:tr>
          </w:tbl>
          <w:p w14:paraId="776E71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综上，项目符合《昆明市大气污染防治条例》要求。</w:t>
            </w:r>
          </w:p>
          <w:p w14:paraId="4DD504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与《重点行业挥发性有机物综合治理方案》符合性分析</w:t>
            </w:r>
          </w:p>
          <w:p w14:paraId="41616C25">
            <w:pPr>
              <w:keepNext w:val="0"/>
              <w:keepLines w:val="0"/>
              <w:pageBreakBefore w:val="0"/>
              <w:suppressLineNumbers w:val="0"/>
              <w:kinsoku/>
              <w:wordWrap/>
              <w:overflowPunct/>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为贯彻落实《</w:t>
            </w:r>
            <w:r>
              <w:rPr>
                <w:rFonts w:hint="eastAsia" w:cs="Times New Roman"/>
                <w:color w:val="auto"/>
                <w:sz w:val="24"/>
                <w:szCs w:val="24"/>
                <w:lang w:val="en-US" w:eastAsia="zh-CN"/>
              </w:rPr>
              <w:t>党中央、国务院</w:t>
            </w:r>
            <w:r>
              <w:rPr>
                <w:rFonts w:hint="default" w:ascii="Times New Roman" w:hAnsi="Times New Roman" w:eastAsia="宋体" w:cs="Times New Roman"/>
                <w:color w:val="auto"/>
                <w:sz w:val="24"/>
                <w:szCs w:val="24"/>
                <w:lang w:val="en-US" w:eastAsia="zh-CN"/>
              </w:rPr>
              <w:t>关于全面加强生态环境保护坚决打好污染防治攻坚战的意见》《国务院关于印发打赢蓝天保卫战三年行动计划的通知》有关要求，深入实施《“十三五”挥发性有机物污染防治工作方案》，加强对各地工作指导，提高挥发性有机物（VOCs）治理的科学性、针对性和有效性，协同控制温室气体排放。</w:t>
            </w:r>
            <w:bookmarkStart w:id="19" w:name="_GoBack"/>
            <w:bookmarkEnd w:id="19"/>
          </w:p>
          <w:p w14:paraId="7703C6CA">
            <w:pPr>
              <w:keepNext w:val="0"/>
              <w:keepLines w:val="0"/>
              <w:pageBreakBefore w:val="0"/>
              <w:suppressLineNumbers w:val="0"/>
              <w:kinsoku/>
              <w:wordWrap/>
              <w:overflowPunct/>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一）大力推进源头替代。企业应大力推广使用低VOCs含量木器涂料、车辆涂料、机械设备涂料、集装箱涂料以及建筑物和构筑物防护涂料等，在技术成熟的行业，推广使用低VOCs含量油墨和胶粘剂，重点区域到2020年年底前基本完成。鼓励加快低VOCs含量涂料、油墨、胶粘剂等研发和生产。</w:t>
            </w:r>
          </w:p>
          <w:p w14:paraId="1AEAEA29">
            <w:pPr>
              <w:keepNext w:val="0"/>
              <w:keepLines w:val="0"/>
              <w:pageBreakBefore w:val="0"/>
              <w:suppressLineNumbers w:val="0"/>
              <w:kinsoku/>
              <w:wordWrap/>
              <w:overflowPunct/>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二）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r>
              <w:rPr>
                <w:rFonts w:hint="eastAsia" w:ascii="Times New Roman" w:hAnsi="Times New Roman" w:eastAsia="宋体" w:cs="Times New Roman"/>
                <w:color w:val="auto"/>
                <w:sz w:val="24"/>
                <w:szCs w:val="24"/>
                <w:lang w:val="en-US" w:eastAsia="zh-CN"/>
              </w:rPr>
              <w:t>。</w:t>
            </w:r>
          </w:p>
          <w:p w14:paraId="209A8114">
            <w:pPr>
              <w:keepNext w:val="0"/>
              <w:keepLines w:val="0"/>
              <w:pageBreakBefore w:val="0"/>
              <w:suppressLineNumbers w:val="0"/>
              <w:kinsoku/>
              <w:wordWrap/>
              <w:overflowPunct/>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（三）推进建设适宜高效的治污设施。企业新建治污设施或对现有治污设施实施改造，应依据排放废气的浓度、组分、风量，温度、湿度、压力，以及生产工况等，合理选择治理技术。</w:t>
            </w:r>
          </w:p>
          <w:p w14:paraId="0AE337B3">
            <w:pPr>
              <w:keepNext w:val="0"/>
              <w:keepLines w:val="0"/>
              <w:pageBreakBefore w:val="0"/>
              <w:suppressLineNumbers w:val="0"/>
              <w:kinsoku/>
              <w:wordWrap/>
              <w:overflowPunct/>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（四）深入实施精细化管控。各地应围绕当地环境空气质量改善需求，根据O</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、PM</w:t>
            </w:r>
            <w:r>
              <w:rPr>
                <w:rFonts w:hint="default" w:ascii="Times New Roman" w:hAnsi="Times New Roman" w:eastAsia="宋体" w:cs="Times New Roman"/>
                <w:color w:val="auto"/>
                <w:sz w:val="24"/>
                <w:szCs w:val="24"/>
                <w:vertAlign w:val="subscript"/>
                <w:lang w:val="en-US" w:eastAsia="zh-CN"/>
              </w:rPr>
              <w:t>2.5</w:t>
            </w:r>
            <w:r>
              <w:rPr>
                <w:rFonts w:hint="default" w:ascii="Times New Roman" w:hAnsi="Times New Roman" w:eastAsia="宋体" w:cs="Times New Roman"/>
                <w:color w:val="auto"/>
                <w:sz w:val="24"/>
                <w:szCs w:val="24"/>
                <w:lang w:val="en-US" w:eastAsia="zh-CN"/>
              </w:rPr>
              <w:t>来源解析，结合行业污染排放特征和VOCs物质光化学反应活性等，确定本地区VOCs控制的重点行业和重点污染物，兼顾恶臭污染物和有毒有害物质控制等，提出有效管控方案，提高VOCs治理的精准性、针对性和有效性。</w:t>
            </w:r>
          </w:p>
          <w:p w14:paraId="67D6BE27">
            <w:pPr>
              <w:keepNext w:val="0"/>
              <w:keepLines w:val="0"/>
              <w:pageBreakBefore w:val="0"/>
              <w:suppressLineNumbers w:val="0"/>
              <w:kinsoku/>
              <w:wordWrap/>
              <w:overflowPunct/>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水性涂料</w:t>
            </w:r>
            <w:r>
              <w:rPr>
                <w:rFonts w:hint="default" w:ascii="Times New Roman" w:hAnsi="Times New Roman" w:eastAsia="宋体" w:cs="Times New Roman"/>
                <w:color w:val="auto"/>
                <w:sz w:val="24"/>
                <w:szCs w:val="24"/>
                <w:lang w:val="en-US" w:eastAsia="zh-CN"/>
              </w:rPr>
              <w:t>生产过程产生的VOCs（以非甲烷总烃计）经“</w:t>
            </w:r>
            <w:r>
              <w:rPr>
                <w:rFonts w:hint="eastAsia" w:cs="Times New Roman"/>
                <w:color w:val="auto"/>
                <w:sz w:val="24"/>
                <w:szCs w:val="24"/>
                <w:lang w:val="en-US" w:eastAsia="zh-CN"/>
              </w:rPr>
              <w:t>UV光氧+</w:t>
            </w:r>
            <w:r>
              <w:rPr>
                <w:rFonts w:hint="default" w:ascii="Times New Roman" w:hAnsi="Times New Roman" w:eastAsia="宋体" w:cs="Times New Roman"/>
                <w:color w:val="auto"/>
                <w:sz w:val="24"/>
                <w:szCs w:val="24"/>
                <w:lang w:val="en-US" w:eastAsia="zh-CN"/>
              </w:rPr>
              <w:t>活性炭吸附装置”处理后由15m排气筒</w:t>
            </w:r>
            <w:r>
              <w:rPr>
                <w:rFonts w:hint="eastAsia" w:cs="Times New Roman"/>
                <w:color w:val="auto"/>
                <w:sz w:val="24"/>
                <w:szCs w:val="24"/>
                <w:lang w:val="en-US" w:eastAsia="zh-CN"/>
              </w:rPr>
              <w:t>达标</w:t>
            </w:r>
            <w:r>
              <w:rPr>
                <w:rFonts w:hint="default" w:ascii="Times New Roman" w:hAnsi="Times New Roman" w:eastAsia="宋体" w:cs="Times New Roman"/>
                <w:color w:val="auto"/>
                <w:sz w:val="24"/>
                <w:szCs w:val="24"/>
                <w:lang w:val="en-US" w:eastAsia="zh-CN"/>
              </w:rPr>
              <w:t>排放；符合《重点行业挥发性有机物综合治理方案》的相关技术要求。</w:t>
            </w:r>
          </w:p>
          <w:p w14:paraId="49EBC02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b/>
                <w:bCs/>
                <w:color w:val="auto"/>
                <w:sz w:val="24"/>
                <w:szCs w:val="24"/>
                <w:lang w:val="en-US" w:eastAsia="zh-CN"/>
              </w:rPr>
            </w:pPr>
            <w:r>
              <w:rPr>
                <w:rFonts w:hint="eastAsia"/>
                <w:b/>
                <w:bCs/>
                <w:color w:val="auto"/>
                <w:sz w:val="24"/>
                <w:szCs w:val="24"/>
                <w:lang w:val="en-US" w:eastAsia="zh-CN"/>
              </w:rPr>
              <w:t>6、与《云南省重点行业挥发性有机物综合治理实施方案》符合性分析</w:t>
            </w:r>
          </w:p>
          <w:p w14:paraId="320296E8">
            <w:pPr>
              <w:keepNext w:val="0"/>
              <w:keepLines w:val="0"/>
              <w:pageBreakBefore w:val="0"/>
              <w:suppressLineNumbers w:val="0"/>
              <w:kinsoku/>
              <w:wordWrap/>
              <w:overflowPunct/>
              <w:bidi w:val="0"/>
              <w:snapToGrid w:val="0"/>
              <w:spacing w:before="0" w:beforeAutospacing="0" w:after="0" w:afterAutospacing="0" w:line="360" w:lineRule="auto"/>
              <w:ind w:left="0" w:leftChars="0" w:right="0" w:firstLine="480" w:firstLineChars="200"/>
              <w:textAlignment w:val="auto"/>
              <w:rPr>
                <w:rFonts w:hint="default"/>
                <w:color w:val="auto"/>
                <w:sz w:val="24"/>
              </w:rPr>
            </w:pPr>
            <w:r>
              <w:rPr>
                <w:rFonts w:hint="default"/>
                <w:color w:val="auto"/>
                <w:sz w:val="24"/>
              </w:rPr>
              <w:t>2019年9月4日，云南省生态环境厅印发了《云南省重点行业挥发性有机物综合治理实施方案》（云环通〔2019〕125号）。项目与《云南省重点行业挥发性有机物综合治理实施方案》的相符性分析见表1-</w:t>
            </w:r>
            <w:r>
              <w:rPr>
                <w:rFonts w:hint="eastAsia"/>
                <w:color w:val="auto"/>
                <w:sz w:val="24"/>
                <w:lang w:val="en-US" w:eastAsia="zh-CN"/>
              </w:rPr>
              <w:t>6</w:t>
            </w:r>
            <w:r>
              <w:rPr>
                <w:rFonts w:hint="default"/>
                <w:color w:val="auto"/>
                <w:sz w:val="24"/>
              </w:rPr>
              <w:t>。</w:t>
            </w:r>
          </w:p>
          <w:p w14:paraId="2928DB36">
            <w:pPr>
              <w:keepNext w:val="0"/>
              <w:keepLines w:val="0"/>
              <w:pageBreakBefore w:val="0"/>
              <w:suppressLineNumbers w:val="0"/>
              <w:kinsoku/>
              <w:wordWrap/>
              <w:overflowPunct/>
              <w:bidi w:val="0"/>
              <w:snapToGrid w:val="0"/>
              <w:spacing w:before="0" w:beforeAutospacing="0" w:after="0" w:afterAutospacing="0"/>
              <w:ind w:left="0" w:leftChars="0" w:right="0"/>
              <w:jc w:val="center"/>
              <w:textAlignment w:val="auto"/>
              <w:rPr>
                <w:rFonts w:hint="default"/>
                <w:b/>
                <w:color w:val="auto"/>
                <w:szCs w:val="21"/>
              </w:rPr>
            </w:pPr>
            <w:r>
              <w:rPr>
                <w:rFonts w:hint="default"/>
                <w:b/>
                <w:color w:val="auto"/>
                <w:szCs w:val="21"/>
              </w:rPr>
              <w:t>表1-</w:t>
            </w:r>
            <w:r>
              <w:rPr>
                <w:rFonts w:hint="eastAsia"/>
                <w:b/>
                <w:color w:val="auto"/>
                <w:szCs w:val="21"/>
                <w:lang w:val="en-US" w:eastAsia="zh-CN"/>
              </w:rPr>
              <w:t>6</w:t>
            </w:r>
            <w:r>
              <w:rPr>
                <w:rFonts w:hint="default"/>
                <w:b/>
                <w:color w:val="auto"/>
                <w:szCs w:val="21"/>
              </w:rPr>
              <w:t xml:space="preserve">  项目与《云南省重点行业挥发性有机物综合治理实施方案》的相符性分析</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3"/>
              <w:gridCol w:w="3269"/>
              <w:gridCol w:w="718"/>
            </w:tblGrid>
            <w:tr w14:paraId="16175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2421" w:type="pct"/>
                  <w:noWrap w:val="0"/>
                  <w:vAlign w:val="center"/>
                </w:tcPr>
                <w:p w14:paraId="16EE979D">
                  <w:pPr>
                    <w:pStyle w:val="26"/>
                    <w:keepNext w:val="0"/>
                    <w:keepLines w:val="0"/>
                    <w:pageBreakBefore w:val="0"/>
                    <w:widowControl w:val="0"/>
                    <w:suppressLineNumbers w:val="0"/>
                    <w:kinsoku/>
                    <w:wordWrap/>
                    <w:overflow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b/>
                      <w:color w:val="auto"/>
                      <w:sz w:val="21"/>
                      <w:szCs w:val="21"/>
                      <w:lang w:bidi="ar"/>
                    </w:rPr>
                  </w:pPr>
                  <w:r>
                    <w:rPr>
                      <w:rFonts w:hint="default" w:ascii="Times New Roman" w:hAnsi="Times New Roman" w:eastAsia="宋体" w:cs="Times New Roman"/>
                      <w:b/>
                      <w:color w:val="auto"/>
                      <w:sz w:val="21"/>
                      <w:szCs w:val="21"/>
                      <w:lang w:bidi="ar"/>
                    </w:rPr>
                    <w:t>《云南省重点行业挥发性有机物综合治理实施方案》</w:t>
                  </w:r>
                </w:p>
              </w:tc>
              <w:tc>
                <w:tcPr>
                  <w:tcW w:w="2112" w:type="pct"/>
                  <w:noWrap w:val="0"/>
                  <w:vAlign w:val="center"/>
                </w:tcPr>
                <w:p w14:paraId="15037117">
                  <w:pPr>
                    <w:keepNext w:val="0"/>
                    <w:keepLines w:val="0"/>
                    <w:pageBreakBefore w:val="0"/>
                    <w:suppressLineNumbers w:val="0"/>
                    <w:kinsoku/>
                    <w:wordWrap/>
                    <w:overflowPunct/>
                    <w:bidi w:val="0"/>
                    <w:adjustRightInd w:val="0"/>
                    <w:snapToGrid w:val="0"/>
                    <w:spacing w:before="0" w:beforeAutospacing="0" w:after="0" w:afterAutospacing="0"/>
                    <w:ind w:left="0" w:leftChars="0" w:right="0"/>
                    <w:jc w:val="center"/>
                    <w:textAlignment w:val="auto"/>
                    <w:rPr>
                      <w:rFonts w:hint="default" w:eastAsia="宋体"/>
                      <w:b/>
                      <w:color w:val="auto"/>
                      <w:szCs w:val="21"/>
                    </w:rPr>
                  </w:pPr>
                  <w:r>
                    <w:rPr>
                      <w:rFonts w:hint="default" w:eastAsia="宋体"/>
                      <w:b/>
                      <w:color w:val="auto"/>
                      <w:szCs w:val="21"/>
                    </w:rPr>
                    <w:t>本项目</w:t>
                  </w:r>
                </w:p>
              </w:tc>
              <w:tc>
                <w:tcPr>
                  <w:tcW w:w="465" w:type="pct"/>
                  <w:noWrap w:val="0"/>
                  <w:vAlign w:val="center"/>
                </w:tcPr>
                <w:p w14:paraId="47F818B4">
                  <w:pPr>
                    <w:keepNext w:val="0"/>
                    <w:keepLines w:val="0"/>
                    <w:pageBreakBefore w:val="0"/>
                    <w:suppressLineNumbers w:val="0"/>
                    <w:kinsoku/>
                    <w:wordWrap/>
                    <w:overflowPunct/>
                    <w:bidi w:val="0"/>
                    <w:adjustRightInd w:val="0"/>
                    <w:snapToGrid w:val="0"/>
                    <w:spacing w:before="0" w:beforeAutospacing="0" w:after="0" w:afterAutospacing="0"/>
                    <w:ind w:left="0" w:leftChars="0" w:right="0"/>
                    <w:jc w:val="center"/>
                    <w:textAlignment w:val="auto"/>
                    <w:rPr>
                      <w:rFonts w:hint="default" w:eastAsia="宋体"/>
                      <w:b/>
                      <w:color w:val="auto"/>
                      <w:szCs w:val="21"/>
                    </w:rPr>
                  </w:pPr>
                  <w:r>
                    <w:rPr>
                      <w:rFonts w:hint="default" w:eastAsia="宋体"/>
                      <w:b/>
                      <w:color w:val="auto"/>
                      <w:szCs w:val="21"/>
                    </w:rPr>
                    <w:t>相符性</w:t>
                  </w:r>
                </w:p>
              </w:tc>
            </w:tr>
            <w:tr w14:paraId="6327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21" w:type="pct"/>
                  <w:noWrap w:val="0"/>
                  <w:vAlign w:val="center"/>
                </w:tcPr>
                <w:p w14:paraId="4377DF81">
                  <w:pPr>
                    <w:pStyle w:val="26"/>
                    <w:keepNext w:val="0"/>
                    <w:keepLines w:val="0"/>
                    <w:pageBreakBefore w:val="0"/>
                    <w:suppressLineNumbers w:val="0"/>
                    <w:kinsoku/>
                    <w:wordWrap/>
                    <w:overflowPunct/>
                    <w:bidi w:val="0"/>
                    <w:adjustRightInd w:val="0"/>
                    <w:snapToGrid w:val="0"/>
                    <w:spacing w:beforeAutospacing="0" w:afterAutospacing="0"/>
                    <w:ind w:left="0" w:leftChars="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2112" w:type="pct"/>
                  <w:noWrap w:val="0"/>
                  <w:vAlign w:val="center"/>
                </w:tcPr>
                <w:p w14:paraId="0CEC904F">
                  <w:pPr>
                    <w:keepNext w:val="0"/>
                    <w:keepLines w:val="0"/>
                    <w:pageBreakBefore w:val="0"/>
                    <w:suppressLineNumbers w:val="0"/>
                    <w:kinsoku/>
                    <w:wordWrap/>
                    <w:overflowPunct/>
                    <w:bidi w:val="0"/>
                    <w:adjustRightInd w:val="0"/>
                    <w:snapToGrid w:val="0"/>
                    <w:spacing w:before="0" w:beforeAutospacing="0" w:after="0" w:afterAutospacing="0"/>
                    <w:ind w:left="0" w:leftChars="0" w:right="0"/>
                    <w:jc w:val="left"/>
                    <w:textAlignment w:val="auto"/>
                    <w:rPr>
                      <w:rFonts w:hint="eastAsia" w:eastAsia="宋体"/>
                      <w:color w:val="auto"/>
                      <w:szCs w:val="21"/>
                      <w:lang w:eastAsia="zh-CN" w:bidi="ar"/>
                    </w:rPr>
                  </w:pPr>
                  <w:r>
                    <w:rPr>
                      <w:rFonts w:hint="eastAsia" w:eastAsia="宋体"/>
                      <w:color w:val="auto"/>
                      <w:szCs w:val="21"/>
                      <w:lang w:eastAsia="zh-CN" w:bidi="ar"/>
                    </w:rPr>
                    <w:t>项目已采取含</w:t>
                  </w:r>
                  <w:r>
                    <w:rPr>
                      <w:rFonts w:hint="default" w:ascii="Times New Roman" w:hAnsi="Times New Roman" w:eastAsia="宋体" w:cs="Times New Roman"/>
                      <w:color w:val="auto"/>
                      <w:sz w:val="21"/>
                      <w:szCs w:val="21"/>
                      <w:lang w:bidi="ar"/>
                    </w:rPr>
                    <w:t>VOCs 物料（包括含 VOCs 原辅材料、含 VOCs 产品、含 VOCs 废料以及有机聚合物材料等）储存、转移和输送、设备与管线组件泄漏、敞开液面逸散以及工艺过程等五类排放源实施管控，</w:t>
                  </w:r>
                  <w:r>
                    <w:rPr>
                      <w:rFonts w:hint="eastAsia" w:cs="Times New Roman"/>
                      <w:b w:val="0"/>
                      <w:bCs w:val="0"/>
                      <w:color w:val="auto"/>
                      <w:sz w:val="21"/>
                      <w:szCs w:val="21"/>
                      <w:lang w:val="en-US" w:eastAsia="zh-CN"/>
                    </w:rPr>
                    <w:t>包装口扩散的非甲烷总烃</w:t>
                  </w:r>
                  <w:r>
                    <w:rPr>
                      <w:rFonts w:hint="default" w:ascii="Times New Roman" w:hAnsi="Times New Roman" w:eastAsia="宋体" w:cs="Times New Roman"/>
                      <w:b w:val="0"/>
                      <w:bCs w:val="0"/>
                      <w:color w:val="auto"/>
                      <w:sz w:val="21"/>
                      <w:szCs w:val="21"/>
                      <w:lang w:eastAsia="zh-CN"/>
                    </w:rPr>
                    <w:t>经</w:t>
                  </w:r>
                  <w:r>
                    <w:rPr>
                      <w:rFonts w:hint="eastAsia" w:cs="Times New Roman"/>
                      <w:b w:val="0"/>
                      <w:bCs w:val="0"/>
                      <w:color w:val="auto"/>
                      <w:sz w:val="21"/>
                      <w:szCs w:val="21"/>
                      <w:lang w:val="en-US" w:eastAsia="zh-CN"/>
                    </w:rPr>
                    <w:t>集气罩收集，</w:t>
                  </w:r>
                  <w:r>
                    <w:rPr>
                      <w:rFonts w:hint="default" w:ascii="Times New Roman" w:hAnsi="Times New Roman" w:eastAsia="宋体" w:cs="Times New Roman"/>
                      <w:b w:val="0"/>
                      <w:bCs w:val="0"/>
                      <w:color w:val="auto"/>
                      <w:sz w:val="21"/>
                      <w:szCs w:val="21"/>
                      <w:lang w:eastAsia="zh-CN"/>
                    </w:rPr>
                    <w:t>“</w:t>
                  </w:r>
                  <w:r>
                    <w:rPr>
                      <w:rFonts w:hint="eastAsia" w:cs="Times New Roman"/>
                      <w:b w:val="0"/>
                      <w:bCs w:val="0"/>
                      <w:color w:val="auto"/>
                      <w:sz w:val="21"/>
                      <w:szCs w:val="21"/>
                      <w:lang w:val="en-US" w:eastAsia="zh-CN"/>
                    </w:rPr>
                    <w:t>UV光氧+活性炭吸附</w:t>
                  </w:r>
                  <w:r>
                    <w:rPr>
                      <w:rFonts w:hint="default" w:ascii="Times New Roman" w:hAnsi="Times New Roman" w:eastAsia="宋体" w:cs="Times New Roman"/>
                      <w:b w:val="0"/>
                      <w:bCs w:val="0"/>
                      <w:color w:val="auto"/>
                      <w:sz w:val="21"/>
                      <w:szCs w:val="21"/>
                      <w:lang w:eastAsia="zh-CN"/>
                    </w:rPr>
                    <w:t>”处理后由</w:t>
                  </w:r>
                  <w:r>
                    <w:rPr>
                      <w:rFonts w:hint="eastAsia" w:cs="Times New Roman"/>
                      <w:b w:val="0"/>
                      <w:bCs w:val="0"/>
                      <w:color w:val="auto"/>
                      <w:sz w:val="21"/>
                      <w:szCs w:val="21"/>
                      <w:lang w:val="en-US" w:eastAsia="zh-CN"/>
                    </w:rPr>
                    <w:t>15</w:t>
                  </w:r>
                  <w:r>
                    <w:rPr>
                      <w:rFonts w:hint="default" w:ascii="Times New Roman" w:hAnsi="Times New Roman" w:eastAsia="宋体" w:cs="Times New Roman"/>
                      <w:b w:val="0"/>
                      <w:bCs w:val="0"/>
                      <w:color w:val="auto"/>
                      <w:sz w:val="21"/>
                      <w:szCs w:val="21"/>
                      <w:lang w:val="en-US" w:eastAsia="zh-CN"/>
                    </w:rPr>
                    <w:t>m排气筒排放</w:t>
                  </w:r>
                  <w:r>
                    <w:rPr>
                      <w:rFonts w:hint="eastAsia" w:cs="Times New Roman"/>
                      <w:b w:val="0"/>
                      <w:bCs w:val="0"/>
                      <w:color w:val="auto"/>
                      <w:sz w:val="21"/>
                      <w:szCs w:val="21"/>
                      <w:lang w:val="en-US" w:eastAsia="zh-CN"/>
                    </w:rPr>
                    <w:t>。</w:t>
                  </w:r>
                </w:p>
              </w:tc>
              <w:tc>
                <w:tcPr>
                  <w:tcW w:w="465" w:type="pct"/>
                  <w:noWrap w:val="0"/>
                  <w:vAlign w:val="center"/>
                </w:tcPr>
                <w:p w14:paraId="15D1D805">
                  <w:pPr>
                    <w:pStyle w:val="26"/>
                    <w:keepNext w:val="0"/>
                    <w:keepLines w:val="0"/>
                    <w:pageBreakBefore w:val="0"/>
                    <w:widowControl w:val="0"/>
                    <w:suppressLineNumbers w:val="0"/>
                    <w:kinsoku/>
                    <w:wordWrap/>
                    <w:overflow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相符</w:t>
                  </w:r>
                </w:p>
              </w:tc>
            </w:tr>
            <w:tr w14:paraId="58851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21" w:type="pct"/>
                  <w:noWrap w:val="0"/>
                  <w:vAlign w:val="center"/>
                </w:tcPr>
                <w:p w14:paraId="3EBF7B68">
                  <w:pPr>
                    <w:pStyle w:val="26"/>
                    <w:keepNext w:val="0"/>
                    <w:keepLines w:val="0"/>
                    <w:pageBreakBefore w:val="0"/>
                    <w:suppressLineNumbers w:val="0"/>
                    <w:kinsoku/>
                    <w:wordWrap/>
                    <w:overflowPunct/>
                    <w:bidi w:val="0"/>
                    <w:adjustRightInd w:val="0"/>
                    <w:snapToGrid w:val="0"/>
                    <w:spacing w:beforeAutospacing="0" w:afterAutospacing="0"/>
                    <w:ind w:left="0" w:leftChars="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 VOCs 无组织排放位置，控制风速应不低于 0.3米/秒，有行业要求的按相关规定执行。</w:t>
                  </w:r>
                </w:p>
              </w:tc>
              <w:tc>
                <w:tcPr>
                  <w:tcW w:w="2112" w:type="pct"/>
                  <w:noWrap w:val="0"/>
                  <w:vAlign w:val="center"/>
                </w:tcPr>
                <w:p w14:paraId="6EAEB129">
                  <w:pPr>
                    <w:pStyle w:val="26"/>
                    <w:keepNext w:val="0"/>
                    <w:keepLines w:val="0"/>
                    <w:pageBreakBefore w:val="0"/>
                    <w:suppressLineNumbers w:val="0"/>
                    <w:kinsoku/>
                    <w:wordWrap/>
                    <w:overflow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lang w:val="en-US" w:eastAsia="zh-CN" w:bidi="ar"/>
                    </w:rPr>
                  </w:pPr>
                  <w:r>
                    <w:rPr>
                      <w:rFonts w:hint="eastAsia" w:ascii="Times New Roman" w:hAnsi="Times New Roman" w:cs="Times New Roman"/>
                      <w:color w:val="auto"/>
                      <w:sz w:val="21"/>
                      <w:szCs w:val="21"/>
                      <w:lang w:eastAsia="zh-CN" w:bidi="ar"/>
                    </w:rPr>
                    <w:t>项目</w:t>
                  </w:r>
                  <w:r>
                    <w:rPr>
                      <w:rFonts w:hint="eastAsia" w:ascii="Times New Roman" w:hAnsi="Times New Roman" w:cs="Times New Roman"/>
                      <w:color w:val="auto"/>
                      <w:sz w:val="21"/>
                      <w:szCs w:val="21"/>
                      <w:lang w:val="en-US" w:eastAsia="zh-CN" w:bidi="ar"/>
                    </w:rPr>
                    <w:t>设置的是局部集气罩，</w:t>
                  </w:r>
                  <w:r>
                    <w:rPr>
                      <w:rFonts w:hint="default" w:ascii="Times New Roman" w:hAnsi="Times New Roman" w:eastAsia="宋体" w:cs="Times New Roman"/>
                      <w:color w:val="auto"/>
                      <w:sz w:val="21"/>
                      <w:szCs w:val="21"/>
                      <w:lang w:bidi="ar"/>
                    </w:rPr>
                    <w:t>集气罩开口面最远处的 VOCs 无组织排放位置，风速</w:t>
                  </w:r>
                  <w:r>
                    <w:rPr>
                      <w:rFonts w:hint="eastAsia" w:ascii="Times New Roman" w:hAnsi="Times New Roman" w:cs="Times New Roman"/>
                      <w:color w:val="auto"/>
                      <w:sz w:val="21"/>
                      <w:szCs w:val="21"/>
                      <w:lang w:val="en-US" w:eastAsia="zh-CN" w:bidi="ar"/>
                    </w:rPr>
                    <w:t>较高</w:t>
                  </w:r>
                  <w:r>
                    <w:rPr>
                      <w:rFonts w:hint="eastAsia" w:ascii="Times New Roman" w:hAnsi="Times New Roman" w:cs="Times New Roman"/>
                      <w:color w:val="auto"/>
                      <w:sz w:val="21"/>
                      <w:szCs w:val="21"/>
                      <w:lang w:eastAsia="zh-CN" w:bidi="ar"/>
                    </w:rPr>
                    <w:t>，</w:t>
                  </w:r>
                  <w:r>
                    <w:rPr>
                      <w:rFonts w:hint="default" w:ascii="Times New Roman" w:hAnsi="Times New Roman" w:eastAsia="宋体" w:cs="Times New Roman"/>
                      <w:color w:val="auto"/>
                      <w:sz w:val="21"/>
                      <w:szCs w:val="21"/>
                      <w:lang w:bidi="ar"/>
                    </w:rPr>
                    <w:t>不低于 0.3米/秒</w:t>
                  </w:r>
                </w:p>
              </w:tc>
              <w:tc>
                <w:tcPr>
                  <w:tcW w:w="465" w:type="pct"/>
                  <w:noWrap w:val="0"/>
                  <w:vAlign w:val="center"/>
                </w:tcPr>
                <w:p w14:paraId="4C0B4439">
                  <w:pPr>
                    <w:pStyle w:val="26"/>
                    <w:keepNext w:val="0"/>
                    <w:keepLines w:val="0"/>
                    <w:pageBreakBefore w:val="0"/>
                    <w:widowControl w:val="0"/>
                    <w:suppressLineNumbers w:val="0"/>
                    <w:kinsoku/>
                    <w:wordWrap/>
                    <w:overflow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相符</w:t>
                  </w:r>
                </w:p>
              </w:tc>
            </w:tr>
          </w:tbl>
          <w:p w14:paraId="6ABB0254">
            <w:pPr>
              <w:keepNext w:val="0"/>
              <w:keepLines w:val="0"/>
              <w:pageBreakBefore w:val="0"/>
              <w:suppressLineNumbers w:val="0"/>
              <w:kinsoku/>
              <w:wordWrap/>
              <w:overflowPunct/>
              <w:bidi w:val="0"/>
              <w:adjustRightInd w:val="0"/>
              <w:snapToGrid w:val="0"/>
              <w:spacing w:before="0" w:beforeAutospacing="0" w:after="0" w:afterAutospacing="0" w:line="360" w:lineRule="auto"/>
              <w:ind w:left="0" w:leftChars="0" w:right="0" w:firstLine="480" w:firstLineChars="200"/>
              <w:textAlignment w:val="auto"/>
              <w:rPr>
                <w:rFonts w:hint="default"/>
                <w:color w:val="auto"/>
                <w:sz w:val="24"/>
              </w:rPr>
            </w:pPr>
            <w:r>
              <w:rPr>
                <w:rFonts w:hint="default"/>
                <w:color w:val="auto"/>
                <w:sz w:val="24"/>
              </w:rPr>
              <w:t>综上所述，项目与《云南省重点行业挥发性有机物综合治理实施方案》（云环通〔2019〕125号）相符。</w:t>
            </w:r>
          </w:p>
          <w:p w14:paraId="6DBB5D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lang w:val="en-US" w:eastAsia="zh-CN"/>
              </w:rPr>
              <w:t>、产业政策的符合性分析</w:t>
            </w:r>
          </w:p>
          <w:p w14:paraId="17D89EE2">
            <w:pPr>
              <w:keepNext w:val="0"/>
              <w:keepLines w:val="0"/>
              <w:pageBreakBefore w:val="0"/>
              <w:suppressLineNumbers w:val="0"/>
              <w:kinsoku/>
              <w:wordWrap/>
              <w:overflowPunct/>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为涂料生产项目，根据《国民经济行业分类》（GB/T4754-2017）及第1号修改单的通知（国统字〔2019〕66号），本项目属于C2641涂料制造。根据《产业结构调整指导目录（2019年本）》（2020年1月1日实施）；项目不属于鼓励类、限制类和淘汰类目录之列，属于允许类项目，符合国家产业政策。</w:t>
            </w:r>
          </w:p>
          <w:p w14:paraId="68CEC7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8</w:t>
            </w:r>
            <w:r>
              <w:rPr>
                <w:rFonts w:hint="default" w:ascii="Times New Roman" w:hAnsi="Times New Roman" w:eastAsia="宋体" w:cs="Times New Roman"/>
                <w:b/>
                <w:bCs/>
                <w:color w:val="auto"/>
                <w:sz w:val="24"/>
                <w:szCs w:val="24"/>
                <w:lang w:val="en-US" w:eastAsia="zh-CN"/>
              </w:rPr>
              <w:t>、选址符合性分析</w:t>
            </w:r>
          </w:p>
          <w:p w14:paraId="58BBC13E">
            <w:pPr>
              <w:keepNext w:val="0"/>
              <w:keepLines w:val="0"/>
              <w:pageBreakBefore w:val="0"/>
              <w:suppressLineNumbers w:val="0"/>
              <w:kinsoku/>
              <w:wordWrap/>
              <w:overflowPunct/>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项目为涂料生产，位于富民工业园区白石岩—大白坡片区</w:t>
            </w:r>
            <w:r>
              <w:rPr>
                <w:rFonts w:hint="eastAsia" w:cs="Times New Roman"/>
                <w:color w:val="auto"/>
                <w:sz w:val="24"/>
                <w:szCs w:val="24"/>
                <w:lang w:val="en-US" w:eastAsia="zh-CN"/>
              </w:rPr>
              <w:t>哨箐</w:t>
            </w:r>
            <w:r>
              <w:rPr>
                <w:rFonts w:hint="default" w:ascii="Times New Roman" w:hAnsi="Times New Roman" w:eastAsia="宋体" w:cs="Times New Roman"/>
                <w:color w:val="auto"/>
                <w:sz w:val="24"/>
                <w:szCs w:val="24"/>
                <w:lang w:val="en-US" w:eastAsia="zh-CN"/>
              </w:rPr>
              <w:t>组团，属工业用地，符合园区规划。由于园区基础设施的建设，所选厂地在供电、供水、交通等基础条件十分便利。根据引用的环境质量数据，项目区具有一定的环境容量，对项目建设无重大环境制约因素。在采取相应环保措施后，项目产生的废气对周围环境影响较小；废水</w:t>
            </w:r>
            <w:r>
              <w:rPr>
                <w:rFonts w:hint="eastAsia" w:cs="Times New Roman"/>
                <w:color w:val="auto"/>
                <w:sz w:val="24"/>
                <w:szCs w:val="24"/>
                <w:lang w:val="en-US" w:eastAsia="zh-CN"/>
              </w:rPr>
              <w:t>经自建污水处理站处理达标后排入园区污水管网</w:t>
            </w:r>
            <w:r>
              <w:rPr>
                <w:rFonts w:hint="default" w:ascii="Times New Roman" w:hAnsi="Times New Roman" w:eastAsia="宋体" w:cs="Times New Roman"/>
                <w:color w:val="auto"/>
                <w:sz w:val="24"/>
                <w:szCs w:val="24"/>
                <w:lang w:val="en-US" w:eastAsia="zh-CN"/>
              </w:rPr>
              <w:t>；噪声厂界可达标排放；固体废物均能得到合理处置，项目</w:t>
            </w:r>
            <w:r>
              <w:rPr>
                <w:rFonts w:hint="eastAsia" w:cs="Times New Roman"/>
                <w:color w:val="auto"/>
                <w:sz w:val="24"/>
                <w:szCs w:val="24"/>
                <w:lang w:val="en-US" w:eastAsia="zh-CN"/>
              </w:rPr>
              <w:t>周边500m范围主要分布有电器设备及机械制造企业</w:t>
            </w:r>
            <w:r>
              <w:rPr>
                <w:rFonts w:hint="default" w:ascii="Times New Roman" w:hAnsi="Times New Roman" w:eastAsia="宋体" w:cs="Times New Roman"/>
                <w:color w:val="auto"/>
                <w:sz w:val="24"/>
                <w:szCs w:val="24"/>
                <w:lang w:val="en-US" w:eastAsia="zh-CN"/>
              </w:rPr>
              <w:t>与周围环境相容。</w:t>
            </w:r>
            <w:r>
              <w:rPr>
                <w:rFonts w:hint="eastAsia"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周围无需要特殊保护的文物、名胜、古迹和文化、自然遗产，不属于自然保护区和风景名胜区的保护范围。</w:t>
            </w:r>
          </w:p>
          <w:p w14:paraId="2F3221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综上，项目建设场地条件、交通运输、环境保护和水、电、通信等条件好，无重大的环境制约因素，项目选址合理。</w:t>
            </w:r>
          </w:p>
          <w:p w14:paraId="7C5D1C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9</w:t>
            </w:r>
            <w:r>
              <w:rPr>
                <w:rFonts w:hint="default" w:ascii="Times New Roman" w:hAnsi="Times New Roman" w:eastAsia="宋体" w:cs="Times New Roman"/>
                <w:b/>
                <w:bCs/>
                <w:color w:val="auto"/>
                <w:sz w:val="24"/>
                <w:szCs w:val="24"/>
                <w:lang w:val="en-US" w:eastAsia="zh-CN"/>
              </w:rPr>
              <w:t>、平面布置符合性分析</w:t>
            </w:r>
          </w:p>
          <w:p w14:paraId="195ADFE8">
            <w:pPr>
              <w:keepNext w:val="0"/>
              <w:keepLines w:val="0"/>
              <w:pageBreakBefore w:val="0"/>
              <w:suppressLineNumbers w:val="0"/>
              <w:kinsoku/>
              <w:wordWrap/>
              <w:overflowPunct/>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0"/>
                <w:sz w:val="24"/>
                <w:szCs w:val="24"/>
                <w:lang w:val="en-US" w:eastAsia="zh-CN" w:bidi="ar"/>
              </w:rPr>
              <w:t>本</w:t>
            </w:r>
            <w:r>
              <w:rPr>
                <w:rFonts w:hint="default" w:ascii="Times New Roman" w:hAnsi="Times New Roman" w:eastAsia="宋体" w:cs="Times New Roman"/>
                <w:color w:val="auto"/>
                <w:sz w:val="24"/>
                <w:szCs w:val="24"/>
                <w:lang w:val="en-US" w:eastAsia="zh-CN"/>
              </w:rPr>
              <w:t>项目为扩建项目，厂区布局已形成。厂区分为两个片区，办公区（含食堂）设置在东南角；厂</w:t>
            </w:r>
            <w:r>
              <w:rPr>
                <w:rFonts w:hint="eastAsia" w:cs="Times New Roman"/>
                <w:color w:val="auto"/>
                <w:sz w:val="24"/>
                <w:szCs w:val="24"/>
                <w:lang w:val="en-US" w:eastAsia="zh-CN"/>
              </w:rPr>
              <w:t>区</w:t>
            </w:r>
            <w:r>
              <w:rPr>
                <w:rFonts w:hint="default" w:ascii="Times New Roman" w:hAnsi="Times New Roman" w:eastAsia="宋体" w:cs="Times New Roman"/>
                <w:color w:val="auto"/>
                <w:sz w:val="24"/>
                <w:szCs w:val="24"/>
                <w:lang w:val="en-US" w:eastAsia="zh-CN"/>
              </w:rPr>
              <w:t>北面为生产区，设置有</w:t>
            </w:r>
            <w:r>
              <w:rPr>
                <w:rFonts w:hint="eastAsia" w:cs="Times New Roman"/>
                <w:color w:val="auto"/>
                <w:sz w:val="24"/>
                <w:szCs w:val="24"/>
                <w:lang w:val="en-US" w:eastAsia="zh-CN"/>
              </w:rPr>
              <w:t>水性涂料</w:t>
            </w:r>
            <w:r>
              <w:rPr>
                <w:rFonts w:hint="default" w:ascii="Times New Roman" w:hAnsi="Times New Roman" w:eastAsia="宋体" w:cs="Times New Roman"/>
                <w:color w:val="auto"/>
                <w:sz w:val="24"/>
                <w:szCs w:val="24"/>
                <w:lang w:val="en-US" w:eastAsia="zh-CN"/>
              </w:rPr>
              <w:t>生产车间、</w:t>
            </w:r>
            <w:r>
              <w:rPr>
                <w:rFonts w:hint="eastAsia" w:cs="Times New Roman"/>
                <w:color w:val="auto"/>
                <w:sz w:val="24"/>
                <w:szCs w:val="24"/>
                <w:lang w:val="en-US" w:eastAsia="zh-CN"/>
              </w:rPr>
              <w:t>水性涂料</w:t>
            </w:r>
            <w:r>
              <w:rPr>
                <w:rFonts w:hint="default" w:ascii="Times New Roman" w:hAnsi="Times New Roman" w:eastAsia="宋体" w:cs="Times New Roman"/>
                <w:color w:val="auto"/>
                <w:sz w:val="24"/>
                <w:szCs w:val="24"/>
                <w:lang w:val="en-US" w:eastAsia="zh-CN"/>
              </w:rPr>
              <w:t>成品库、腻子粉生产车间和原料仓库；1栋甲类库、</w:t>
            </w:r>
            <w:r>
              <w:rPr>
                <w:rFonts w:hint="eastAsia" w:cs="Times New Roman"/>
                <w:color w:val="auto"/>
                <w:sz w:val="24"/>
                <w:szCs w:val="24"/>
                <w:lang w:val="en-US" w:eastAsia="zh-CN"/>
              </w:rPr>
              <w:t>1个</w:t>
            </w:r>
            <w:r>
              <w:rPr>
                <w:rFonts w:hint="default" w:ascii="Times New Roman" w:hAnsi="Times New Roman" w:eastAsia="宋体" w:cs="Times New Roman"/>
                <w:color w:val="auto"/>
                <w:sz w:val="24"/>
                <w:szCs w:val="24"/>
                <w:lang w:val="en-US" w:eastAsia="zh-CN"/>
              </w:rPr>
              <w:t>危废间均为沿西边厂界进行布置；东北角设置事故水池和一般固废间。生产线布置于</w:t>
            </w:r>
            <w:r>
              <w:rPr>
                <w:rFonts w:hint="eastAsia" w:cs="Times New Roman"/>
                <w:color w:val="auto"/>
                <w:sz w:val="24"/>
                <w:szCs w:val="24"/>
                <w:lang w:val="en-US" w:eastAsia="zh-CN"/>
              </w:rPr>
              <w:t>两个</w:t>
            </w:r>
            <w:r>
              <w:rPr>
                <w:rFonts w:hint="default" w:ascii="Times New Roman" w:hAnsi="Times New Roman" w:eastAsia="宋体" w:cs="Times New Roman"/>
                <w:color w:val="auto"/>
                <w:sz w:val="24"/>
                <w:szCs w:val="24"/>
                <w:lang w:val="en-US" w:eastAsia="zh-CN"/>
              </w:rPr>
              <w:t>间生产车间内，另设置</w:t>
            </w:r>
            <w:r>
              <w:rPr>
                <w:rFonts w:hint="eastAsia" w:cs="Times New Roman"/>
                <w:color w:val="auto"/>
                <w:sz w:val="24"/>
                <w:szCs w:val="24"/>
                <w:lang w:val="en-US" w:eastAsia="zh-CN"/>
              </w:rPr>
              <w:t>1个</w:t>
            </w:r>
            <w:r>
              <w:rPr>
                <w:rFonts w:hint="default" w:ascii="Times New Roman" w:hAnsi="Times New Roman" w:eastAsia="宋体" w:cs="Times New Roman"/>
                <w:color w:val="auto"/>
                <w:sz w:val="24"/>
                <w:szCs w:val="24"/>
                <w:lang w:val="en-US" w:eastAsia="zh-CN"/>
              </w:rPr>
              <w:t>原料库。</w:t>
            </w:r>
            <w:r>
              <w:rPr>
                <w:rFonts w:hint="eastAsia" w:cs="Times New Roman"/>
                <w:color w:val="auto"/>
                <w:sz w:val="24"/>
                <w:szCs w:val="24"/>
                <w:lang w:val="en-US" w:eastAsia="zh-CN"/>
              </w:rPr>
              <w:t>水性涂料生产</w:t>
            </w:r>
            <w:r>
              <w:rPr>
                <w:rFonts w:hint="default" w:ascii="Times New Roman" w:hAnsi="Times New Roman" w:eastAsia="宋体" w:cs="Times New Roman"/>
                <w:color w:val="auto"/>
                <w:sz w:val="24"/>
                <w:szCs w:val="24"/>
                <w:lang w:val="en-US" w:eastAsia="zh-CN"/>
              </w:rPr>
              <w:t>车间设置2条乳胶漆生产线</w:t>
            </w:r>
            <w:r>
              <w:rPr>
                <w:rFonts w:hint="eastAsia" w:cs="Times New Roman"/>
                <w:color w:val="auto"/>
                <w:sz w:val="24"/>
                <w:szCs w:val="24"/>
                <w:lang w:val="en-US" w:eastAsia="zh-CN"/>
              </w:rPr>
              <w:t>、1条砂壁产品生产线</w:t>
            </w:r>
            <w:r>
              <w:rPr>
                <w:rFonts w:hint="default" w:ascii="Times New Roman" w:hAnsi="Times New Roman" w:eastAsia="宋体" w:cs="Times New Roman"/>
                <w:color w:val="auto"/>
                <w:sz w:val="24"/>
                <w:szCs w:val="24"/>
                <w:lang w:val="en-US" w:eastAsia="zh-CN"/>
              </w:rPr>
              <w:t>，腻子粉车间设置2条腻子粉生产线，在</w:t>
            </w:r>
            <w:r>
              <w:rPr>
                <w:rFonts w:hint="eastAsia" w:cs="Times New Roman"/>
                <w:color w:val="auto"/>
                <w:sz w:val="24"/>
                <w:szCs w:val="24"/>
                <w:lang w:val="en-US" w:eastAsia="zh-CN"/>
              </w:rPr>
              <w:t>厂区</w:t>
            </w:r>
            <w:r>
              <w:rPr>
                <w:rFonts w:hint="default" w:ascii="Times New Roman" w:hAnsi="Times New Roman" w:eastAsia="宋体" w:cs="Times New Roman"/>
                <w:color w:val="auto"/>
                <w:sz w:val="24"/>
                <w:szCs w:val="24"/>
                <w:lang w:val="en-US" w:eastAsia="zh-CN"/>
              </w:rPr>
              <w:t>的西南角靠近山体的位置设置有污水处理系统。甲类库、危废间</w:t>
            </w:r>
            <w:r>
              <w:rPr>
                <w:rFonts w:hint="eastAsia" w:cs="Times New Roman"/>
                <w:color w:val="auto"/>
                <w:sz w:val="24"/>
                <w:szCs w:val="24"/>
                <w:lang w:val="en-US" w:eastAsia="zh-CN"/>
              </w:rPr>
              <w:t>设置在厂区侧风向，办公生活区设置在厂区上风向，厂区布置合理。</w:t>
            </w:r>
          </w:p>
          <w:p w14:paraId="2B8E0D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10</w:t>
            </w:r>
            <w:r>
              <w:rPr>
                <w:rFonts w:hint="default" w:ascii="Times New Roman" w:hAnsi="Times New Roman" w:eastAsia="宋体" w:cs="Times New Roman"/>
                <w:b/>
                <w:bCs/>
                <w:color w:val="auto"/>
                <w:sz w:val="24"/>
                <w:szCs w:val="24"/>
                <w:lang w:val="en-US" w:eastAsia="zh-CN"/>
              </w:rPr>
              <w:t>、环境相容性分析</w:t>
            </w:r>
          </w:p>
          <w:p w14:paraId="23852ED4">
            <w:pPr>
              <w:pStyle w:val="26"/>
              <w:keepNext w:val="0"/>
              <w:keepLines w:val="0"/>
              <w:pageBreakBefore w:val="0"/>
              <w:widowControl/>
              <w:suppressLineNumbers w:val="0"/>
              <w:kinsoku/>
              <w:wordWrap/>
              <w:overflowPunct/>
              <w:autoSpaceDE w:val="0"/>
              <w:autoSpaceDN w:val="0"/>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lang w:val="en-US"/>
              </w:rPr>
            </w:pPr>
            <w:r>
              <w:rPr>
                <w:rFonts w:hint="default" w:ascii="Times New Roman" w:hAnsi="Times New Roman" w:eastAsia="宋体" w:cs="Times New Roman"/>
                <w:color w:val="auto"/>
                <w:sz w:val="24"/>
                <w:szCs w:val="24"/>
                <w:lang w:val="en-US" w:eastAsia="zh-CN"/>
              </w:rPr>
              <w:t>本项目位于云南省昆明市富民工业园区白石岩—大白坡片区</w:t>
            </w:r>
            <w:r>
              <w:rPr>
                <w:rFonts w:hint="eastAsia" w:ascii="Times New Roman" w:hAnsi="Times New Roman" w:cs="Times New Roman"/>
                <w:color w:val="auto"/>
                <w:sz w:val="24"/>
                <w:szCs w:val="24"/>
                <w:lang w:val="en-US" w:eastAsia="zh-CN"/>
              </w:rPr>
              <w:t>哨箐</w:t>
            </w:r>
            <w:r>
              <w:rPr>
                <w:rFonts w:hint="default" w:ascii="Times New Roman" w:hAnsi="Times New Roman" w:eastAsia="宋体" w:cs="Times New Roman"/>
                <w:color w:val="auto"/>
                <w:sz w:val="24"/>
                <w:szCs w:val="24"/>
                <w:lang w:val="en-US" w:eastAsia="zh-CN"/>
              </w:rPr>
              <w:t>组团，</w:t>
            </w:r>
            <w:r>
              <w:rPr>
                <w:rFonts w:hint="default" w:ascii="Times New Roman" w:hAnsi="Times New Roman" w:eastAsia="宋体" w:cs="Times New Roman"/>
                <w:color w:val="auto"/>
                <w:kern w:val="2"/>
                <w:sz w:val="24"/>
                <w:szCs w:val="24"/>
                <w:lang w:val="en-US" w:eastAsia="zh-CN" w:bidi="ar"/>
              </w:rPr>
              <w:t>项目所在地的周边关系详见</w:t>
            </w:r>
            <w:r>
              <w:rPr>
                <w:rFonts w:hint="eastAsia" w:ascii="Times New Roman" w:hAnsi="Times New Roman" w:cs="Times New Roman"/>
                <w:color w:val="auto"/>
                <w:kern w:val="2"/>
                <w:sz w:val="24"/>
                <w:szCs w:val="24"/>
                <w:lang w:val="en-US" w:eastAsia="zh-CN" w:bidi="ar"/>
              </w:rPr>
              <w:t>下表</w:t>
            </w:r>
            <w:r>
              <w:rPr>
                <w:rFonts w:hint="default" w:ascii="Times New Roman" w:hAnsi="Times New Roman" w:eastAsia="宋体" w:cs="Times New Roman"/>
                <w:color w:val="auto"/>
                <w:kern w:val="2"/>
                <w:sz w:val="24"/>
                <w:szCs w:val="24"/>
                <w:lang w:val="en-US" w:eastAsia="zh-CN" w:bidi="ar"/>
              </w:rPr>
              <w:t>。</w:t>
            </w:r>
          </w:p>
          <w:p w14:paraId="4EC45C19">
            <w:pPr>
              <w:keepNext w:val="0"/>
              <w:keepLines w:val="0"/>
              <w:pageBreakBefore w:val="0"/>
              <w:widowControl w:val="0"/>
              <w:suppressLineNumbers w:val="0"/>
              <w:kinsoku/>
              <w:wordWrap/>
              <w:overflowPunct/>
              <w:bidi w:val="0"/>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lang w:val="en-US"/>
              </w:rPr>
            </w:pPr>
            <w:r>
              <w:rPr>
                <w:rFonts w:hint="default" w:ascii="Times New Roman" w:hAnsi="Times New Roman" w:eastAsia="宋体" w:cs="Times New Roman"/>
                <w:b/>
                <w:bCs w:val="0"/>
                <w:color w:val="auto"/>
                <w:kern w:val="2"/>
                <w:sz w:val="21"/>
                <w:szCs w:val="22"/>
                <w:lang w:val="en-US" w:eastAsia="zh-CN" w:bidi="ar"/>
              </w:rPr>
              <w:t>表</w:t>
            </w:r>
            <w:r>
              <w:rPr>
                <w:rFonts w:hint="default" w:ascii="Times New Roman" w:hAnsi="Times New Roman" w:eastAsia="宋体" w:cs="Times New Roman"/>
                <w:b/>
                <w:bCs/>
                <w:color w:val="auto"/>
                <w:kern w:val="2"/>
                <w:sz w:val="21"/>
                <w:szCs w:val="22"/>
                <w:lang w:val="en-US" w:eastAsia="zh-CN" w:bidi="ar"/>
              </w:rPr>
              <w:t>1-</w:t>
            </w:r>
            <w:r>
              <w:rPr>
                <w:rFonts w:hint="eastAsia" w:cs="Times New Roman"/>
                <w:b/>
                <w:bCs/>
                <w:color w:val="auto"/>
                <w:kern w:val="2"/>
                <w:sz w:val="21"/>
                <w:szCs w:val="22"/>
                <w:lang w:val="en-US" w:eastAsia="zh-CN" w:bidi="ar"/>
              </w:rPr>
              <w:t>7</w:t>
            </w:r>
            <w:r>
              <w:rPr>
                <w:rFonts w:hint="default" w:ascii="Times New Roman" w:hAnsi="Times New Roman" w:eastAsia="宋体" w:cs="Times New Roman"/>
                <w:color w:val="auto"/>
                <w:kern w:val="2"/>
                <w:sz w:val="21"/>
                <w:szCs w:val="22"/>
                <w:lang w:val="en-US" w:eastAsia="zh-CN" w:bidi="ar"/>
              </w:rPr>
              <w:t xml:space="preserve">  </w:t>
            </w:r>
            <w:r>
              <w:rPr>
                <w:rFonts w:hint="default" w:ascii="Times New Roman" w:hAnsi="Times New Roman" w:eastAsia="宋体" w:cs="Times New Roman"/>
                <w:b/>
                <w:bCs w:val="0"/>
                <w:color w:val="auto"/>
                <w:kern w:val="2"/>
                <w:sz w:val="21"/>
                <w:szCs w:val="22"/>
                <w:lang w:val="en-US" w:eastAsia="zh-CN" w:bidi="ar"/>
              </w:rPr>
              <w:t>项目周围环境关系一览表</w:t>
            </w:r>
          </w:p>
          <w:tbl>
            <w:tblPr>
              <w:tblStyle w:val="28"/>
              <w:tblW w:w="497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886"/>
              <w:gridCol w:w="3440"/>
              <w:gridCol w:w="1599"/>
              <w:gridCol w:w="1788"/>
            </w:tblGrid>
            <w:tr w14:paraId="08D4CB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27" w:hRule="atLeast"/>
                <w:jc w:val="center"/>
              </w:trPr>
              <w:tc>
                <w:tcPr>
                  <w:tcW w:w="577" w:type="pct"/>
                  <w:tcBorders>
                    <w:top w:val="single" w:color="auto" w:sz="2" w:space="0"/>
                    <w:left w:val="single" w:color="auto" w:sz="2" w:space="0"/>
                    <w:bottom w:val="single" w:color="auto" w:sz="2" w:space="0"/>
                    <w:right w:val="single" w:color="auto" w:sz="2" w:space="0"/>
                  </w:tcBorders>
                  <w:shd w:val="clear" w:color="auto" w:fill="auto"/>
                  <w:vAlign w:val="center"/>
                </w:tcPr>
                <w:p w14:paraId="6820B04B">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序号</w:t>
                  </w:r>
                </w:p>
              </w:tc>
              <w:tc>
                <w:tcPr>
                  <w:tcW w:w="2232" w:type="pct"/>
                  <w:tcBorders>
                    <w:top w:val="single" w:color="auto" w:sz="2" w:space="0"/>
                    <w:left w:val="single" w:color="auto" w:sz="2" w:space="0"/>
                    <w:bottom w:val="single" w:color="auto" w:sz="2" w:space="0"/>
                    <w:right w:val="single" w:color="auto" w:sz="2" w:space="0"/>
                  </w:tcBorders>
                  <w:shd w:val="clear" w:color="auto" w:fill="auto"/>
                  <w:vAlign w:val="center"/>
                </w:tcPr>
                <w:p w14:paraId="36A6756C">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名称</w:t>
                  </w:r>
                </w:p>
              </w:tc>
              <w:tc>
                <w:tcPr>
                  <w:tcW w:w="1033" w:type="pct"/>
                  <w:tcBorders>
                    <w:top w:val="single" w:color="auto" w:sz="2" w:space="0"/>
                    <w:left w:val="single" w:color="auto" w:sz="2" w:space="0"/>
                    <w:bottom w:val="single" w:color="auto" w:sz="2" w:space="0"/>
                    <w:right w:val="single" w:color="auto" w:sz="2" w:space="0"/>
                  </w:tcBorders>
                  <w:shd w:val="clear" w:color="auto" w:fill="auto"/>
                  <w:vAlign w:val="center"/>
                </w:tcPr>
                <w:p w14:paraId="18D85EA9">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方位/距离</w:t>
                  </w:r>
                </w:p>
              </w:tc>
              <w:tc>
                <w:tcPr>
                  <w:tcW w:w="1155" w:type="pct"/>
                  <w:tcBorders>
                    <w:top w:val="single" w:color="auto" w:sz="2" w:space="0"/>
                    <w:left w:val="single" w:color="auto" w:sz="2" w:space="0"/>
                    <w:bottom w:val="single" w:color="auto" w:sz="2" w:space="0"/>
                    <w:right w:val="single" w:color="auto" w:sz="2" w:space="0"/>
                  </w:tcBorders>
                  <w:shd w:val="clear" w:color="auto" w:fill="auto"/>
                  <w:vAlign w:val="center"/>
                </w:tcPr>
                <w:p w14:paraId="7B3988F5">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污染物</w:t>
                  </w:r>
                </w:p>
              </w:tc>
            </w:tr>
            <w:tr w14:paraId="65F91F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577" w:type="pct"/>
                  <w:tcBorders>
                    <w:top w:val="single" w:color="auto" w:sz="2" w:space="0"/>
                    <w:left w:val="single" w:color="auto" w:sz="2" w:space="0"/>
                    <w:bottom w:val="single" w:color="auto" w:sz="2" w:space="0"/>
                    <w:right w:val="single" w:color="auto" w:sz="2" w:space="0"/>
                  </w:tcBorders>
                  <w:shd w:val="clear" w:color="auto" w:fill="auto"/>
                  <w:vAlign w:val="center"/>
                </w:tcPr>
                <w:p w14:paraId="4E2963E3">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1</w:t>
                  </w:r>
                </w:p>
              </w:tc>
              <w:tc>
                <w:tcPr>
                  <w:tcW w:w="2232" w:type="pct"/>
                  <w:tcBorders>
                    <w:top w:val="single" w:color="auto" w:sz="2" w:space="0"/>
                    <w:left w:val="single" w:color="auto" w:sz="2" w:space="0"/>
                    <w:bottom w:val="single" w:color="auto" w:sz="2" w:space="0"/>
                    <w:right w:val="single" w:color="auto" w:sz="2" w:space="0"/>
                  </w:tcBorders>
                  <w:shd w:val="clear" w:color="auto" w:fill="auto"/>
                  <w:vAlign w:val="center"/>
                </w:tcPr>
                <w:p w14:paraId="057485D5">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 xml:space="preserve">昆明湘云衡电器设备有限公司   </w:t>
                  </w:r>
                </w:p>
              </w:tc>
              <w:tc>
                <w:tcPr>
                  <w:tcW w:w="1033" w:type="pct"/>
                  <w:tcBorders>
                    <w:top w:val="single" w:color="auto" w:sz="2" w:space="0"/>
                    <w:left w:val="single" w:color="auto" w:sz="2" w:space="0"/>
                    <w:bottom w:val="single" w:color="auto" w:sz="2" w:space="0"/>
                    <w:right w:val="single" w:color="auto" w:sz="2" w:space="0"/>
                  </w:tcBorders>
                  <w:shd w:val="clear" w:color="auto" w:fill="auto"/>
                  <w:vAlign w:val="center"/>
                </w:tcPr>
                <w:p w14:paraId="1C432242">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eastAsia" w:cs="Times New Roman"/>
                      <w:color w:val="auto"/>
                      <w:kern w:val="2"/>
                      <w:sz w:val="21"/>
                      <w:szCs w:val="21"/>
                      <w:lang w:val="en-US" w:eastAsia="zh-CN" w:bidi="ar"/>
                    </w:rPr>
                    <w:t>南</w:t>
                  </w:r>
                  <w:r>
                    <w:rPr>
                      <w:rFonts w:hint="default" w:ascii="Times New Roman" w:hAnsi="Times New Roman" w:eastAsia="宋体" w:cs="Times New Roman"/>
                      <w:color w:val="auto"/>
                      <w:kern w:val="2"/>
                      <w:sz w:val="21"/>
                      <w:szCs w:val="21"/>
                      <w:lang w:val="en-US" w:eastAsia="zh-CN" w:bidi="ar"/>
                    </w:rPr>
                    <w:t>侧</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2m</w:t>
                  </w:r>
                </w:p>
              </w:tc>
              <w:tc>
                <w:tcPr>
                  <w:tcW w:w="1155" w:type="pct"/>
                  <w:tcBorders>
                    <w:top w:val="single" w:color="auto" w:sz="2" w:space="0"/>
                    <w:left w:val="single" w:color="auto" w:sz="2" w:space="0"/>
                    <w:bottom w:val="single" w:color="auto" w:sz="2" w:space="0"/>
                    <w:right w:val="single" w:color="auto" w:sz="2" w:space="0"/>
                  </w:tcBorders>
                  <w:shd w:val="clear" w:color="auto" w:fill="auto"/>
                  <w:vAlign w:val="center"/>
                </w:tcPr>
                <w:p w14:paraId="1EE2812E">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TSP、VOCs</w:t>
                  </w:r>
                </w:p>
              </w:tc>
            </w:tr>
            <w:tr w14:paraId="00B53C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577" w:type="pct"/>
                  <w:tcBorders>
                    <w:top w:val="single" w:color="auto" w:sz="2" w:space="0"/>
                    <w:left w:val="single" w:color="auto" w:sz="2" w:space="0"/>
                    <w:bottom w:val="single" w:color="auto" w:sz="2" w:space="0"/>
                    <w:right w:val="single" w:color="auto" w:sz="2" w:space="0"/>
                  </w:tcBorders>
                  <w:shd w:val="clear" w:color="auto" w:fill="auto"/>
                  <w:vAlign w:val="center"/>
                </w:tcPr>
                <w:p w14:paraId="343D2082">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2</w:t>
                  </w:r>
                </w:p>
              </w:tc>
              <w:tc>
                <w:tcPr>
                  <w:tcW w:w="2232" w:type="pct"/>
                  <w:tcBorders>
                    <w:top w:val="single" w:color="auto" w:sz="2" w:space="0"/>
                    <w:left w:val="single" w:color="auto" w:sz="2" w:space="0"/>
                    <w:bottom w:val="single" w:color="auto" w:sz="2" w:space="0"/>
                    <w:right w:val="single" w:color="auto" w:sz="2" w:space="0"/>
                  </w:tcBorders>
                  <w:shd w:val="clear" w:color="auto" w:fill="auto"/>
                  <w:vAlign w:val="center"/>
                </w:tcPr>
                <w:p w14:paraId="61E42294">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 xml:space="preserve">斯特龙板业有限公司 </w:t>
                  </w:r>
                </w:p>
              </w:tc>
              <w:tc>
                <w:tcPr>
                  <w:tcW w:w="1033" w:type="pct"/>
                  <w:tcBorders>
                    <w:top w:val="single" w:color="auto" w:sz="2" w:space="0"/>
                    <w:left w:val="single" w:color="auto" w:sz="2" w:space="0"/>
                    <w:bottom w:val="single" w:color="auto" w:sz="2" w:space="0"/>
                    <w:right w:val="single" w:color="auto" w:sz="2" w:space="0"/>
                  </w:tcBorders>
                  <w:shd w:val="clear" w:color="auto" w:fill="auto"/>
                  <w:vAlign w:val="center"/>
                </w:tcPr>
                <w:p w14:paraId="5DBC1466">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 xml:space="preserve">  南侧</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60m</w:t>
                  </w:r>
                </w:p>
              </w:tc>
              <w:tc>
                <w:tcPr>
                  <w:tcW w:w="1155" w:type="pct"/>
                  <w:tcBorders>
                    <w:top w:val="single" w:color="auto" w:sz="2" w:space="0"/>
                    <w:left w:val="single" w:color="auto" w:sz="2" w:space="0"/>
                    <w:bottom w:val="single" w:color="auto" w:sz="2" w:space="0"/>
                    <w:right w:val="single" w:color="auto" w:sz="2" w:space="0"/>
                  </w:tcBorders>
                  <w:shd w:val="clear" w:color="auto" w:fill="auto"/>
                  <w:vAlign w:val="center"/>
                </w:tcPr>
                <w:p w14:paraId="5A8D3FED">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TSP</w:t>
                  </w:r>
                </w:p>
              </w:tc>
            </w:tr>
            <w:tr w14:paraId="0FA36D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577" w:type="pct"/>
                  <w:tcBorders>
                    <w:top w:val="single" w:color="auto" w:sz="2" w:space="0"/>
                    <w:left w:val="single" w:color="auto" w:sz="2" w:space="0"/>
                    <w:bottom w:val="single" w:color="auto" w:sz="2" w:space="0"/>
                    <w:right w:val="single" w:color="auto" w:sz="2" w:space="0"/>
                  </w:tcBorders>
                  <w:shd w:val="clear" w:color="auto" w:fill="auto"/>
                  <w:vAlign w:val="center"/>
                </w:tcPr>
                <w:p w14:paraId="194D4228">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3</w:t>
                  </w:r>
                </w:p>
              </w:tc>
              <w:tc>
                <w:tcPr>
                  <w:tcW w:w="2232" w:type="pct"/>
                  <w:tcBorders>
                    <w:top w:val="single" w:color="auto" w:sz="2" w:space="0"/>
                    <w:left w:val="single" w:color="auto" w:sz="2" w:space="0"/>
                    <w:bottom w:val="single" w:color="auto" w:sz="2" w:space="0"/>
                    <w:right w:val="single" w:color="auto" w:sz="2" w:space="0"/>
                  </w:tcBorders>
                  <w:shd w:val="clear" w:color="auto" w:fill="auto"/>
                  <w:vAlign w:val="center"/>
                </w:tcPr>
                <w:p w14:paraId="52404DF4">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 xml:space="preserve">昆明远实机械设备制造有限公司  </w:t>
                  </w:r>
                </w:p>
              </w:tc>
              <w:tc>
                <w:tcPr>
                  <w:tcW w:w="1033" w:type="pct"/>
                  <w:tcBorders>
                    <w:top w:val="single" w:color="auto" w:sz="2" w:space="0"/>
                    <w:left w:val="single" w:color="auto" w:sz="2" w:space="0"/>
                    <w:bottom w:val="single" w:color="auto" w:sz="2" w:space="0"/>
                    <w:right w:val="single" w:color="auto" w:sz="2" w:space="0"/>
                  </w:tcBorders>
                  <w:shd w:val="clear" w:color="auto" w:fill="auto"/>
                  <w:vAlign w:val="center"/>
                </w:tcPr>
                <w:p w14:paraId="00903432">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东侧</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14m</w:t>
                  </w:r>
                </w:p>
              </w:tc>
              <w:tc>
                <w:tcPr>
                  <w:tcW w:w="1155" w:type="pct"/>
                  <w:tcBorders>
                    <w:top w:val="single" w:color="auto" w:sz="2" w:space="0"/>
                    <w:left w:val="single" w:color="auto" w:sz="2" w:space="0"/>
                    <w:bottom w:val="single" w:color="auto" w:sz="2" w:space="0"/>
                    <w:right w:val="single" w:color="auto" w:sz="2" w:space="0"/>
                  </w:tcBorders>
                  <w:shd w:val="clear" w:color="auto" w:fill="auto"/>
                  <w:vAlign w:val="center"/>
                </w:tcPr>
                <w:p w14:paraId="176A79FE">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TSP</w:t>
                  </w:r>
                </w:p>
              </w:tc>
            </w:tr>
            <w:tr w14:paraId="6A3837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577" w:type="pct"/>
                  <w:tcBorders>
                    <w:top w:val="single" w:color="auto" w:sz="2" w:space="0"/>
                    <w:left w:val="single" w:color="auto" w:sz="2" w:space="0"/>
                    <w:bottom w:val="single" w:color="auto" w:sz="2" w:space="0"/>
                    <w:right w:val="single" w:color="auto" w:sz="2" w:space="0"/>
                  </w:tcBorders>
                  <w:shd w:val="clear" w:color="auto" w:fill="auto"/>
                  <w:vAlign w:val="center"/>
                </w:tcPr>
                <w:p w14:paraId="32E6CC4C">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4</w:t>
                  </w:r>
                </w:p>
              </w:tc>
              <w:tc>
                <w:tcPr>
                  <w:tcW w:w="2232" w:type="pct"/>
                  <w:tcBorders>
                    <w:top w:val="single" w:color="auto" w:sz="2" w:space="0"/>
                    <w:left w:val="single" w:color="auto" w:sz="2" w:space="0"/>
                    <w:bottom w:val="single" w:color="auto" w:sz="2" w:space="0"/>
                    <w:right w:val="single" w:color="auto" w:sz="2" w:space="0"/>
                  </w:tcBorders>
                  <w:shd w:val="clear" w:color="auto" w:fill="auto"/>
                  <w:vAlign w:val="center"/>
                </w:tcPr>
                <w:p w14:paraId="5EA0B401">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 xml:space="preserve">昆明骏马建筑机械有限公司 </w:t>
                  </w:r>
                </w:p>
              </w:tc>
              <w:tc>
                <w:tcPr>
                  <w:tcW w:w="1033" w:type="pct"/>
                  <w:tcBorders>
                    <w:top w:val="single" w:color="auto" w:sz="2" w:space="0"/>
                    <w:left w:val="single" w:color="auto" w:sz="2" w:space="0"/>
                    <w:bottom w:val="single" w:color="auto" w:sz="2" w:space="0"/>
                    <w:right w:val="single" w:color="auto" w:sz="2" w:space="0"/>
                  </w:tcBorders>
                  <w:shd w:val="clear" w:color="auto" w:fill="auto"/>
                  <w:vAlign w:val="center"/>
                </w:tcPr>
                <w:p w14:paraId="01C12EBF">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 xml:space="preserve"> 东侧</w:t>
                  </w:r>
                  <w:r>
                    <w:rPr>
                      <w:rFonts w:hint="eastAsia" w:cs="Times New Roman"/>
                      <w:color w:val="auto"/>
                      <w:szCs w:val="21"/>
                      <w:lang w:val="en-US" w:eastAsia="zh-CN"/>
                    </w:rPr>
                    <w:t>、</w:t>
                  </w:r>
                  <w:r>
                    <w:rPr>
                      <w:rFonts w:hint="default" w:ascii="Times New Roman" w:hAnsi="Times New Roman" w:eastAsia="宋体" w:cs="Times New Roman"/>
                      <w:color w:val="auto"/>
                      <w:szCs w:val="21"/>
                      <w:lang w:val="en-US"/>
                    </w:rPr>
                    <w:t>132m</w:t>
                  </w:r>
                </w:p>
              </w:tc>
              <w:tc>
                <w:tcPr>
                  <w:tcW w:w="1155" w:type="pct"/>
                  <w:tcBorders>
                    <w:top w:val="single" w:color="auto" w:sz="2" w:space="0"/>
                    <w:left w:val="single" w:color="auto" w:sz="2" w:space="0"/>
                    <w:bottom w:val="single" w:color="auto" w:sz="2" w:space="0"/>
                    <w:right w:val="single" w:color="auto" w:sz="2" w:space="0"/>
                  </w:tcBorders>
                  <w:shd w:val="clear" w:color="auto" w:fill="auto"/>
                  <w:vAlign w:val="center"/>
                </w:tcPr>
                <w:p w14:paraId="18943FCF">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TSP</w:t>
                  </w:r>
                </w:p>
              </w:tc>
            </w:tr>
            <w:tr w14:paraId="7D550B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577" w:type="pct"/>
                  <w:tcBorders>
                    <w:top w:val="single" w:color="auto" w:sz="2" w:space="0"/>
                    <w:left w:val="single" w:color="auto" w:sz="2" w:space="0"/>
                    <w:bottom w:val="single" w:color="auto" w:sz="2" w:space="0"/>
                    <w:right w:val="single" w:color="auto" w:sz="2" w:space="0"/>
                  </w:tcBorders>
                  <w:shd w:val="clear" w:color="auto" w:fill="auto"/>
                  <w:vAlign w:val="center"/>
                </w:tcPr>
                <w:p w14:paraId="4B112765">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5</w:t>
                  </w:r>
                </w:p>
              </w:tc>
              <w:tc>
                <w:tcPr>
                  <w:tcW w:w="2232" w:type="pct"/>
                  <w:tcBorders>
                    <w:top w:val="single" w:color="auto" w:sz="2" w:space="0"/>
                    <w:left w:val="single" w:color="auto" w:sz="2" w:space="0"/>
                    <w:bottom w:val="single" w:color="auto" w:sz="2" w:space="0"/>
                    <w:right w:val="single" w:color="auto" w:sz="2" w:space="0"/>
                  </w:tcBorders>
                  <w:shd w:val="clear" w:color="auto" w:fill="auto"/>
                  <w:vAlign w:val="center"/>
                </w:tcPr>
                <w:p w14:paraId="6CBD77AE">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 xml:space="preserve">昆明云盾消防设备有限公司 </w:t>
                  </w:r>
                </w:p>
              </w:tc>
              <w:tc>
                <w:tcPr>
                  <w:tcW w:w="1033" w:type="pct"/>
                  <w:tcBorders>
                    <w:top w:val="single" w:color="auto" w:sz="2" w:space="0"/>
                    <w:left w:val="single" w:color="auto" w:sz="2" w:space="0"/>
                    <w:bottom w:val="single" w:color="auto" w:sz="2" w:space="0"/>
                    <w:right w:val="single" w:color="auto" w:sz="2" w:space="0"/>
                  </w:tcBorders>
                  <w:shd w:val="clear" w:color="auto" w:fill="auto"/>
                  <w:vAlign w:val="center"/>
                </w:tcPr>
                <w:p w14:paraId="3912D201">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 xml:space="preserve"> 南侧</w:t>
                  </w:r>
                  <w:r>
                    <w:rPr>
                      <w:rFonts w:hint="eastAsia" w:cs="Times New Roman"/>
                      <w:color w:val="auto"/>
                      <w:szCs w:val="21"/>
                      <w:lang w:val="en-US" w:eastAsia="zh-CN"/>
                    </w:rPr>
                    <w:t>、</w:t>
                  </w:r>
                  <w:r>
                    <w:rPr>
                      <w:rFonts w:hint="default" w:ascii="Times New Roman" w:hAnsi="Times New Roman" w:eastAsia="宋体" w:cs="Times New Roman"/>
                      <w:color w:val="auto"/>
                      <w:szCs w:val="21"/>
                      <w:lang w:val="en-US"/>
                    </w:rPr>
                    <w:t>466m</w:t>
                  </w:r>
                </w:p>
              </w:tc>
              <w:tc>
                <w:tcPr>
                  <w:tcW w:w="1155" w:type="pct"/>
                  <w:tcBorders>
                    <w:top w:val="single" w:color="auto" w:sz="2" w:space="0"/>
                    <w:left w:val="single" w:color="auto" w:sz="2" w:space="0"/>
                    <w:bottom w:val="single" w:color="auto" w:sz="2" w:space="0"/>
                    <w:right w:val="single" w:color="auto" w:sz="2" w:space="0"/>
                  </w:tcBorders>
                  <w:shd w:val="clear" w:color="auto" w:fill="auto"/>
                  <w:vAlign w:val="center"/>
                </w:tcPr>
                <w:p w14:paraId="37A60790">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TSP</w:t>
                  </w:r>
                </w:p>
              </w:tc>
            </w:tr>
            <w:tr w14:paraId="4C7B12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577" w:type="pct"/>
                  <w:tcBorders>
                    <w:top w:val="single" w:color="auto" w:sz="2" w:space="0"/>
                    <w:left w:val="single" w:color="auto" w:sz="2" w:space="0"/>
                    <w:bottom w:val="single" w:color="auto" w:sz="2" w:space="0"/>
                    <w:right w:val="single" w:color="auto" w:sz="2" w:space="0"/>
                  </w:tcBorders>
                  <w:shd w:val="clear" w:color="auto" w:fill="auto"/>
                  <w:vAlign w:val="center"/>
                </w:tcPr>
                <w:p w14:paraId="67B55B1D">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6</w:t>
                  </w:r>
                </w:p>
              </w:tc>
              <w:tc>
                <w:tcPr>
                  <w:tcW w:w="2232" w:type="pct"/>
                  <w:tcBorders>
                    <w:top w:val="single" w:color="auto" w:sz="2" w:space="0"/>
                    <w:left w:val="single" w:color="auto" w:sz="2" w:space="0"/>
                    <w:bottom w:val="single" w:color="auto" w:sz="2" w:space="0"/>
                    <w:right w:val="single" w:color="auto" w:sz="2" w:space="0"/>
                  </w:tcBorders>
                  <w:shd w:val="clear" w:color="auto" w:fill="auto"/>
                  <w:vAlign w:val="center"/>
                </w:tcPr>
                <w:p w14:paraId="6C0F958F">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 xml:space="preserve">云南银桥机械设备制造有限公司  </w:t>
                  </w:r>
                </w:p>
              </w:tc>
              <w:tc>
                <w:tcPr>
                  <w:tcW w:w="1033" w:type="pct"/>
                  <w:tcBorders>
                    <w:top w:val="single" w:color="auto" w:sz="2" w:space="0"/>
                    <w:left w:val="single" w:color="auto" w:sz="2" w:space="0"/>
                    <w:bottom w:val="single" w:color="auto" w:sz="2" w:space="0"/>
                    <w:right w:val="single" w:color="auto" w:sz="2" w:space="0"/>
                  </w:tcBorders>
                  <w:shd w:val="clear" w:color="auto" w:fill="auto"/>
                  <w:vAlign w:val="center"/>
                </w:tcPr>
                <w:p w14:paraId="78C96D37">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南侧</w:t>
                  </w:r>
                  <w:r>
                    <w:rPr>
                      <w:rFonts w:hint="eastAsia" w:cs="Times New Roman"/>
                      <w:color w:val="auto"/>
                      <w:szCs w:val="21"/>
                      <w:lang w:val="en-US" w:eastAsia="zh-CN"/>
                    </w:rPr>
                    <w:t>、</w:t>
                  </w:r>
                  <w:r>
                    <w:rPr>
                      <w:rFonts w:hint="default" w:ascii="Times New Roman" w:hAnsi="Times New Roman" w:eastAsia="宋体" w:cs="Times New Roman"/>
                      <w:color w:val="auto"/>
                      <w:szCs w:val="21"/>
                      <w:lang w:val="en-US"/>
                    </w:rPr>
                    <w:t>320m</w:t>
                  </w:r>
                </w:p>
              </w:tc>
              <w:tc>
                <w:tcPr>
                  <w:tcW w:w="1155" w:type="pct"/>
                  <w:tcBorders>
                    <w:top w:val="single" w:color="auto" w:sz="2" w:space="0"/>
                    <w:left w:val="single" w:color="auto" w:sz="2" w:space="0"/>
                    <w:bottom w:val="single" w:color="auto" w:sz="2" w:space="0"/>
                    <w:right w:val="single" w:color="auto" w:sz="2" w:space="0"/>
                  </w:tcBorders>
                  <w:shd w:val="clear" w:color="auto" w:fill="auto"/>
                  <w:vAlign w:val="center"/>
                </w:tcPr>
                <w:p w14:paraId="46D99C50">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TSP</w:t>
                  </w:r>
                </w:p>
              </w:tc>
            </w:tr>
            <w:tr w14:paraId="3AEB21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577" w:type="pct"/>
                  <w:tcBorders>
                    <w:top w:val="single" w:color="auto" w:sz="2" w:space="0"/>
                    <w:left w:val="single" w:color="auto" w:sz="2" w:space="0"/>
                    <w:bottom w:val="single" w:color="auto" w:sz="2" w:space="0"/>
                    <w:right w:val="single" w:color="auto" w:sz="2" w:space="0"/>
                  </w:tcBorders>
                  <w:shd w:val="clear" w:color="auto" w:fill="auto"/>
                  <w:vAlign w:val="center"/>
                </w:tcPr>
                <w:p w14:paraId="3C8C1ECB">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7</w:t>
                  </w:r>
                </w:p>
              </w:tc>
              <w:tc>
                <w:tcPr>
                  <w:tcW w:w="2232" w:type="pct"/>
                  <w:tcBorders>
                    <w:top w:val="single" w:color="auto" w:sz="2" w:space="0"/>
                    <w:left w:val="single" w:color="auto" w:sz="2" w:space="0"/>
                    <w:bottom w:val="single" w:color="auto" w:sz="2" w:space="0"/>
                    <w:right w:val="single" w:color="auto" w:sz="2" w:space="0"/>
                  </w:tcBorders>
                  <w:shd w:val="clear" w:color="auto" w:fill="auto"/>
                  <w:vAlign w:val="center"/>
                </w:tcPr>
                <w:p w14:paraId="110A1A32">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eastAsia"/>
                      <w:color w:val="auto"/>
                    </w:rPr>
                    <w:t xml:space="preserve">云南德众内燃零部件制造有限公司  </w:t>
                  </w:r>
                </w:p>
              </w:tc>
              <w:tc>
                <w:tcPr>
                  <w:tcW w:w="1033" w:type="pct"/>
                  <w:tcBorders>
                    <w:top w:val="single" w:color="auto" w:sz="2" w:space="0"/>
                    <w:left w:val="single" w:color="auto" w:sz="2" w:space="0"/>
                    <w:bottom w:val="single" w:color="auto" w:sz="2" w:space="0"/>
                    <w:right w:val="single" w:color="auto" w:sz="2" w:space="0"/>
                  </w:tcBorders>
                  <w:shd w:val="clear" w:color="auto" w:fill="auto"/>
                  <w:vAlign w:val="center"/>
                </w:tcPr>
                <w:p w14:paraId="25FA3249">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eastAsia"/>
                      <w:color w:val="auto"/>
                    </w:rPr>
                    <w:t>南侧</w:t>
                  </w:r>
                  <w:r>
                    <w:rPr>
                      <w:rFonts w:hint="eastAsia"/>
                      <w:color w:val="auto"/>
                      <w:lang w:eastAsia="zh-CN"/>
                    </w:rPr>
                    <w:t>、</w:t>
                  </w:r>
                  <w:r>
                    <w:rPr>
                      <w:rFonts w:hint="eastAsia"/>
                      <w:color w:val="auto"/>
                    </w:rPr>
                    <w:t>120m</w:t>
                  </w:r>
                </w:p>
              </w:tc>
              <w:tc>
                <w:tcPr>
                  <w:tcW w:w="1155" w:type="pct"/>
                  <w:tcBorders>
                    <w:top w:val="single" w:color="auto" w:sz="2" w:space="0"/>
                    <w:left w:val="single" w:color="auto" w:sz="2" w:space="0"/>
                    <w:bottom w:val="single" w:color="auto" w:sz="2" w:space="0"/>
                    <w:right w:val="single" w:color="auto" w:sz="2" w:space="0"/>
                  </w:tcBorders>
                  <w:shd w:val="clear" w:color="auto" w:fill="auto"/>
                  <w:vAlign w:val="center"/>
                </w:tcPr>
                <w:p w14:paraId="1E10EAFD">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TSP</w:t>
                  </w:r>
                </w:p>
              </w:tc>
            </w:tr>
            <w:tr w14:paraId="6C549B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577" w:type="pct"/>
                  <w:tcBorders>
                    <w:top w:val="single" w:color="auto" w:sz="2" w:space="0"/>
                    <w:left w:val="single" w:color="auto" w:sz="2" w:space="0"/>
                    <w:bottom w:val="single" w:color="auto" w:sz="2" w:space="0"/>
                    <w:right w:val="single" w:color="auto" w:sz="2" w:space="0"/>
                  </w:tcBorders>
                  <w:shd w:val="clear" w:color="auto" w:fill="auto"/>
                  <w:vAlign w:val="center"/>
                </w:tcPr>
                <w:p w14:paraId="1F26EF26">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8</w:t>
                  </w:r>
                </w:p>
              </w:tc>
              <w:tc>
                <w:tcPr>
                  <w:tcW w:w="2232" w:type="pct"/>
                  <w:tcBorders>
                    <w:top w:val="single" w:color="auto" w:sz="2" w:space="0"/>
                    <w:left w:val="single" w:color="auto" w:sz="2" w:space="0"/>
                    <w:bottom w:val="single" w:color="auto" w:sz="2" w:space="0"/>
                    <w:right w:val="single" w:color="auto" w:sz="2" w:space="0"/>
                  </w:tcBorders>
                  <w:shd w:val="clear" w:color="auto" w:fill="auto"/>
                  <w:vAlign w:val="center"/>
                </w:tcPr>
                <w:p w14:paraId="6D88461C">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昆明市欣誉恒食品有限公司</w:t>
                  </w:r>
                </w:p>
              </w:tc>
              <w:tc>
                <w:tcPr>
                  <w:tcW w:w="1033" w:type="pct"/>
                  <w:tcBorders>
                    <w:top w:val="single" w:color="auto" w:sz="2" w:space="0"/>
                    <w:left w:val="single" w:color="auto" w:sz="2" w:space="0"/>
                    <w:bottom w:val="single" w:color="auto" w:sz="2" w:space="0"/>
                    <w:right w:val="single" w:color="auto" w:sz="2" w:space="0"/>
                  </w:tcBorders>
                  <w:shd w:val="clear" w:color="auto" w:fill="auto"/>
                  <w:vAlign w:val="center"/>
                </w:tcPr>
                <w:p w14:paraId="3DD1F52B">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eastAsia" w:cs="Times New Roman"/>
                      <w:color w:val="auto"/>
                      <w:kern w:val="2"/>
                      <w:sz w:val="21"/>
                      <w:szCs w:val="21"/>
                      <w:lang w:val="en-US" w:eastAsia="zh-CN" w:bidi="ar"/>
                    </w:rPr>
                    <w:t>东</w:t>
                  </w:r>
                  <w:r>
                    <w:rPr>
                      <w:rFonts w:hint="default" w:ascii="Times New Roman" w:hAnsi="Times New Roman" w:eastAsia="宋体" w:cs="Times New Roman"/>
                      <w:color w:val="auto"/>
                      <w:kern w:val="2"/>
                      <w:sz w:val="21"/>
                      <w:szCs w:val="21"/>
                      <w:lang w:val="en-US" w:eastAsia="zh-CN" w:bidi="ar"/>
                    </w:rPr>
                    <w:t>侧，</w:t>
                  </w:r>
                  <w:r>
                    <w:rPr>
                      <w:rFonts w:hint="eastAsia" w:cs="Times New Roman"/>
                      <w:color w:val="auto"/>
                      <w:kern w:val="2"/>
                      <w:sz w:val="21"/>
                      <w:szCs w:val="21"/>
                      <w:lang w:val="en-US" w:eastAsia="zh-CN" w:bidi="ar"/>
                    </w:rPr>
                    <w:t>288</w:t>
                  </w:r>
                  <w:r>
                    <w:rPr>
                      <w:rFonts w:hint="default" w:ascii="Times New Roman" w:hAnsi="Times New Roman" w:eastAsia="宋体" w:cs="Times New Roman"/>
                      <w:color w:val="auto"/>
                      <w:kern w:val="2"/>
                      <w:sz w:val="21"/>
                      <w:szCs w:val="21"/>
                      <w:lang w:val="en-US" w:eastAsia="zh-CN" w:bidi="ar"/>
                    </w:rPr>
                    <w:t>m</w:t>
                  </w:r>
                </w:p>
              </w:tc>
              <w:tc>
                <w:tcPr>
                  <w:tcW w:w="1155" w:type="pct"/>
                  <w:tcBorders>
                    <w:top w:val="single" w:color="auto" w:sz="2" w:space="0"/>
                    <w:left w:val="single" w:color="auto" w:sz="2" w:space="0"/>
                    <w:bottom w:val="single" w:color="auto" w:sz="2" w:space="0"/>
                    <w:right w:val="single" w:color="auto" w:sz="2" w:space="0"/>
                  </w:tcBorders>
                  <w:shd w:val="clear" w:color="auto" w:fill="auto"/>
                  <w:vAlign w:val="center"/>
                </w:tcPr>
                <w:p w14:paraId="2095EB32">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TSP</w:t>
                  </w:r>
                </w:p>
              </w:tc>
            </w:tr>
            <w:tr w14:paraId="232D75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577" w:type="pct"/>
                  <w:tcBorders>
                    <w:top w:val="single" w:color="auto" w:sz="2" w:space="0"/>
                    <w:left w:val="single" w:color="auto" w:sz="2" w:space="0"/>
                    <w:bottom w:val="single" w:color="auto" w:sz="2" w:space="0"/>
                    <w:right w:val="single" w:color="auto" w:sz="2" w:space="0"/>
                  </w:tcBorders>
                  <w:shd w:val="clear" w:color="auto" w:fill="auto"/>
                  <w:vAlign w:val="center"/>
                </w:tcPr>
                <w:p w14:paraId="76B66E0D">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9</w:t>
                  </w:r>
                </w:p>
              </w:tc>
              <w:tc>
                <w:tcPr>
                  <w:tcW w:w="2232" w:type="pct"/>
                  <w:tcBorders>
                    <w:top w:val="single" w:color="auto" w:sz="2" w:space="0"/>
                    <w:left w:val="single" w:color="auto" w:sz="2" w:space="0"/>
                    <w:bottom w:val="single" w:color="auto" w:sz="2" w:space="0"/>
                    <w:right w:val="single" w:color="auto" w:sz="2" w:space="0"/>
                  </w:tcBorders>
                  <w:shd w:val="clear" w:color="auto" w:fill="auto"/>
                  <w:vAlign w:val="center"/>
                </w:tcPr>
                <w:p w14:paraId="21F0CCC7">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云南</w:t>
                  </w:r>
                  <w:r>
                    <w:rPr>
                      <w:rFonts w:hint="eastAsia" w:cs="Times New Roman"/>
                      <w:color w:val="auto"/>
                      <w:kern w:val="2"/>
                      <w:sz w:val="21"/>
                      <w:szCs w:val="21"/>
                      <w:lang w:val="en-US" w:eastAsia="zh-CN" w:bidi="ar"/>
                    </w:rPr>
                    <w:t>万多电气有限公司</w:t>
                  </w:r>
                </w:p>
              </w:tc>
              <w:tc>
                <w:tcPr>
                  <w:tcW w:w="1033" w:type="pct"/>
                  <w:tcBorders>
                    <w:top w:val="single" w:color="auto" w:sz="2" w:space="0"/>
                    <w:left w:val="single" w:color="auto" w:sz="2" w:space="0"/>
                    <w:bottom w:val="single" w:color="auto" w:sz="2" w:space="0"/>
                    <w:right w:val="single" w:color="auto" w:sz="2" w:space="0"/>
                  </w:tcBorders>
                  <w:shd w:val="clear" w:color="auto" w:fill="auto"/>
                  <w:vAlign w:val="center"/>
                </w:tcPr>
                <w:p w14:paraId="7F8AF849">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eastAsia" w:cs="Times New Roman"/>
                      <w:color w:val="auto"/>
                      <w:kern w:val="2"/>
                      <w:sz w:val="21"/>
                      <w:szCs w:val="21"/>
                      <w:lang w:val="en-US" w:eastAsia="zh-CN" w:bidi="ar"/>
                    </w:rPr>
                    <w:t>东</w:t>
                  </w:r>
                  <w:r>
                    <w:rPr>
                      <w:rFonts w:hint="default" w:ascii="Times New Roman" w:hAnsi="Times New Roman" w:eastAsia="宋体" w:cs="Times New Roman"/>
                      <w:color w:val="auto"/>
                      <w:kern w:val="2"/>
                      <w:sz w:val="21"/>
                      <w:szCs w:val="21"/>
                      <w:lang w:val="en-US" w:eastAsia="zh-CN" w:bidi="ar"/>
                    </w:rPr>
                    <w:t>侧，</w:t>
                  </w:r>
                  <w:r>
                    <w:rPr>
                      <w:rFonts w:hint="eastAsia" w:cs="Times New Roman"/>
                      <w:color w:val="auto"/>
                      <w:kern w:val="2"/>
                      <w:sz w:val="21"/>
                      <w:szCs w:val="21"/>
                      <w:lang w:val="en-US" w:eastAsia="zh-CN" w:bidi="ar"/>
                    </w:rPr>
                    <w:t>276</w:t>
                  </w:r>
                  <w:r>
                    <w:rPr>
                      <w:rFonts w:hint="default" w:ascii="Times New Roman" w:hAnsi="Times New Roman" w:eastAsia="宋体" w:cs="Times New Roman"/>
                      <w:color w:val="auto"/>
                      <w:kern w:val="2"/>
                      <w:sz w:val="21"/>
                      <w:szCs w:val="21"/>
                      <w:lang w:val="en-US" w:eastAsia="zh-CN" w:bidi="ar"/>
                    </w:rPr>
                    <w:t>m</w:t>
                  </w:r>
                </w:p>
              </w:tc>
              <w:tc>
                <w:tcPr>
                  <w:tcW w:w="1155" w:type="pct"/>
                  <w:tcBorders>
                    <w:top w:val="single" w:color="auto" w:sz="2" w:space="0"/>
                    <w:left w:val="single" w:color="auto" w:sz="2" w:space="0"/>
                    <w:bottom w:val="single" w:color="auto" w:sz="2" w:space="0"/>
                    <w:right w:val="single" w:color="auto" w:sz="2" w:space="0"/>
                  </w:tcBorders>
                  <w:shd w:val="clear" w:color="auto" w:fill="auto"/>
                  <w:vAlign w:val="center"/>
                </w:tcPr>
                <w:p w14:paraId="2FD0B1BB">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TSP</w:t>
                  </w:r>
                </w:p>
              </w:tc>
            </w:tr>
            <w:tr w14:paraId="7452DA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27" w:hRule="atLeast"/>
                <w:jc w:val="center"/>
              </w:trPr>
              <w:tc>
                <w:tcPr>
                  <w:tcW w:w="577" w:type="pct"/>
                  <w:tcBorders>
                    <w:top w:val="single" w:color="auto" w:sz="2" w:space="0"/>
                    <w:left w:val="single" w:color="auto" w:sz="2" w:space="0"/>
                    <w:bottom w:val="single" w:color="auto" w:sz="2" w:space="0"/>
                    <w:right w:val="single" w:color="auto" w:sz="2" w:space="0"/>
                  </w:tcBorders>
                  <w:shd w:val="clear" w:color="auto" w:fill="auto"/>
                  <w:vAlign w:val="center"/>
                </w:tcPr>
                <w:p w14:paraId="5576BD77">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10</w:t>
                  </w:r>
                </w:p>
              </w:tc>
              <w:tc>
                <w:tcPr>
                  <w:tcW w:w="2232" w:type="pct"/>
                  <w:tcBorders>
                    <w:top w:val="single" w:color="auto" w:sz="2" w:space="0"/>
                    <w:left w:val="single" w:color="auto" w:sz="2" w:space="0"/>
                    <w:bottom w:val="single" w:color="auto" w:sz="2" w:space="0"/>
                    <w:right w:val="single" w:color="auto" w:sz="2" w:space="0"/>
                  </w:tcBorders>
                  <w:shd w:val="clear" w:color="auto" w:fill="auto"/>
                  <w:vAlign w:val="center"/>
                </w:tcPr>
                <w:p w14:paraId="13DE28E8">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昆明拿爱施化肥有限公司</w:t>
                  </w:r>
                </w:p>
              </w:tc>
              <w:tc>
                <w:tcPr>
                  <w:tcW w:w="1033" w:type="pct"/>
                  <w:tcBorders>
                    <w:top w:val="single" w:color="auto" w:sz="2" w:space="0"/>
                    <w:left w:val="single" w:color="auto" w:sz="2" w:space="0"/>
                    <w:bottom w:val="single" w:color="auto" w:sz="2" w:space="0"/>
                    <w:right w:val="single" w:color="auto" w:sz="2" w:space="0"/>
                  </w:tcBorders>
                  <w:shd w:val="clear" w:color="auto" w:fill="auto"/>
                  <w:vAlign w:val="center"/>
                </w:tcPr>
                <w:p w14:paraId="4E886FD1">
                  <w:pPr>
                    <w:keepNext w:val="0"/>
                    <w:keepLines w:val="0"/>
                    <w:pageBreakBefore w:val="0"/>
                    <w:widowControl w:val="0"/>
                    <w:suppressLineNumbers w:val="0"/>
                    <w:kinsoku/>
                    <w:wordWrap/>
                    <w:overflowPunct/>
                    <w:bidi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Cs w:val="21"/>
                      <w:lang w:val="en-US"/>
                    </w:rPr>
                  </w:pPr>
                  <w:r>
                    <w:rPr>
                      <w:rFonts w:hint="eastAsia" w:cs="Times New Roman"/>
                      <w:color w:val="auto"/>
                      <w:kern w:val="2"/>
                      <w:sz w:val="21"/>
                      <w:szCs w:val="21"/>
                      <w:lang w:val="en-US" w:eastAsia="zh-CN" w:bidi="ar"/>
                    </w:rPr>
                    <w:t>东</w:t>
                  </w:r>
                  <w:r>
                    <w:rPr>
                      <w:rFonts w:hint="default" w:ascii="Times New Roman" w:hAnsi="Times New Roman" w:eastAsia="宋体" w:cs="Times New Roman"/>
                      <w:color w:val="auto"/>
                      <w:kern w:val="2"/>
                      <w:sz w:val="21"/>
                      <w:szCs w:val="21"/>
                      <w:lang w:val="en-US" w:eastAsia="zh-CN" w:bidi="ar"/>
                    </w:rPr>
                    <w:t>侧，</w:t>
                  </w:r>
                  <w:r>
                    <w:rPr>
                      <w:rFonts w:hint="eastAsia" w:cs="Times New Roman"/>
                      <w:color w:val="auto"/>
                      <w:kern w:val="2"/>
                      <w:sz w:val="21"/>
                      <w:szCs w:val="21"/>
                      <w:lang w:val="en-US" w:eastAsia="zh-CN" w:bidi="ar"/>
                    </w:rPr>
                    <w:t>276</w:t>
                  </w:r>
                  <w:r>
                    <w:rPr>
                      <w:rFonts w:hint="default" w:ascii="Times New Roman" w:hAnsi="Times New Roman" w:eastAsia="宋体" w:cs="Times New Roman"/>
                      <w:color w:val="auto"/>
                      <w:kern w:val="2"/>
                      <w:sz w:val="21"/>
                      <w:szCs w:val="21"/>
                      <w:lang w:val="en-US" w:eastAsia="zh-CN" w:bidi="ar"/>
                    </w:rPr>
                    <w:t>m</w:t>
                  </w:r>
                </w:p>
              </w:tc>
              <w:tc>
                <w:tcPr>
                  <w:tcW w:w="1155" w:type="pct"/>
                  <w:tcBorders>
                    <w:top w:val="single" w:color="auto" w:sz="2" w:space="0"/>
                    <w:left w:val="single" w:color="auto" w:sz="2" w:space="0"/>
                    <w:bottom w:val="single" w:color="auto" w:sz="2" w:space="0"/>
                    <w:right w:val="single" w:color="auto" w:sz="2" w:space="0"/>
                  </w:tcBorders>
                  <w:shd w:val="clear" w:color="auto" w:fill="auto"/>
                  <w:vAlign w:val="center"/>
                </w:tcPr>
                <w:p w14:paraId="76B9C919">
                  <w:pPr>
                    <w:keepNext w:val="0"/>
                    <w:keepLines w:val="0"/>
                    <w:pageBreakBefore w:val="0"/>
                    <w:widowControl w:val="0"/>
                    <w:suppressLineNumbers w:val="0"/>
                    <w:kinsoku/>
                    <w:wordWrap/>
                    <w:overflowPunct/>
                    <w:bidi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TSP</w:t>
                  </w:r>
                </w:p>
              </w:tc>
            </w:tr>
            <w:tr w14:paraId="6BA3AD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577" w:type="pct"/>
                  <w:tcBorders>
                    <w:top w:val="single" w:color="auto" w:sz="2" w:space="0"/>
                    <w:left w:val="single" w:color="auto" w:sz="2" w:space="0"/>
                    <w:bottom w:val="single" w:color="auto" w:sz="2" w:space="0"/>
                    <w:right w:val="single" w:color="auto" w:sz="2" w:space="0"/>
                  </w:tcBorders>
                  <w:shd w:val="clear" w:color="auto" w:fill="auto"/>
                  <w:vAlign w:val="center"/>
                </w:tcPr>
                <w:p w14:paraId="0F98BD78">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11</w:t>
                  </w:r>
                </w:p>
              </w:tc>
              <w:tc>
                <w:tcPr>
                  <w:tcW w:w="2232" w:type="pct"/>
                  <w:tcBorders>
                    <w:top w:val="single" w:color="auto" w:sz="2" w:space="0"/>
                    <w:left w:val="single" w:color="auto" w:sz="2" w:space="0"/>
                    <w:bottom w:val="single" w:color="auto" w:sz="2" w:space="0"/>
                    <w:right w:val="single" w:color="auto" w:sz="2" w:space="0"/>
                  </w:tcBorders>
                  <w:shd w:val="clear" w:color="auto" w:fill="auto"/>
                  <w:vAlign w:val="center"/>
                </w:tcPr>
                <w:p w14:paraId="034FE0F1">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昆明</w:t>
                  </w:r>
                  <w:r>
                    <w:rPr>
                      <w:rFonts w:hint="eastAsia" w:cs="Times New Roman"/>
                      <w:color w:val="auto"/>
                      <w:kern w:val="2"/>
                      <w:sz w:val="21"/>
                      <w:szCs w:val="21"/>
                      <w:lang w:val="en-US" w:eastAsia="zh-CN" w:bidi="ar"/>
                    </w:rPr>
                    <w:t>盛必达涂料有限公司</w:t>
                  </w:r>
                </w:p>
              </w:tc>
              <w:tc>
                <w:tcPr>
                  <w:tcW w:w="1033" w:type="pct"/>
                  <w:tcBorders>
                    <w:top w:val="single" w:color="auto" w:sz="2" w:space="0"/>
                    <w:left w:val="single" w:color="auto" w:sz="2" w:space="0"/>
                    <w:bottom w:val="single" w:color="auto" w:sz="2" w:space="0"/>
                    <w:right w:val="single" w:color="auto" w:sz="2" w:space="0"/>
                  </w:tcBorders>
                  <w:shd w:val="clear" w:color="auto" w:fill="auto"/>
                  <w:vAlign w:val="center"/>
                </w:tcPr>
                <w:p w14:paraId="09FFF770">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eastAsia" w:cs="Times New Roman"/>
                      <w:color w:val="auto"/>
                      <w:kern w:val="2"/>
                      <w:sz w:val="21"/>
                      <w:szCs w:val="21"/>
                      <w:lang w:val="en-US" w:eastAsia="zh-CN" w:bidi="ar"/>
                    </w:rPr>
                    <w:t>东</w:t>
                  </w:r>
                  <w:r>
                    <w:rPr>
                      <w:rFonts w:hint="default" w:ascii="Times New Roman" w:hAnsi="Times New Roman" w:eastAsia="宋体" w:cs="Times New Roman"/>
                      <w:color w:val="auto"/>
                      <w:kern w:val="2"/>
                      <w:sz w:val="21"/>
                      <w:szCs w:val="21"/>
                      <w:lang w:val="en-US" w:eastAsia="zh-CN" w:bidi="ar"/>
                    </w:rPr>
                    <w:t>北侧，</w:t>
                  </w:r>
                  <w:r>
                    <w:rPr>
                      <w:rFonts w:hint="eastAsia" w:cs="Times New Roman"/>
                      <w:color w:val="auto"/>
                      <w:kern w:val="2"/>
                      <w:sz w:val="21"/>
                      <w:szCs w:val="21"/>
                      <w:lang w:val="en-US" w:eastAsia="zh-CN" w:bidi="ar"/>
                    </w:rPr>
                    <w:t>367</w:t>
                  </w:r>
                  <w:r>
                    <w:rPr>
                      <w:rFonts w:hint="default" w:ascii="Times New Roman" w:hAnsi="Times New Roman" w:eastAsia="宋体" w:cs="Times New Roman"/>
                      <w:color w:val="auto"/>
                      <w:kern w:val="2"/>
                      <w:sz w:val="21"/>
                      <w:szCs w:val="21"/>
                      <w:lang w:val="en-US" w:eastAsia="zh-CN" w:bidi="ar"/>
                    </w:rPr>
                    <w:t>m</w:t>
                  </w:r>
                </w:p>
              </w:tc>
              <w:tc>
                <w:tcPr>
                  <w:tcW w:w="1155" w:type="pct"/>
                  <w:tcBorders>
                    <w:top w:val="single" w:color="auto" w:sz="2" w:space="0"/>
                    <w:left w:val="single" w:color="auto" w:sz="2" w:space="0"/>
                    <w:bottom w:val="single" w:color="auto" w:sz="2" w:space="0"/>
                    <w:right w:val="single" w:color="auto" w:sz="2" w:space="0"/>
                  </w:tcBorders>
                  <w:shd w:val="clear" w:color="auto" w:fill="auto"/>
                  <w:vAlign w:val="center"/>
                </w:tcPr>
                <w:p w14:paraId="3630C06C">
                  <w:pPr>
                    <w:keepNext w:val="0"/>
                    <w:keepLines w:val="0"/>
                    <w:pageBreakBefore w:val="0"/>
                    <w:widowControl w:val="0"/>
                    <w:suppressLineNumbers w:val="0"/>
                    <w:kinsoku/>
                    <w:wordWrap/>
                    <w:overflowPunct/>
                    <w:bidi w:val="0"/>
                    <w:snapToGrid w:val="0"/>
                    <w:spacing w:before="0" w:beforeAutospacing="0" w:after="0" w:afterAutospacing="0"/>
                    <w:ind w:left="0" w:leftChars="0" w:right="0"/>
                    <w:jc w:val="center"/>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TSP</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VOCs</w:t>
                  </w:r>
                </w:p>
              </w:tc>
            </w:tr>
          </w:tbl>
          <w:p w14:paraId="3CC25EB7">
            <w:pPr>
              <w:pStyle w:val="26"/>
              <w:keepNext w:val="0"/>
              <w:keepLines w:val="0"/>
              <w:pageBreakBefore w:val="0"/>
              <w:widowControl w:val="0"/>
              <w:suppressLineNumbers w:val="0"/>
              <w:kinsoku/>
              <w:wordWrap/>
              <w:overflowPunct/>
              <w:autoSpaceDE w:val="0"/>
              <w:autoSpaceDN w:val="0"/>
              <w:bidi w:val="0"/>
              <w:adjustRightInd w:val="0"/>
              <w:snapToGrid w:val="0"/>
              <w:spacing w:before="0" w:beforeAutospacing="0" w:after="0" w:afterAutospacing="0" w:line="343" w:lineRule="auto"/>
              <w:ind w:left="0" w:leftChars="0" w:right="0" w:firstLine="480" w:firstLineChars="200"/>
              <w:jc w:val="both"/>
              <w:textAlignment w:val="auto"/>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kern w:val="2"/>
                <w:sz w:val="24"/>
                <w:szCs w:val="24"/>
                <w:lang w:val="en-US" w:eastAsia="zh-CN" w:bidi="ar"/>
              </w:rPr>
              <w:t>从对项目周边企业情况调查可知，周围的企业对本项目无制约性因素。根据工程分析，</w:t>
            </w:r>
            <w:r>
              <w:rPr>
                <w:rFonts w:hint="default" w:ascii="Times New Roman" w:hAnsi="Times New Roman" w:eastAsia="宋体" w:cs="Times New Roman"/>
                <w:color w:val="auto"/>
                <w:kern w:val="2"/>
                <w:sz w:val="24"/>
                <w:szCs w:val="24"/>
                <w:lang w:val="zh-CN" w:eastAsia="zh-CN" w:bidi="ar"/>
              </w:rPr>
              <w:t>项目</w:t>
            </w:r>
            <w:r>
              <w:rPr>
                <w:rFonts w:hint="default" w:ascii="Times New Roman" w:hAnsi="Times New Roman" w:eastAsia="宋体" w:cs="Times New Roman"/>
                <w:color w:val="auto"/>
                <w:kern w:val="2"/>
                <w:sz w:val="24"/>
                <w:szCs w:val="24"/>
                <w:lang w:val="en-US" w:eastAsia="zh-CN" w:bidi="ar"/>
              </w:rPr>
              <w:t>产生的</w:t>
            </w:r>
            <w:r>
              <w:rPr>
                <w:rFonts w:hint="default" w:ascii="Times New Roman" w:hAnsi="Times New Roman" w:eastAsia="宋体" w:cs="Times New Roman"/>
                <w:color w:val="auto"/>
                <w:kern w:val="2"/>
                <w:sz w:val="24"/>
                <w:szCs w:val="24"/>
                <w:lang w:val="zh-CN" w:eastAsia="zh-CN" w:bidi="ar"/>
              </w:rPr>
              <w:t>噪声</w:t>
            </w:r>
            <w:r>
              <w:rPr>
                <w:rFonts w:hint="eastAsia" w:ascii="Times New Roman" w:hAnsi="Times New Roman" w:cs="Times New Roman"/>
                <w:color w:val="auto"/>
                <w:kern w:val="2"/>
                <w:sz w:val="24"/>
                <w:szCs w:val="24"/>
                <w:lang w:val="en-US" w:eastAsia="zh-CN" w:bidi="ar"/>
              </w:rPr>
              <w:t>满足</w:t>
            </w:r>
            <w:r>
              <w:rPr>
                <w:rFonts w:hint="default" w:ascii="Times New Roman" w:hAnsi="Times New Roman" w:eastAsia="宋体" w:cs="Times New Roman"/>
                <w:color w:val="auto"/>
                <w:kern w:val="2"/>
                <w:sz w:val="24"/>
                <w:szCs w:val="24"/>
                <w:lang w:val="zh-CN" w:eastAsia="zh-CN" w:bidi="ar"/>
              </w:rPr>
              <w:t>达标排放，</w:t>
            </w:r>
            <w:r>
              <w:rPr>
                <w:rFonts w:hint="eastAsia" w:ascii="Times New Roman" w:hAnsi="Times New Roman" w:cs="Times New Roman"/>
                <w:color w:val="auto"/>
                <w:kern w:val="2"/>
                <w:sz w:val="24"/>
                <w:szCs w:val="24"/>
                <w:lang w:val="en-US" w:eastAsia="zh-CN" w:bidi="ar"/>
              </w:rPr>
              <w:t>水性涂料生产车间投料产生的粉尘、包装后产生非甲烷总烃采用集气罩收集，布袋除尘器+UV光氧+活性炭吸附装置处理后，通过1根15m排气筒排放；腻子粉投料、配料、混料粉尘经集中式滤筒除尘系统处理后15m的排气筒排放；腻子粉包装口粉尘采用旋风除尘器除尘后无组织排放，废气的排放均满足达标排放。</w:t>
            </w:r>
            <w:r>
              <w:rPr>
                <w:rFonts w:hint="default" w:ascii="Times New Roman" w:hAnsi="Times New Roman" w:eastAsia="宋体" w:cs="Times New Roman"/>
                <w:color w:val="auto"/>
                <w:kern w:val="2"/>
                <w:sz w:val="24"/>
                <w:szCs w:val="24"/>
                <w:lang w:val="zh-CN" w:eastAsia="zh-CN" w:bidi="ar"/>
              </w:rPr>
              <w:t>废水</w:t>
            </w:r>
            <w:r>
              <w:rPr>
                <w:rFonts w:hint="eastAsia" w:ascii="Times New Roman" w:hAnsi="Times New Roman" w:cs="Times New Roman"/>
                <w:color w:val="auto"/>
                <w:kern w:val="2"/>
                <w:sz w:val="24"/>
                <w:szCs w:val="24"/>
                <w:lang w:val="zh-CN" w:eastAsia="zh-CN" w:bidi="ar"/>
              </w:rPr>
              <w:t>经自建污水处理系统处理达标后进入园区污水管网</w:t>
            </w:r>
            <w:r>
              <w:rPr>
                <w:rFonts w:hint="default" w:ascii="Times New Roman" w:hAnsi="Times New Roman" w:eastAsia="宋体" w:cs="Times New Roman"/>
                <w:color w:val="auto"/>
                <w:kern w:val="2"/>
                <w:sz w:val="24"/>
                <w:szCs w:val="24"/>
                <w:lang w:val="en-US" w:eastAsia="zh-CN" w:bidi="ar"/>
              </w:rPr>
              <w:t>，固体废物100%合理处置，</w:t>
            </w:r>
            <w:r>
              <w:rPr>
                <w:rFonts w:hint="default" w:ascii="Times New Roman" w:hAnsi="Times New Roman" w:eastAsia="宋体" w:cs="Times New Roman"/>
                <w:color w:val="auto"/>
                <w:kern w:val="2"/>
                <w:sz w:val="24"/>
                <w:szCs w:val="24"/>
                <w:lang w:val="zh-CN" w:eastAsia="zh-CN" w:bidi="ar"/>
              </w:rPr>
              <w:t>项目的生产对周围企业的影响不大。</w:t>
            </w:r>
          </w:p>
          <w:p w14:paraId="5BE10DC7">
            <w:pPr>
              <w:keepNext w:val="0"/>
              <w:keepLines w:val="0"/>
              <w:pageBreakBefore w:val="0"/>
              <w:widowControl/>
              <w:suppressLineNumbers w:val="0"/>
              <w:kinsoku/>
              <w:wordWrap/>
              <w:overflowPunct/>
              <w:bidi w:val="0"/>
              <w:snapToGrid w:val="0"/>
              <w:spacing w:before="0" w:beforeAutospacing="0" w:after="0" w:afterAutospacing="0"/>
              <w:ind w:left="0" w:leftChars="0" w:right="0" w:firstLine="720" w:firstLineChars="300"/>
              <w:jc w:val="left"/>
              <w:textAlignment w:val="auto"/>
              <w:rPr>
                <w:rFonts w:hint="eastAsia"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zh-CN" w:eastAsia="zh-CN" w:bidi="ar"/>
              </w:rPr>
              <w:t>综上所述，本项目与周围环境是相容的。</w:t>
            </w:r>
            <w:r>
              <w:rPr>
                <w:rFonts w:hint="eastAsia" w:cs="Times New Roman"/>
                <w:color w:val="auto"/>
                <w:kern w:val="2"/>
                <w:sz w:val="24"/>
                <w:szCs w:val="24"/>
                <w:lang w:val="en-US" w:eastAsia="zh-CN" w:bidi="ar"/>
              </w:rPr>
              <w:t xml:space="preserve">     </w:t>
            </w:r>
          </w:p>
          <w:p w14:paraId="28169AD9">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textAlignment w:val="auto"/>
              <w:rPr>
                <w:rFonts w:hint="default" w:ascii="Times New Roman" w:hAnsi="Times New Roman" w:eastAsia="宋体" w:cs="Times New Roman"/>
                <w:color w:val="auto"/>
                <w:sz w:val="24"/>
                <w:szCs w:val="24"/>
                <w:lang w:val="en-US" w:eastAsia="zh-CN"/>
              </w:rPr>
            </w:pPr>
          </w:p>
        </w:tc>
      </w:tr>
    </w:tbl>
    <w:p w14:paraId="51A77698">
      <w:pPr>
        <w:spacing w:line="360" w:lineRule="auto"/>
        <w:outlineLvl w:val="9"/>
        <w:rPr>
          <w:rFonts w:hint="default" w:ascii="Times New Roman" w:hAnsi="Times New Roman" w:eastAsia="宋体" w:cs="Times New Roman"/>
          <w:color w:val="auto"/>
          <w:sz w:val="30"/>
        </w:rPr>
        <w:sectPr>
          <w:footerReference r:id="rId7" w:type="default"/>
          <w:pgSz w:w="11906" w:h="16838"/>
          <w:pgMar w:top="1701" w:right="1531" w:bottom="1701" w:left="1531" w:header="851" w:footer="1077" w:gutter="0"/>
          <w:pgNumType w:fmt="decimal" w:start="1"/>
          <w:cols w:space="720" w:num="1"/>
          <w:docGrid w:linePitch="312" w:charSpace="0"/>
        </w:sectPr>
      </w:pPr>
    </w:p>
    <w:p w14:paraId="489888FE">
      <w:pPr>
        <w:pStyle w:val="26"/>
        <w:keepNext w:val="0"/>
        <w:keepLines w:val="0"/>
        <w:pageBreakBefore w:val="0"/>
        <w:widowControl/>
        <w:kinsoku/>
        <w:wordWrap/>
        <w:overflowPunct/>
        <w:topLinePunct w:val="0"/>
        <w:autoSpaceDE/>
        <w:autoSpaceDN/>
        <w:bidi w:val="0"/>
        <w:adjustRightInd/>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rPr>
      </w:pPr>
      <w:bookmarkStart w:id="2" w:name="_Toc13710"/>
      <w:r>
        <w:rPr>
          <w:rFonts w:hint="default" w:ascii="Times New Roman" w:hAnsi="Times New Roman" w:eastAsia="宋体" w:cs="Times New Roman"/>
          <w:b/>
          <w:bCs/>
          <w:snapToGrid w:val="0"/>
          <w:color w:val="auto"/>
          <w:sz w:val="30"/>
          <w:szCs w:val="30"/>
        </w:rPr>
        <w:t>二、建设项目工程分析</w:t>
      </w:r>
      <w:bookmarkEnd w:id="2"/>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4"/>
      </w:tblGrid>
      <w:tr w14:paraId="5B65D2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dxa"/>
            <w:noWrap w:val="0"/>
            <w:vAlign w:val="center"/>
          </w:tcPr>
          <w:p w14:paraId="1DE82E4D">
            <w:pPr>
              <w:pStyle w:val="2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szCs w:val="24"/>
              </w:rPr>
              <w:t>建设内容</w:t>
            </w:r>
          </w:p>
        </w:tc>
        <w:tc>
          <w:tcPr>
            <w:tcW w:w="8612" w:type="dxa"/>
            <w:noWrap w:val="0"/>
            <w:vAlign w:val="top"/>
          </w:tcPr>
          <w:p w14:paraId="5E65ECFC">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1、项目背景</w:t>
            </w:r>
          </w:p>
          <w:p w14:paraId="4A60C86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立邦是世界著名的涂料制造商，成立于1881年，已有超过100年的历史，是世界上最早的涂料公司之一。立邦作为亚太地区最大的涂料制造商，其业务范围广泛，涉及到多种领域，产品涉及了建筑涂料、汽车涂料、一般工业涂料、卷钢涂料、粉末涂料等。</w:t>
            </w:r>
          </w:p>
          <w:p w14:paraId="3A2E2A9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立邦涂料（成都）有限公司，企注册资金 1000 万美元，组建于2005年11月27日，地址位于成都市经济技术开发区成龙大道600号。立邦涂料（成都） 有限公司主要从事水性及油性涂料的生产，包括：乳胶漆、砂胶漆、真石漆、腻子膏、腻子粉、木器漆、硝基漆等类型。覆盖了中国西部地区的九省一市：重庆、四川、云南、贵州、新疆、陕西、宁夏、青海、西藏、甘肃。立邦涂料（成都）有限公司成立以来，销售额逐年增长，从2007年的3.2亿增长到2012年的11亿，特别是云南地区的销售成长迅猛。为便于云南地区的销售需求，立邦涂料（成都）有限公司在云南设立分公司—立邦涂料（昆明）有限公司，考虑到市场因素的影响，当时租用富民工业园区哨箐片区内云南鸿发机械有限公司已建成的一间钢结构厂房进行临时性生产，产品为水性涂料和腻子粉，</w:t>
            </w:r>
            <w:r>
              <w:rPr>
                <w:rFonts w:hint="eastAsia" w:cs="Times New Roman"/>
                <w:color w:val="auto"/>
                <w:sz w:val="24"/>
                <w:szCs w:val="24"/>
                <w:lang w:val="en-US" w:eastAsia="zh-CN"/>
              </w:rPr>
              <w:t>年产涂料4万吨，其中水性涂料系列 38500t/a，腻子粉系列 1500t/a。</w:t>
            </w:r>
            <w:r>
              <w:rPr>
                <w:rFonts w:hint="default" w:ascii="Times New Roman" w:hAnsi="Times New Roman" w:eastAsia="宋体" w:cs="Times New Roman"/>
                <w:color w:val="auto"/>
                <w:sz w:val="24"/>
                <w:szCs w:val="24"/>
                <w:lang w:val="en-US" w:eastAsia="zh-CN"/>
              </w:rPr>
              <w:t>该项目于2013年3月20日取得富民县发展和改革局富发改[2013]22号《关于核准立邦涂料（昆明）有限公司水性涂料生产建设项目的批复》，并委托云南省环境科学研究院开展了项目的环境影响评价工作，于2014年4月3日取得富民县环境保护局的批复；2015年10月28日取得富民县环境保护局的项目环保验收批复。</w:t>
            </w:r>
          </w:p>
          <w:p w14:paraId="58740CD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2016年立邦涂料（昆明）有限公司决定扩大生产规模，不再租用厂房进行生产，自建厂房进行生产线的建设，在富民工业园区白石岩—大白坡片区的哨箐组团最西的空地建设厂房，建设“涂料（昆明）有限公司年产9.85万吨水性涂料及腻子粉技术改造项目”</w:t>
            </w:r>
            <w:r>
              <w:rPr>
                <w:rFonts w:hint="eastAsia" w:cs="Times New Roman"/>
                <w:color w:val="auto"/>
                <w:sz w:val="24"/>
                <w:szCs w:val="24"/>
                <w:lang w:val="en-US" w:eastAsia="zh-CN"/>
              </w:rPr>
              <w:t>（以下简称“原项目”）</w:t>
            </w:r>
            <w:r>
              <w:rPr>
                <w:rFonts w:hint="default" w:ascii="Times New Roman" w:hAnsi="Times New Roman" w:eastAsia="宋体" w:cs="Times New Roman"/>
                <w:color w:val="auto"/>
                <w:sz w:val="24"/>
                <w:szCs w:val="24"/>
                <w:lang w:val="en-US" w:eastAsia="zh-CN"/>
              </w:rPr>
              <w:t>，生产规模扩大至 98500t/a</w:t>
            </w:r>
            <w:r>
              <w:rPr>
                <w:rFonts w:hint="eastAsia" w:cs="Times New Roman"/>
                <w:color w:val="auto"/>
                <w:sz w:val="24"/>
                <w:szCs w:val="24"/>
                <w:lang w:val="en-US" w:eastAsia="zh-CN"/>
              </w:rPr>
              <w:t>（乳胶漆60000吨/年、砂壁产品20000吨/年、腻子粉18500吨/年）</w:t>
            </w:r>
            <w:r>
              <w:rPr>
                <w:rFonts w:hint="default" w:ascii="Times New Roman" w:hAnsi="Times New Roman" w:eastAsia="宋体" w:cs="Times New Roman"/>
                <w:color w:val="auto"/>
                <w:sz w:val="24"/>
                <w:szCs w:val="24"/>
                <w:lang w:val="en-US" w:eastAsia="zh-CN"/>
              </w:rPr>
              <w:t>，产品种类仍为水性涂料和腻子粉涂料，水性涂料产品种类中增加了砂壁产品；并配套建堆存立邦涂料（成都）公司生产的涂料产品的甲类仓库，原有厂区的生产设备全部搬迁至新厂房，组装后再使用，原租用厂房归还业主，不再进行生产。</w:t>
            </w:r>
          </w:p>
          <w:p w14:paraId="0E52962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富民县工业园区管委会2016年2月22 日以《富民工业园区入园项目选址联席会会议纪要》同意</w:t>
            </w:r>
            <w:r>
              <w:rPr>
                <w:rFonts w:hint="eastAsia" w:cs="Times New Roman"/>
                <w:color w:val="auto"/>
                <w:sz w:val="24"/>
                <w:szCs w:val="24"/>
                <w:lang w:val="en-US" w:eastAsia="zh-CN"/>
              </w:rPr>
              <w:t>原项目</w:t>
            </w:r>
            <w:r>
              <w:rPr>
                <w:rFonts w:hint="default" w:ascii="Times New Roman" w:hAnsi="Times New Roman" w:eastAsia="宋体" w:cs="Times New Roman"/>
                <w:color w:val="auto"/>
                <w:sz w:val="24"/>
                <w:szCs w:val="24"/>
                <w:lang w:val="en-US" w:eastAsia="zh-CN"/>
              </w:rPr>
              <w:t>进入工业园区哨箐片区内；立邦涂料（昆明）有限公司于 2016 年 1 月委托云南环境工程设计研究中心开展了该项目的环境影响评价工作，并于2016 年 6月20取得了富明县环境保护局文件（富环保复[2013]22号）关于《涂料（昆明）有限公司年产9.85万吨水性涂料及腻子粉技术改造项目环境影响报告书》的批复）</w:t>
            </w:r>
            <w:r>
              <w:rPr>
                <w:rFonts w:hint="eastAsia" w:cs="Times New Roman"/>
                <w:color w:val="auto"/>
                <w:sz w:val="24"/>
                <w:szCs w:val="24"/>
                <w:lang w:val="en-US" w:eastAsia="zh-CN"/>
              </w:rPr>
              <w:t>，同意项目的建设</w:t>
            </w:r>
            <w:r>
              <w:rPr>
                <w:rFonts w:hint="default" w:ascii="Times New Roman" w:hAnsi="Times New Roman" w:eastAsia="宋体" w:cs="Times New Roman"/>
                <w:color w:val="auto"/>
                <w:sz w:val="24"/>
                <w:szCs w:val="24"/>
                <w:lang w:val="en-US" w:eastAsia="zh-CN"/>
              </w:rPr>
              <w:t>；并</w:t>
            </w:r>
            <w:r>
              <w:rPr>
                <w:rFonts w:hint="eastAsia" w:cs="Times New Roman"/>
                <w:color w:val="auto"/>
                <w:sz w:val="24"/>
                <w:szCs w:val="24"/>
                <w:lang w:val="en-US" w:eastAsia="zh-CN"/>
              </w:rPr>
              <w:t>于</w:t>
            </w:r>
            <w:r>
              <w:rPr>
                <w:rFonts w:hint="default" w:ascii="Times New Roman" w:hAnsi="Times New Roman" w:eastAsia="宋体" w:cs="Times New Roman"/>
                <w:color w:val="auto"/>
                <w:sz w:val="24"/>
                <w:szCs w:val="24"/>
                <w:lang w:val="en-US" w:eastAsia="zh-CN"/>
              </w:rPr>
              <w:t>2019年10完成了项目竣工环境保护验收。</w:t>
            </w:r>
          </w:p>
          <w:p w14:paraId="79C5730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到202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12</w:t>
            </w:r>
            <w:r>
              <w:rPr>
                <w:rFonts w:hint="default" w:ascii="Times New Roman" w:hAnsi="Times New Roman" w:eastAsia="宋体" w:cs="Times New Roman"/>
                <w:color w:val="auto"/>
                <w:sz w:val="24"/>
                <w:szCs w:val="24"/>
                <w:lang w:val="en-US" w:eastAsia="zh-CN"/>
              </w:rPr>
              <w:t>月，为了满足市场需求，建设单位决定再次扩大生产规模，在原厂址：富民工业园区白石岩—大白坡片区哨箐</w:t>
            </w:r>
            <w:r>
              <w:rPr>
                <w:rFonts w:hint="eastAsia" w:cs="Times New Roman"/>
                <w:color w:val="auto"/>
                <w:sz w:val="24"/>
                <w:szCs w:val="24"/>
                <w:lang w:val="en-US" w:eastAsia="zh-CN"/>
              </w:rPr>
              <w:t>组团</w:t>
            </w:r>
            <w:r>
              <w:rPr>
                <w:rFonts w:hint="default" w:ascii="Times New Roman" w:hAnsi="Times New Roman" w:eastAsia="宋体" w:cs="Times New Roman"/>
                <w:color w:val="auto"/>
                <w:sz w:val="24"/>
                <w:szCs w:val="24"/>
                <w:lang w:val="en-US" w:eastAsia="zh-CN"/>
              </w:rPr>
              <w:t>进行扩建</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利用原有生产线通过在腻子粉生产车间增加1台自动机械手码垛机</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轨道改造、投料间改造、增加电动葫芦、1号线包装机改造、增加一套MES自动生产系统，在</w:t>
            </w:r>
            <w:r>
              <w:rPr>
                <w:rFonts w:hint="eastAsia" w:cs="Times New Roman"/>
                <w:color w:val="auto"/>
                <w:sz w:val="24"/>
                <w:szCs w:val="24"/>
                <w:lang w:val="en-US" w:eastAsia="zh-CN"/>
              </w:rPr>
              <w:t>水性涂料生产</w:t>
            </w:r>
            <w:r>
              <w:rPr>
                <w:rFonts w:hint="default" w:ascii="Times New Roman" w:hAnsi="Times New Roman" w:eastAsia="宋体" w:cs="Times New Roman"/>
                <w:color w:val="auto"/>
                <w:sz w:val="24"/>
                <w:szCs w:val="24"/>
                <w:lang w:val="en-US" w:eastAsia="zh-CN"/>
              </w:rPr>
              <w:t>车间增加2台砂壁包装机、1台自动码垛机及配套传输轨道、砂壁生产缸电机改造（单电机改造为双电机）、增加2个30m³乳液槽罐、1个30m³助剂槽罐、乳胶漆包装扫码方式</w:t>
            </w:r>
            <w:r>
              <w:rPr>
                <w:rFonts w:hint="eastAsia" w:cs="Times New Roman"/>
                <w:color w:val="auto"/>
                <w:sz w:val="24"/>
                <w:szCs w:val="24"/>
                <w:lang w:val="en-US" w:eastAsia="zh-CN"/>
              </w:rPr>
              <w:t>改进</w:t>
            </w:r>
            <w:r>
              <w:rPr>
                <w:rFonts w:hint="default" w:ascii="Times New Roman" w:hAnsi="Times New Roman" w:eastAsia="宋体" w:cs="Times New Roman"/>
                <w:color w:val="auto"/>
                <w:sz w:val="24"/>
                <w:szCs w:val="24"/>
                <w:lang w:val="en-US" w:eastAsia="zh-CN"/>
              </w:rPr>
              <w:t>，增加项目年运营时间等</w:t>
            </w:r>
            <w:r>
              <w:rPr>
                <w:rFonts w:hint="eastAsia" w:cs="Times New Roman"/>
                <w:color w:val="auto"/>
                <w:sz w:val="24"/>
                <w:szCs w:val="24"/>
                <w:lang w:val="en-US" w:eastAsia="zh-CN"/>
              </w:rPr>
              <w:t>新建“</w:t>
            </w:r>
            <w:r>
              <w:rPr>
                <w:rFonts w:hint="default" w:ascii="Times New Roman" w:hAnsi="Times New Roman" w:eastAsia="宋体" w:cs="Times New Roman"/>
                <w:color w:val="auto"/>
                <w:sz w:val="24"/>
                <w:szCs w:val="24"/>
                <w:lang w:eastAsia="zh-CN"/>
              </w:rPr>
              <w:t>水性涂料产品、腻子粉产品产能提升改造项目</w:t>
            </w:r>
            <w:r>
              <w:rPr>
                <w:rFonts w:hint="eastAsia" w:cs="Times New Roman"/>
                <w:color w:val="auto"/>
                <w:sz w:val="24"/>
                <w:szCs w:val="24"/>
                <w:lang w:val="en-US" w:eastAsia="zh-CN"/>
              </w:rPr>
              <w:t>”（以下简称“本项目”）</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该项目于2023年2月取得富民县发展和改革委投资项目备案证，备案编号为：2302-530124-04-02-529015。</w:t>
            </w:r>
            <w:r>
              <w:rPr>
                <w:rFonts w:hint="default" w:ascii="Times New Roman" w:hAnsi="Times New Roman" w:eastAsia="宋体" w:cs="Times New Roman"/>
                <w:color w:val="auto"/>
                <w:sz w:val="24"/>
                <w:szCs w:val="24"/>
                <w:lang w:val="en-US" w:eastAsia="zh-CN"/>
              </w:rPr>
              <w:t>本项目建成后，全厂生产腻子粉产品120000吨/年，水性涂料100000吨/年</w:t>
            </w:r>
            <w:r>
              <w:rPr>
                <w:rFonts w:hint="eastAsia" w:cs="Times New Roman"/>
                <w:color w:val="auto"/>
                <w:sz w:val="24"/>
                <w:szCs w:val="24"/>
                <w:lang w:val="en-US" w:eastAsia="zh-CN"/>
              </w:rPr>
              <w:t>（包含：乳胶漆75000吨/年、砂壁产品25000吨/年）</w:t>
            </w:r>
            <w:r>
              <w:rPr>
                <w:rFonts w:hint="default" w:ascii="Times New Roman" w:hAnsi="Times New Roman" w:eastAsia="宋体" w:cs="Times New Roman"/>
                <w:color w:val="auto"/>
                <w:sz w:val="24"/>
                <w:szCs w:val="24"/>
                <w:lang w:val="en-US" w:eastAsia="zh-CN"/>
              </w:rPr>
              <w:t>，总产量为22万吨/年。</w:t>
            </w:r>
          </w:p>
          <w:p w14:paraId="0FC8544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rPr>
              <w:t>根据《中华人民共和国环境保护法》、《中华人民共和国环境影响评价法》和《建设项目环境保护管理条例》的规定，本项目应开展环境影响评价工作。根据《建设项目环境影响评价分类管理名录》（20</w:t>
            </w:r>
            <w:r>
              <w:rPr>
                <w:rFonts w:hint="default" w:ascii="Times New Roman" w:hAnsi="Times New Roman" w:eastAsia="宋体" w:cs="Times New Roman"/>
                <w:color w:val="auto"/>
                <w:sz w:val="24"/>
                <w:szCs w:val="24"/>
                <w:lang w:val="en-US" w:eastAsia="zh-CN"/>
              </w:rPr>
              <w:t>21</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日</w:t>
            </w:r>
            <w:r>
              <w:rPr>
                <w:rFonts w:hint="default" w:ascii="Times New Roman" w:hAnsi="Times New Roman" w:eastAsia="宋体" w:cs="Times New Roman"/>
                <w:color w:val="auto"/>
                <w:sz w:val="24"/>
                <w:szCs w:val="24"/>
                <w:lang w:eastAsia="zh-CN"/>
              </w:rPr>
              <w:t>实施</w:t>
            </w:r>
            <w:r>
              <w:rPr>
                <w:rFonts w:hint="default" w:ascii="Times New Roman" w:hAnsi="Times New Roman" w:eastAsia="宋体" w:cs="Times New Roman"/>
                <w:color w:val="auto"/>
                <w:sz w:val="24"/>
                <w:szCs w:val="24"/>
              </w:rPr>
              <w:t>）规定，拟建项目属于“</w:t>
            </w:r>
            <w:r>
              <w:rPr>
                <w:rFonts w:hint="default" w:ascii="Times New Roman" w:hAnsi="Times New Roman" w:eastAsia="宋体" w:cs="Times New Roman"/>
                <w:color w:val="auto"/>
                <w:sz w:val="24"/>
                <w:szCs w:val="24"/>
                <w:lang w:val="en-US" w:eastAsia="zh-CN"/>
              </w:rPr>
              <w:t>二十三、化学原料和化学制品制造业</w:t>
            </w:r>
            <w:r>
              <w:rPr>
                <w:rFonts w:hint="default" w:ascii="Times New Roman" w:hAnsi="Times New Roman" w:eastAsia="宋体" w:cs="Times New Roman"/>
                <w:color w:val="auto"/>
                <w:sz w:val="24"/>
                <w:szCs w:val="24"/>
              </w:rPr>
              <w:t>”中的“</w:t>
            </w:r>
            <w:r>
              <w:rPr>
                <w:rFonts w:hint="default" w:ascii="Times New Roman" w:hAnsi="Times New Roman" w:eastAsia="宋体" w:cs="Times New Roman"/>
                <w:color w:val="auto"/>
                <w:sz w:val="24"/>
                <w:szCs w:val="24"/>
                <w:lang w:val="en-US" w:eastAsia="zh-CN"/>
              </w:rPr>
              <w:t>44、涂料、油墨、颜料及类似产品制造264</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单纯物理分离、物理提纯、混合、分装的（不产生废水或挥发性有机物的除外），</w:t>
            </w:r>
            <w:r>
              <w:rPr>
                <w:rFonts w:hint="default" w:ascii="Times New Roman" w:hAnsi="Times New Roman" w:eastAsia="宋体" w:cs="Times New Roman"/>
                <w:color w:val="auto"/>
                <w:sz w:val="24"/>
                <w:szCs w:val="24"/>
              </w:rPr>
              <w:t>故编制</w:t>
            </w:r>
            <w:r>
              <w:rPr>
                <w:rFonts w:hint="eastAsia" w:cs="Times New Roman"/>
                <w:color w:val="auto"/>
                <w:sz w:val="24"/>
                <w:szCs w:val="24"/>
                <w:lang w:val="en-US" w:eastAsia="zh-CN"/>
              </w:rPr>
              <w:t>环境影响</w:t>
            </w:r>
            <w:r>
              <w:rPr>
                <w:rFonts w:hint="default" w:ascii="Times New Roman" w:hAnsi="Times New Roman" w:eastAsia="宋体" w:cs="Times New Roman"/>
                <w:color w:val="auto"/>
                <w:sz w:val="24"/>
                <w:szCs w:val="24"/>
              </w:rPr>
              <w:t>报告表。为此，</w:t>
            </w:r>
            <w:r>
              <w:rPr>
                <w:rFonts w:hint="default" w:ascii="Times New Roman" w:hAnsi="Times New Roman" w:eastAsia="宋体" w:cs="Times New Roman"/>
                <w:color w:val="auto"/>
                <w:sz w:val="24"/>
                <w:szCs w:val="24"/>
                <w:lang w:eastAsia="zh-CN"/>
              </w:rPr>
              <w:t>立邦涂料（昆明）有限公司</w:t>
            </w:r>
            <w:r>
              <w:rPr>
                <w:rFonts w:hint="default" w:ascii="Times New Roman" w:hAnsi="Times New Roman" w:eastAsia="宋体" w:cs="Times New Roman"/>
                <w:bCs/>
                <w:color w:val="auto"/>
                <w:sz w:val="24"/>
                <w:szCs w:val="24"/>
              </w:rPr>
              <w:t>委托我单位承担</w:t>
            </w:r>
            <w:r>
              <w:rPr>
                <w:rFonts w:hint="default" w:ascii="Times New Roman" w:hAnsi="Times New Roman" w:eastAsia="宋体" w:cs="Times New Roman"/>
                <w:color w:val="auto"/>
                <w:sz w:val="24"/>
                <w:szCs w:val="24"/>
                <w:lang w:eastAsia="zh-CN"/>
              </w:rPr>
              <w:t>水</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性涂料产品、腻子粉产品产能提升改造项目</w:t>
            </w:r>
            <w:r>
              <w:rPr>
                <w:rFonts w:hint="eastAsia" w:cs="Times New Roman"/>
                <w:color w:val="auto"/>
                <w:sz w:val="24"/>
                <w:szCs w:val="24"/>
                <w:lang w:eastAsia="zh-CN"/>
              </w:rPr>
              <w:t>”</w:t>
            </w:r>
            <w:r>
              <w:rPr>
                <w:rFonts w:hint="default" w:ascii="Times New Roman" w:hAnsi="Times New Roman" w:eastAsia="宋体" w:cs="Times New Roman"/>
                <w:bCs/>
                <w:color w:val="auto"/>
                <w:sz w:val="24"/>
                <w:szCs w:val="24"/>
              </w:rPr>
              <w:t>的环境影响评价工作。</w:t>
            </w:r>
            <w:r>
              <w:rPr>
                <w:rFonts w:hint="default" w:ascii="Times New Roman" w:hAnsi="Times New Roman" w:eastAsia="宋体" w:cs="Times New Roman"/>
                <w:color w:val="auto"/>
                <w:sz w:val="24"/>
                <w:szCs w:val="24"/>
              </w:rPr>
              <w:t>接受委托后，我公司组织技术人员进行现场详细踏勘和调查，收集了有关该项目的资料，在此基础上根据国家环保法规、标准和环境影响评价技术导则，编制了《</w:t>
            </w:r>
            <w:r>
              <w:rPr>
                <w:rFonts w:hint="default" w:ascii="Times New Roman" w:hAnsi="Times New Roman" w:eastAsia="宋体" w:cs="Times New Roman"/>
                <w:color w:val="auto"/>
                <w:sz w:val="24"/>
                <w:szCs w:val="24"/>
                <w:lang w:eastAsia="zh-CN"/>
              </w:rPr>
              <w:t>水性涂料产品、腻子粉产品产能提升改造项目</w:t>
            </w:r>
            <w:r>
              <w:rPr>
                <w:rFonts w:hint="default" w:ascii="Times New Roman" w:hAnsi="Times New Roman" w:eastAsia="宋体" w:cs="Times New Roman"/>
                <w:color w:val="auto"/>
                <w:sz w:val="24"/>
                <w:szCs w:val="24"/>
              </w:rPr>
              <w:t>环境影响报告表》，供建设单位上报审查。</w:t>
            </w:r>
          </w:p>
          <w:p w14:paraId="56C7B110">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2、项目概况</w:t>
            </w:r>
          </w:p>
          <w:p w14:paraId="7B0166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项目名称：水性涂料产品、腻子粉产品产能提升改造项目</w:t>
            </w:r>
          </w:p>
          <w:p w14:paraId="7D141F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项目建设地点：云南省昆明市富民县富民工业园区哨箐机械加工园，地理位置中心坐标</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东经102°27′44.478″，北纬25°16′17.804″。</w:t>
            </w:r>
          </w:p>
          <w:p w14:paraId="238482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建设单位：立邦涂料（昆明）有限公司</w:t>
            </w:r>
          </w:p>
          <w:p w14:paraId="09A227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建设性质：扩建</w:t>
            </w:r>
          </w:p>
          <w:p w14:paraId="1C1998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项目投资：170万元，其中环保投资</w:t>
            </w:r>
            <w:r>
              <w:rPr>
                <w:rFonts w:hint="eastAsia" w:cs="Times New Roman"/>
                <w:color w:val="auto"/>
                <w:sz w:val="24"/>
                <w:szCs w:val="24"/>
                <w:lang w:val="en-US" w:eastAsia="zh-CN"/>
              </w:rPr>
              <w:t>32</w:t>
            </w:r>
            <w:r>
              <w:rPr>
                <w:rFonts w:hint="default" w:ascii="Times New Roman" w:hAnsi="Times New Roman" w:eastAsia="宋体" w:cs="Times New Roman"/>
                <w:color w:val="auto"/>
                <w:sz w:val="24"/>
                <w:szCs w:val="24"/>
                <w:lang w:val="en-US" w:eastAsia="zh-CN"/>
              </w:rPr>
              <w:t>万元，占总投资的</w:t>
            </w:r>
            <w:r>
              <w:rPr>
                <w:rFonts w:hint="eastAsia" w:cs="Times New Roman"/>
                <w:color w:val="auto"/>
                <w:sz w:val="24"/>
                <w:szCs w:val="24"/>
                <w:lang w:val="en-US" w:eastAsia="zh-CN"/>
              </w:rPr>
              <w:t>18.8</w:t>
            </w:r>
            <w:r>
              <w:rPr>
                <w:rFonts w:hint="default" w:ascii="Times New Roman" w:hAnsi="Times New Roman" w:eastAsia="宋体" w:cs="Times New Roman"/>
                <w:color w:val="auto"/>
                <w:sz w:val="24"/>
                <w:szCs w:val="24"/>
                <w:lang w:val="en-US" w:eastAsia="zh-CN"/>
              </w:rPr>
              <w:t>%。</w:t>
            </w:r>
          </w:p>
          <w:p w14:paraId="0106C7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建设规模：厂区占地面积41335.4hm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(62亩)，本次扩建在原有</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条生产线（2条乳胶漆生产线，2条腻子粉生产线、1条砂壁生产线）通过技术改进</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生产设备更新</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增加</w:t>
            </w:r>
            <w:r>
              <w:rPr>
                <w:rFonts w:hint="eastAsia" w:cs="Times New Roman"/>
                <w:color w:val="auto"/>
                <w:sz w:val="24"/>
                <w:szCs w:val="24"/>
                <w:lang w:val="en-US" w:eastAsia="zh-CN"/>
              </w:rPr>
              <w:t>辅助</w:t>
            </w:r>
            <w:r>
              <w:rPr>
                <w:rFonts w:hint="default" w:ascii="Times New Roman" w:hAnsi="Times New Roman" w:eastAsia="宋体" w:cs="Times New Roman"/>
                <w:color w:val="auto"/>
                <w:sz w:val="24"/>
                <w:szCs w:val="24"/>
                <w:lang w:val="en-US" w:eastAsia="zh-CN"/>
              </w:rPr>
              <w:t>设备</w:t>
            </w:r>
            <w:r>
              <w:rPr>
                <w:rFonts w:hint="eastAsia" w:cs="Times New Roman"/>
                <w:color w:val="auto"/>
                <w:sz w:val="24"/>
                <w:szCs w:val="24"/>
                <w:lang w:val="en-US" w:eastAsia="zh-CN"/>
              </w:rPr>
              <w:t>、调整</w:t>
            </w:r>
            <w:r>
              <w:rPr>
                <w:rFonts w:hint="default" w:ascii="Times New Roman" w:hAnsi="Times New Roman" w:eastAsia="宋体" w:cs="Times New Roman"/>
                <w:color w:val="auto"/>
                <w:sz w:val="24"/>
                <w:szCs w:val="24"/>
                <w:lang w:val="en-US" w:eastAsia="zh-CN"/>
              </w:rPr>
              <w:t>运营时间等扩建，扩建内容包含：腻子粉生产车间增加1台自动机械手码垛机</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轨道改造、投料间改造、增加电动葫芦、1号线包装机改造、除尘器改造、增加一套MES自动生产系统；在</w:t>
            </w:r>
            <w:r>
              <w:rPr>
                <w:rFonts w:hint="eastAsia" w:cs="Times New Roman"/>
                <w:color w:val="auto"/>
                <w:sz w:val="24"/>
                <w:szCs w:val="24"/>
                <w:lang w:val="en-US" w:eastAsia="zh-CN"/>
              </w:rPr>
              <w:t>水性涂料生产</w:t>
            </w:r>
            <w:r>
              <w:rPr>
                <w:rFonts w:hint="default" w:ascii="Times New Roman" w:hAnsi="Times New Roman" w:eastAsia="宋体" w:cs="Times New Roman"/>
                <w:color w:val="auto"/>
                <w:sz w:val="24"/>
                <w:szCs w:val="24"/>
                <w:lang w:val="en-US" w:eastAsia="zh-CN"/>
              </w:rPr>
              <w:t>车间增加2台砂壁包装机、1台自动码垛机及配套传输轨道、砂壁生产缸电机改造（单电机改造为双电机）、增加2个30m³乳液槽罐、1个30m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助剂槽罐、乳胶漆包装扫码方式</w:t>
            </w:r>
            <w:r>
              <w:rPr>
                <w:rFonts w:hint="eastAsia" w:cs="Times New Roman"/>
                <w:color w:val="auto"/>
                <w:sz w:val="24"/>
                <w:szCs w:val="24"/>
                <w:lang w:val="en-US" w:eastAsia="zh-CN"/>
              </w:rPr>
              <w:t>进</w:t>
            </w:r>
            <w:r>
              <w:rPr>
                <w:rFonts w:hint="default" w:ascii="Times New Roman" w:hAnsi="Times New Roman" w:eastAsia="宋体" w:cs="Times New Roman"/>
                <w:color w:val="auto"/>
                <w:sz w:val="24"/>
                <w:szCs w:val="24"/>
                <w:lang w:val="en-US" w:eastAsia="zh-CN"/>
              </w:rPr>
              <w:t>等，扩建完成后全厂生产腻子粉产品120000吨/年，水性涂料100000吨/年，总产量为22万吨/年。</w:t>
            </w:r>
          </w:p>
          <w:p w14:paraId="1C9EF062">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3、主要建设内容及工程规模</w:t>
            </w:r>
          </w:p>
          <w:p w14:paraId="67F76A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4"/>
                <w:szCs w:val="24"/>
                <w:lang w:val="en-US" w:eastAsia="zh-CN"/>
              </w:rPr>
              <w:t>项目工程内容包括主体工程、辅助工程、公用工程、环保工程。项目主要建设内容见表2-1。</w:t>
            </w:r>
          </w:p>
          <w:p w14:paraId="324E26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 xml:space="preserve">  项目</w:t>
            </w:r>
            <w:r>
              <w:rPr>
                <w:rFonts w:hint="default" w:ascii="Times New Roman" w:hAnsi="Times New Roman" w:eastAsia="宋体" w:cs="Times New Roman"/>
                <w:b/>
                <w:bCs/>
                <w:color w:val="auto"/>
                <w:sz w:val="21"/>
                <w:szCs w:val="21"/>
                <w:lang w:eastAsia="zh-CN"/>
              </w:rPr>
              <w:t>主要建设内容一览表</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68"/>
              <w:gridCol w:w="523"/>
              <w:gridCol w:w="1431"/>
              <w:gridCol w:w="4751"/>
              <w:gridCol w:w="1302"/>
            </w:tblGrid>
            <w:tr w14:paraId="1A90F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86" w:type="pct"/>
                  <w:gridSpan w:val="3"/>
                  <w:vAlign w:val="center"/>
                </w:tcPr>
                <w:p w14:paraId="1034D492">
                  <w:pPr>
                    <w:pStyle w:val="41"/>
                    <w:keepNext w:val="0"/>
                    <w:keepLines w:val="0"/>
                    <w:suppressLineNumbers w:val="0"/>
                    <w:spacing w:before="18"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工程名称</w:t>
                  </w:r>
                </w:p>
              </w:tc>
              <w:tc>
                <w:tcPr>
                  <w:tcW w:w="2836" w:type="pct"/>
                  <w:vAlign w:val="center"/>
                </w:tcPr>
                <w:p w14:paraId="7F6E9004">
                  <w:pPr>
                    <w:pStyle w:val="41"/>
                    <w:keepNext w:val="0"/>
                    <w:keepLines w:val="0"/>
                    <w:suppressLineNumbers w:val="0"/>
                    <w:spacing w:before="18"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建设内容及功能</w:t>
                  </w:r>
                </w:p>
              </w:tc>
              <w:tc>
                <w:tcPr>
                  <w:tcW w:w="777" w:type="pct"/>
                  <w:vAlign w:val="center"/>
                </w:tcPr>
                <w:p w14:paraId="70DCEF96">
                  <w:pPr>
                    <w:pStyle w:val="41"/>
                    <w:keepNext w:val="0"/>
                    <w:keepLines w:val="0"/>
                    <w:suppressLineNumbers w:val="0"/>
                    <w:spacing w:before="18" w:beforeAutospacing="0" w:after="0" w:afterAutospacing="0" w:line="240" w:lineRule="auto"/>
                    <w:ind w:left="108"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备注</w:t>
                  </w:r>
                </w:p>
              </w:tc>
            </w:tr>
            <w:tr w14:paraId="0B6E3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restart"/>
                  <w:vAlign w:val="center"/>
                </w:tcPr>
                <w:p w14:paraId="47C90539">
                  <w:pPr>
                    <w:pStyle w:val="41"/>
                    <w:keepNext w:val="0"/>
                    <w:keepLines w:val="0"/>
                    <w:suppressLineNumbers w:val="0"/>
                    <w:spacing w:before="23"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主体工程</w:t>
                  </w:r>
                </w:p>
              </w:tc>
              <w:tc>
                <w:tcPr>
                  <w:tcW w:w="312" w:type="pct"/>
                  <w:vAlign w:val="center"/>
                </w:tcPr>
                <w:p w14:paraId="0597B232">
                  <w:pPr>
                    <w:pStyle w:val="41"/>
                    <w:keepNext w:val="0"/>
                    <w:keepLines w:val="0"/>
                    <w:suppressLineNumbers w:val="0"/>
                    <w:spacing w:before="23" w:beforeAutospacing="0" w:after="0" w:afterAutospacing="0" w:line="240" w:lineRule="auto"/>
                    <w:ind w:left="108" w:right="94"/>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生产</w:t>
                  </w:r>
                  <w:r>
                    <w:rPr>
                      <w:rFonts w:hint="default" w:ascii="Times New Roman" w:hAnsi="Times New Roman" w:eastAsia="宋体" w:cs="Times New Roman"/>
                      <w:color w:val="auto"/>
                      <w:sz w:val="21"/>
                    </w:rPr>
                    <w:t>车间</w:t>
                  </w:r>
                </w:p>
              </w:tc>
              <w:tc>
                <w:tcPr>
                  <w:tcW w:w="853" w:type="pct"/>
                  <w:vAlign w:val="center"/>
                </w:tcPr>
                <w:p w14:paraId="25BAE1B1">
                  <w:pPr>
                    <w:pStyle w:val="41"/>
                    <w:keepNext w:val="0"/>
                    <w:keepLines w:val="0"/>
                    <w:suppressLineNumbers w:val="0"/>
                    <w:spacing w:before="23" w:beforeAutospacing="0" w:after="0" w:afterAutospacing="0" w:line="240" w:lineRule="auto"/>
                    <w:ind w:left="109" w:right="93"/>
                    <w:jc w:val="center"/>
                    <w:rPr>
                      <w:rFonts w:hint="default" w:ascii="Times New Roman" w:hAnsi="Times New Roman" w:eastAsia="宋体" w:cs="Times New Roman"/>
                      <w:color w:val="auto"/>
                      <w:sz w:val="21"/>
                    </w:rPr>
                  </w:pPr>
                  <w:r>
                    <w:rPr>
                      <w:rFonts w:hint="eastAsia" w:ascii="Times New Roman" w:hAnsi="Times New Roman" w:eastAsia="宋体" w:cs="Times New Roman"/>
                      <w:color w:val="auto"/>
                      <w:spacing w:val="-6"/>
                      <w:sz w:val="21"/>
                      <w:lang w:eastAsia="zh-CN"/>
                    </w:rPr>
                    <w:t>腻子粉车间、</w:t>
                  </w:r>
                  <w:r>
                    <w:rPr>
                      <w:rFonts w:hint="default" w:ascii="Times New Roman" w:hAnsi="Times New Roman" w:eastAsia="宋体" w:cs="Times New Roman"/>
                      <w:color w:val="auto"/>
                      <w:spacing w:val="-6"/>
                      <w:sz w:val="21"/>
                    </w:rPr>
                    <w:t>成品库</w:t>
                  </w:r>
                </w:p>
              </w:tc>
              <w:tc>
                <w:tcPr>
                  <w:tcW w:w="2836" w:type="pct"/>
                  <w:vAlign w:val="center"/>
                </w:tcPr>
                <w:p w14:paraId="48541A2D">
                  <w:pPr>
                    <w:pStyle w:val="41"/>
                    <w:keepNext w:val="0"/>
                    <w:keepLines w:val="0"/>
                    <w:suppressLineNumbers w:val="0"/>
                    <w:spacing w:before="21" w:beforeAutospacing="0" w:after="0" w:afterAutospacing="0" w:line="240" w:lineRule="auto"/>
                    <w:ind w:left="105" w:right="0"/>
                    <w:jc w:val="center"/>
                    <w:rPr>
                      <w:rFonts w:hint="eastAsia" w:ascii="Times New Roman" w:hAnsi="Times New Roman" w:eastAsia="宋体" w:cs="Times New Roman"/>
                      <w:color w:val="auto"/>
                      <w:sz w:val="21"/>
                      <w:lang w:eastAsia="zh-CN"/>
                    </w:rPr>
                  </w:pPr>
                  <w:r>
                    <w:rPr>
                      <w:rFonts w:hint="eastAsia" w:cs="Times New Roman"/>
                      <w:color w:val="auto"/>
                      <w:spacing w:val="-8"/>
                      <w:sz w:val="21"/>
                      <w:lang w:val="en-US" w:eastAsia="zh-CN"/>
                    </w:rPr>
                    <w:t>位于厂区东侧，</w:t>
                  </w:r>
                  <w:r>
                    <w:rPr>
                      <w:rFonts w:hint="default" w:ascii="Times New Roman" w:hAnsi="Times New Roman" w:eastAsia="宋体" w:cs="Times New Roman"/>
                      <w:color w:val="auto"/>
                      <w:spacing w:val="-8"/>
                      <w:sz w:val="21"/>
                    </w:rPr>
                    <w:t xml:space="preserve">为独立彩钢板厂房，占地面积 </w:t>
                  </w:r>
                  <w:r>
                    <w:rPr>
                      <w:rFonts w:hint="default" w:ascii="Times New Roman" w:hAnsi="Times New Roman" w:eastAsia="宋体" w:cs="Times New Roman"/>
                      <w:color w:val="auto"/>
                      <w:spacing w:val="-5"/>
                      <w:sz w:val="21"/>
                    </w:rPr>
                    <w:t>3564m</w:t>
                  </w:r>
                  <w:r>
                    <w:rPr>
                      <w:rFonts w:hint="default" w:ascii="Times New Roman" w:hAnsi="Times New Roman" w:eastAsia="宋体" w:cs="Times New Roman"/>
                      <w:color w:val="auto"/>
                      <w:spacing w:val="-5"/>
                      <w:position w:val="7"/>
                      <w:sz w:val="13"/>
                    </w:rPr>
                    <w:t>2</w:t>
                  </w:r>
                  <w:r>
                    <w:rPr>
                      <w:rFonts w:hint="default" w:ascii="Times New Roman" w:hAnsi="Times New Roman" w:eastAsia="宋体" w:cs="Times New Roman"/>
                      <w:color w:val="auto"/>
                      <w:spacing w:val="-3"/>
                      <w:sz w:val="21"/>
                    </w:rPr>
                    <w:t>，建筑面积约</w:t>
                  </w:r>
                  <w:r>
                    <w:rPr>
                      <w:rFonts w:hint="default" w:ascii="Times New Roman" w:hAnsi="Times New Roman" w:eastAsia="宋体" w:cs="Times New Roman"/>
                      <w:color w:val="auto"/>
                      <w:spacing w:val="-17"/>
                      <w:sz w:val="21"/>
                    </w:rPr>
                    <w:t xml:space="preserve">为 </w:t>
                  </w:r>
                  <w:r>
                    <w:rPr>
                      <w:rFonts w:hint="default" w:ascii="Times New Roman" w:hAnsi="Times New Roman" w:eastAsia="宋体" w:cs="Times New Roman"/>
                      <w:color w:val="auto"/>
                      <w:sz w:val="21"/>
                    </w:rPr>
                    <w:t>4455m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pacing w:val="-13"/>
                      <w:position w:val="7"/>
                      <w:sz w:val="13"/>
                    </w:rPr>
                    <w:t xml:space="preserve"> </w:t>
                  </w:r>
                  <w:r>
                    <w:rPr>
                      <w:rFonts w:hint="default" w:ascii="Times New Roman" w:hAnsi="Times New Roman" w:eastAsia="宋体" w:cs="Times New Roman"/>
                      <w:color w:val="auto"/>
                      <w:spacing w:val="2"/>
                      <w:sz w:val="21"/>
                    </w:rPr>
                    <w:t>，主体为</w:t>
                  </w:r>
                  <w:r>
                    <w:rPr>
                      <w:rFonts w:hint="default" w:ascii="Times New Roman" w:hAnsi="Times New Roman" w:eastAsia="宋体" w:cs="Times New Roman"/>
                      <w:color w:val="auto"/>
                      <w:sz w:val="21"/>
                    </w:rPr>
                    <w:t>1</w:t>
                  </w:r>
                  <w:r>
                    <w:rPr>
                      <w:rFonts w:hint="default" w:ascii="Times New Roman" w:hAnsi="Times New Roman" w:eastAsia="宋体" w:cs="Times New Roman"/>
                      <w:color w:val="auto"/>
                      <w:spacing w:val="-6"/>
                      <w:sz w:val="21"/>
                    </w:rPr>
                    <w:t xml:space="preserve">层建筑，局部为 </w:t>
                  </w:r>
                  <w:r>
                    <w:rPr>
                      <w:rFonts w:hint="default" w:ascii="Times New Roman" w:hAnsi="Times New Roman" w:eastAsia="宋体" w:cs="Times New Roman"/>
                      <w:color w:val="auto"/>
                      <w:sz w:val="21"/>
                    </w:rPr>
                    <w:t>2</w:t>
                  </w:r>
                  <w:r>
                    <w:rPr>
                      <w:rFonts w:hint="default" w:ascii="Times New Roman" w:hAnsi="Times New Roman" w:eastAsia="宋体" w:cs="Times New Roman"/>
                      <w:color w:val="auto"/>
                      <w:spacing w:val="17"/>
                      <w:sz w:val="21"/>
                    </w:rPr>
                    <w:t xml:space="preserve"> </w:t>
                  </w:r>
                  <w:r>
                    <w:rPr>
                      <w:rFonts w:hint="default" w:ascii="Times New Roman" w:hAnsi="Times New Roman" w:eastAsia="宋体" w:cs="Times New Roman"/>
                      <w:color w:val="auto"/>
                      <w:spacing w:val="19"/>
                      <w:sz w:val="21"/>
                    </w:rPr>
                    <w:t>层</w:t>
                  </w:r>
                  <w:r>
                    <w:rPr>
                      <w:rFonts w:hint="default" w:ascii="Times New Roman" w:hAnsi="Times New Roman" w:eastAsia="宋体" w:cs="Times New Roman"/>
                      <w:color w:val="auto"/>
                      <w:spacing w:val="14"/>
                      <w:sz w:val="21"/>
                    </w:rPr>
                    <w:t>,</w:t>
                  </w:r>
                  <w:r>
                    <w:rPr>
                      <w:rFonts w:hint="default" w:ascii="Times New Roman" w:hAnsi="Times New Roman" w:eastAsia="宋体" w:cs="Times New Roman"/>
                      <w:color w:val="auto"/>
                      <w:spacing w:val="9"/>
                      <w:sz w:val="21"/>
                    </w:rPr>
                    <w:t>高约</w:t>
                  </w:r>
                  <w:r>
                    <w:rPr>
                      <w:rFonts w:hint="default" w:ascii="Times New Roman" w:hAnsi="Times New Roman" w:eastAsia="宋体" w:cs="Times New Roman"/>
                      <w:color w:val="auto"/>
                      <w:spacing w:val="-3"/>
                      <w:sz w:val="21"/>
                    </w:rPr>
                    <w:t>10.4m，2</w:t>
                  </w:r>
                  <w:r>
                    <w:rPr>
                      <w:rFonts w:hint="default" w:ascii="Times New Roman" w:hAnsi="Times New Roman" w:eastAsia="宋体" w:cs="Times New Roman"/>
                      <w:color w:val="auto"/>
                      <w:spacing w:val="-6"/>
                      <w:sz w:val="21"/>
                    </w:rPr>
                    <w:t>层建筑依墙建设，为设备的操作平台；该车间主要进行腻子粉和砂壁产品的生产，</w:t>
                  </w:r>
                  <w:r>
                    <w:rPr>
                      <w:rFonts w:hint="default" w:ascii="Times New Roman" w:hAnsi="Times New Roman" w:eastAsia="宋体" w:cs="Times New Roman"/>
                      <w:color w:val="auto"/>
                      <w:spacing w:val="-6"/>
                      <w:sz w:val="21"/>
                      <w:lang w:val="en-US" w:eastAsia="zh-CN"/>
                    </w:rPr>
                    <w:t>设置有</w:t>
                  </w:r>
                  <w:r>
                    <w:rPr>
                      <w:rFonts w:hint="default" w:ascii="Times New Roman" w:hAnsi="Times New Roman" w:eastAsia="宋体" w:cs="Times New Roman"/>
                      <w:color w:val="auto"/>
                    </w:rPr>
                    <w:t>2 条腻子粉生产线</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spacing w:val="-6"/>
                      <w:sz w:val="21"/>
                    </w:rPr>
                    <w:t>并做为腻</w:t>
                  </w:r>
                  <w:r>
                    <w:rPr>
                      <w:rFonts w:hint="default" w:ascii="Times New Roman" w:hAnsi="Times New Roman" w:eastAsia="宋体" w:cs="Times New Roman"/>
                      <w:color w:val="auto"/>
                      <w:sz w:val="21"/>
                    </w:rPr>
                    <w:t>子粉成品</w:t>
                  </w:r>
                  <w:r>
                    <w:rPr>
                      <w:rFonts w:hint="default" w:ascii="Times New Roman" w:hAnsi="Times New Roman" w:eastAsia="宋体" w:cs="Times New Roman"/>
                      <w:color w:val="auto"/>
                      <w:spacing w:val="-10"/>
                      <w:sz w:val="21"/>
                    </w:rPr>
                    <w:t>贮存；车间内分为</w:t>
                  </w:r>
                  <w:r>
                    <w:rPr>
                      <w:rFonts w:hint="eastAsia" w:ascii="Times New Roman" w:hAnsi="Times New Roman" w:eastAsia="宋体" w:cs="Times New Roman"/>
                      <w:color w:val="auto"/>
                      <w:spacing w:val="-10"/>
                      <w:sz w:val="21"/>
                      <w:lang w:val="en-US" w:eastAsia="zh-CN"/>
                    </w:rPr>
                    <w:t>2</w:t>
                  </w:r>
                  <w:r>
                    <w:rPr>
                      <w:rFonts w:hint="default" w:ascii="Times New Roman" w:hAnsi="Times New Roman" w:eastAsia="宋体" w:cs="Times New Roman"/>
                      <w:color w:val="auto"/>
                      <w:spacing w:val="-10"/>
                      <w:sz w:val="21"/>
                    </w:rPr>
                    <w:t>个区，</w:t>
                  </w:r>
                  <w:r>
                    <w:rPr>
                      <w:rFonts w:hint="eastAsia" w:cs="Times New Roman"/>
                      <w:color w:val="auto"/>
                      <w:spacing w:val="-10"/>
                      <w:sz w:val="21"/>
                      <w:lang w:eastAsia="zh-CN"/>
                    </w:rPr>
                    <w:t>西侧为</w:t>
                  </w:r>
                  <w:r>
                    <w:rPr>
                      <w:rFonts w:hint="default" w:ascii="Times New Roman" w:hAnsi="Times New Roman" w:eastAsia="宋体" w:cs="Times New Roman"/>
                      <w:color w:val="auto"/>
                      <w:spacing w:val="-2"/>
                      <w:sz w:val="21"/>
                    </w:rPr>
                    <w:t>腻子粉生产区</w:t>
                  </w:r>
                  <w:r>
                    <w:rPr>
                      <w:rFonts w:hint="eastAsia" w:cs="Times New Roman"/>
                      <w:color w:val="auto"/>
                      <w:spacing w:val="-2"/>
                      <w:sz w:val="21"/>
                      <w:lang w:eastAsia="zh-CN"/>
                    </w:rPr>
                    <w:t>、东侧为</w:t>
                  </w:r>
                  <w:r>
                    <w:rPr>
                      <w:rFonts w:hint="default" w:ascii="Times New Roman" w:hAnsi="Times New Roman" w:eastAsia="宋体" w:cs="Times New Roman"/>
                      <w:color w:val="auto"/>
                      <w:spacing w:val="-2"/>
                      <w:sz w:val="21"/>
                    </w:rPr>
                    <w:t>成品贮存区</w:t>
                  </w:r>
                  <w:r>
                    <w:rPr>
                      <w:rFonts w:hint="default" w:ascii="Times New Roman" w:hAnsi="Times New Roman" w:eastAsia="宋体" w:cs="Times New Roman"/>
                      <w:color w:val="auto"/>
                      <w:sz w:val="21"/>
                    </w:rPr>
                    <w:t>。本次</w:t>
                  </w:r>
                  <w:r>
                    <w:rPr>
                      <w:rFonts w:hint="default" w:ascii="Times New Roman" w:hAnsi="Times New Roman" w:eastAsia="宋体" w:cs="Times New Roman"/>
                      <w:color w:val="auto"/>
                      <w:sz w:val="21"/>
                      <w:lang w:val="en-US" w:eastAsia="zh-CN"/>
                    </w:rPr>
                    <w:t>扩建</w:t>
                  </w:r>
                  <w:r>
                    <w:rPr>
                      <w:rFonts w:hint="default" w:ascii="Times New Roman" w:hAnsi="Times New Roman" w:eastAsia="宋体" w:cs="Times New Roman"/>
                      <w:color w:val="auto"/>
                      <w:sz w:val="21"/>
                    </w:rPr>
                    <w:t>，</w:t>
                  </w:r>
                  <w:r>
                    <w:rPr>
                      <w:rFonts w:hint="default" w:ascii="Times New Roman" w:hAnsi="Times New Roman" w:eastAsia="宋体" w:cs="Times New Roman"/>
                      <w:color w:val="auto"/>
                      <w:sz w:val="21"/>
                      <w:lang w:val="en-US" w:eastAsia="zh-CN"/>
                    </w:rPr>
                    <w:t>增加1间</w:t>
                  </w:r>
                  <w:r>
                    <w:rPr>
                      <w:rFonts w:hint="eastAsia" w:cs="Times New Roman"/>
                      <w:color w:val="auto"/>
                      <w:sz w:val="21"/>
                      <w:lang w:val="en-US" w:eastAsia="zh-CN"/>
                    </w:rPr>
                    <w:t>配料间</w:t>
                  </w:r>
                  <w:r>
                    <w:rPr>
                      <w:rFonts w:hint="default" w:ascii="Times New Roman" w:hAnsi="Times New Roman" w:eastAsia="宋体" w:cs="Times New Roman"/>
                      <w:color w:val="auto"/>
                      <w:sz w:val="21"/>
                      <w:lang w:val="en-US" w:eastAsia="zh-CN"/>
                    </w:rPr>
                    <w:t>、1台自动机械手码垛机及轨道改造、增加电动葫芦、包装机改造、增加一套MES自动生产系统</w:t>
                  </w:r>
                  <w:r>
                    <w:rPr>
                      <w:rFonts w:hint="default" w:ascii="Times New Roman" w:hAnsi="Times New Roman" w:eastAsia="宋体" w:cs="Times New Roman"/>
                      <w:color w:val="auto"/>
                      <w:sz w:val="21"/>
                    </w:rPr>
                    <w:t>，使腻子粉生产线生产规模从目前的</w:t>
                  </w:r>
                  <w:r>
                    <w:rPr>
                      <w:rFonts w:hint="default" w:ascii="Times New Roman" w:hAnsi="Times New Roman" w:eastAsia="宋体" w:cs="Times New Roman"/>
                      <w:color w:val="auto"/>
                    </w:rPr>
                    <w:t>18500t/</w:t>
                  </w:r>
                  <w:r>
                    <w:rPr>
                      <w:rFonts w:hint="default" w:ascii="Times New Roman" w:hAnsi="Times New Roman" w:eastAsia="宋体" w:cs="Times New Roman"/>
                      <w:color w:val="auto"/>
                      <w:spacing w:val="-1"/>
                    </w:rPr>
                    <w:t>a</w:t>
                  </w:r>
                  <w:r>
                    <w:rPr>
                      <w:rFonts w:hint="default" w:ascii="Times New Roman" w:hAnsi="Times New Roman" w:eastAsia="宋体" w:cs="Times New Roman"/>
                      <w:color w:val="auto"/>
                      <w:spacing w:val="5"/>
                      <w:sz w:val="21"/>
                    </w:rPr>
                    <w:t xml:space="preserve"> </w:t>
                  </w:r>
                  <w:r>
                    <w:rPr>
                      <w:rFonts w:hint="default" w:ascii="Times New Roman" w:hAnsi="Times New Roman" w:eastAsia="宋体" w:cs="Times New Roman"/>
                      <w:color w:val="auto"/>
                      <w:spacing w:val="-11"/>
                      <w:sz w:val="21"/>
                    </w:rPr>
                    <w:t xml:space="preserve">提高到 </w:t>
                  </w:r>
                  <w:r>
                    <w:rPr>
                      <w:rFonts w:hint="default" w:ascii="Times New Roman" w:hAnsi="Times New Roman" w:eastAsia="宋体" w:cs="Times New Roman"/>
                      <w:color w:val="auto"/>
                      <w:spacing w:val="-11"/>
                      <w:sz w:val="21"/>
                      <w:lang w:val="en-US" w:eastAsia="zh-CN"/>
                    </w:rPr>
                    <w:t>120000吨/年</w:t>
                  </w:r>
                  <w:r>
                    <w:rPr>
                      <w:rFonts w:hint="eastAsia" w:ascii="Times New Roman" w:hAnsi="Times New Roman" w:eastAsia="宋体" w:cs="Times New Roman"/>
                      <w:color w:val="auto"/>
                      <w:spacing w:val="-5"/>
                      <w:sz w:val="21"/>
                      <w:lang w:eastAsia="zh-CN"/>
                    </w:rPr>
                    <w:t>。</w:t>
                  </w:r>
                </w:p>
              </w:tc>
              <w:tc>
                <w:tcPr>
                  <w:tcW w:w="777" w:type="pct"/>
                  <w:vAlign w:val="center"/>
                </w:tcPr>
                <w:p w14:paraId="2F74E1DC">
                  <w:pPr>
                    <w:pStyle w:val="41"/>
                    <w:keepNext w:val="0"/>
                    <w:keepLines w:val="0"/>
                    <w:suppressLineNumbers w:val="0"/>
                    <w:spacing w:before="23" w:beforeAutospacing="0" w:after="0" w:afterAutospacing="0" w:line="240" w:lineRule="auto"/>
                    <w:ind w:left="108" w:right="57"/>
                    <w:jc w:val="both"/>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主体建筑原项目已建成，</w:t>
                  </w:r>
                  <w:r>
                    <w:rPr>
                      <w:rFonts w:hint="default" w:ascii="Times New Roman" w:hAnsi="Times New Roman" w:eastAsia="宋体" w:cs="Times New Roman"/>
                      <w:color w:val="auto"/>
                      <w:sz w:val="21"/>
                      <w:lang w:val="en-US" w:eastAsia="zh-CN"/>
                    </w:rPr>
                    <w:t>在原有生产线上进行生产技术改进、设备更新、生产设备增加</w:t>
                  </w:r>
                  <w:r>
                    <w:rPr>
                      <w:rFonts w:hint="eastAsia" w:cs="Times New Roman"/>
                      <w:color w:val="auto"/>
                      <w:sz w:val="21"/>
                      <w:lang w:val="en-US" w:eastAsia="zh-CN"/>
                    </w:rPr>
                    <w:t>，生产时间增加。</w:t>
                  </w:r>
                </w:p>
              </w:tc>
            </w:tr>
            <w:tr w14:paraId="4373E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vAlign w:val="center"/>
                </w:tcPr>
                <w:p w14:paraId="5B288A6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312" w:type="pct"/>
                  <w:vAlign w:val="center"/>
                </w:tcPr>
                <w:p w14:paraId="5547E7D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853" w:type="pct"/>
                  <w:vAlign w:val="center"/>
                </w:tcPr>
                <w:p w14:paraId="794302F5">
                  <w:pPr>
                    <w:pStyle w:val="41"/>
                    <w:keepNext w:val="0"/>
                    <w:keepLines w:val="0"/>
                    <w:suppressLineNumbers w:val="0"/>
                    <w:spacing w:before="20" w:beforeAutospacing="0" w:after="0" w:afterAutospacing="0" w:line="240" w:lineRule="auto"/>
                    <w:ind w:left="109" w:right="93"/>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乳胶漆生产车间</w:t>
                  </w:r>
                </w:p>
              </w:tc>
              <w:tc>
                <w:tcPr>
                  <w:tcW w:w="2836" w:type="pct"/>
                  <w:vAlign w:val="center"/>
                </w:tcPr>
                <w:p w14:paraId="2E33C69F">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r>
                    <w:rPr>
                      <w:rFonts w:hint="eastAsia" w:cs="Times New Roman"/>
                      <w:color w:val="auto"/>
                      <w:spacing w:val="-8"/>
                      <w:sz w:val="21"/>
                      <w:lang w:val="en-US" w:eastAsia="zh-CN"/>
                    </w:rPr>
                    <w:t>位于厂区中间，</w:t>
                  </w:r>
                  <w:r>
                    <w:rPr>
                      <w:rFonts w:hint="default" w:ascii="Times New Roman" w:hAnsi="Times New Roman" w:eastAsia="宋体" w:cs="Times New Roman"/>
                      <w:color w:val="auto"/>
                      <w:spacing w:val="-8"/>
                      <w:sz w:val="21"/>
                    </w:rPr>
                    <w:t xml:space="preserve">为独立彩钢板厂房，占地面积约为 </w:t>
                  </w:r>
                  <w:r>
                    <w:rPr>
                      <w:rFonts w:hint="default" w:ascii="Times New Roman" w:hAnsi="Times New Roman" w:eastAsia="宋体" w:cs="Times New Roman"/>
                      <w:color w:val="auto"/>
                      <w:spacing w:val="-4"/>
                      <w:sz w:val="21"/>
                    </w:rPr>
                    <w:t>3564m</w:t>
                  </w:r>
                  <w:r>
                    <w:rPr>
                      <w:rFonts w:hint="default" w:ascii="Times New Roman" w:hAnsi="Times New Roman" w:eastAsia="宋体" w:cs="Times New Roman"/>
                      <w:color w:val="auto"/>
                      <w:spacing w:val="-4"/>
                      <w:position w:val="7"/>
                      <w:sz w:val="13"/>
                    </w:rPr>
                    <w:t>2</w:t>
                  </w:r>
                  <w:r>
                    <w:rPr>
                      <w:rFonts w:hint="default" w:ascii="Times New Roman" w:hAnsi="Times New Roman" w:eastAsia="宋体" w:cs="Times New Roman"/>
                      <w:color w:val="auto"/>
                      <w:spacing w:val="-5"/>
                      <w:sz w:val="21"/>
                    </w:rPr>
                    <w:t>，建筑面</w:t>
                  </w:r>
                  <w:r>
                    <w:rPr>
                      <w:rFonts w:hint="default" w:ascii="Times New Roman" w:hAnsi="Times New Roman" w:eastAsia="宋体" w:cs="Times New Roman"/>
                      <w:color w:val="auto"/>
                      <w:spacing w:val="-6"/>
                      <w:sz w:val="21"/>
                    </w:rPr>
                    <w:t xml:space="preserve">积约为 </w:t>
                  </w:r>
                  <w:r>
                    <w:rPr>
                      <w:rFonts w:hint="default" w:ascii="Times New Roman" w:hAnsi="Times New Roman" w:eastAsia="宋体" w:cs="Times New Roman"/>
                      <w:color w:val="auto"/>
                      <w:spacing w:val="2"/>
                      <w:sz w:val="21"/>
                    </w:rPr>
                    <w:t>5346m</w:t>
                  </w:r>
                  <w:r>
                    <w:rPr>
                      <w:rFonts w:hint="default" w:ascii="Times New Roman" w:hAnsi="Times New Roman" w:eastAsia="宋体" w:cs="Times New Roman"/>
                      <w:color w:val="auto"/>
                      <w:spacing w:val="2"/>
                      <w:position w:val="7"/>
                      <w:sz w:val="13"/>
                    </w:rPr>
                    <w:t>2</w:t>
                  </w:r>
                  <w:r>
                    <w:rPr>
                      <w:rFonts w:hint="default" w:ascii="Times New Roman" w:hAnsi="Times New Roman" w:eastAsia="宋体" w:cs="Times New Roman"/>
                      <w:color w:val="auto"/>
                      <w:sz w:val="21"/>
                    </w:rPr>
                    <w:t>，主体为一层，局部为3</w:t>
                  </w:r>
                  <w:r>
                    <w:rPr>
                      <w:rFonts w:hint="default" w:ascii="Times New Roman" w:hAnsi="Times New Roman" w:eastAsia="宋体" w:cs="Times New Roman"/>
                      <w:color w:val="auto"/>
                      <w:spacing w:val="13"/>
                      <w:sz w:val="21"/>
                    </w:rPr>
                    <w:t xml:space="preserve"> </w:t>
                  </w:r>
                  <w:r>
                    <w:rPr>
                      <w:rFonts w:hint="default" w:ascii="Times New Roman" w:hAnsi="Times New Roman" w:eastAsia="宋体" w:cs="Times New Roman"/>
                      <w:color w:val="auto"/>
                      <w:spacing w:val="5"/>
                      <w:sz w:val="21"/>
                    </w:rPr>
                    <w:t>层，高约</w:t>
                  </w:r>
                  <w:r>
                    <w:rPr>
                      <w:rFonts w:hint="default" w:ascii="Times New Roman" w:hAnsi="Times New Roman" w:eastAsia="宋体" w:cs="Times New Roman"/>
                      <w:color w:val="auto"/>
                      <w:sz w:val="21"/>
                    </w:rPr>
                    <w:t>15.2m</w:t>
                  </w:r>
                  <w:r>
                    <w:rPr>
                      <w:rFonts w:hint="default" w:ascii="Times New Roman" w:hAnsi="Times New Roman" w:eastAsia="宋体" w:cs="Times New Roman"/>
                      <w:color w:val="auto"/>
                      <w:spacing w:val="-13"/>
                      <w:sz w:val="21"/>
                    </w:rPr>
                    <w:t xml:space="preserve">，局部 </w:t>
                  </w:r>
                  <w:r>
                    <w:rPr>
                      <w:rFonts w:hint="default" w:ascii="Times New Roman" w:hAnsi="Times New Roman" w:eastAsia="宋体" w:cs="Times New Roman"/>
                      <w:color w:val="auto"/>
                      <w:sz w:val="21"/>
                    </w:rPr>
                    <w:t>3</w:t>
                  </w:r>
                  <w:r>
                    <w:rPr>
                      <w:rFonts w:hint="default" w:ascii="Times New Roman" w:hAnsi="Times New Roman" w:eastAsia="宋体" w:cs="Times New Roman"/>
                      <w:color w:val="auto"/>
                      <w:spacing w:val="-6"/>
                      <w:sz w:val="21"/>
                    </w:rPr>
                    <w:t>层建筑为车间内根据需要依墙建设，</w:t>
                  </w:r>
                  <w:r>
                    <w:rPr>
                      <w:rFonts w:hint="default" w:ascii="Times New Roman" w:hAnsi="Times New Roman" w:eastAsia="宋体" w:cs="Times New Roman"/>
                      <w:color w:val="auto"/>
                      <w:sz w:val="21"/>
                    </w:rPr>
                    <w:t>为满足不同设备的操作平台；该车间</w:t>
                  </w:r>
                  <w:r>
                    <w:rPr>
                      <w:rFonts w:hint="eastAsia" w:cs="Times New Roman"/>
                      <w:color w:val="auto"/>
                      <w:sz w:val="21"/>
                      <w:lang w:eastAsia="zh-CN"/>
                    </w:rPr>
                    <w:t>西南角</w:t>
                  </w:r>
                  <w:r>
                    <w:rPr>
                      <w:rFonts w:hint="default" w:ascii="Times New Roman" w:hAnsi="Times New Roman" w:eastAsia="宋体" w:cs="Times New Roman"/>
                      <w:color w:val="auto"/>
                      <w:sz w:val="21"/>
                    </w:rPr>
                    <w:t>进行</w:t>
                  </w:r>
                  <w:r>
                    <w:rPr>
                      <w:rFonts w:hint="eastAsia" w:cs="Times New Roman"/>
                      <w:color w:val="auto"/>
                      <w:sz w:val="21"/>
                      <w:lang w:val="en-US" w:eastAsia="zh-CN"/>
                    </w:rPr>
                    <w:t>水性涂料</w:t>
                  </w:r>
                  <w:r>
                    <w:rPr>
                      <w:rFonts w:hint="default" w:ascii="Times New Roman" w:hAnsi="Times New Roman" w:eastAsia="宋体" w:cs="Times New Roman"/>
                      <w:color w:val="auto"/>
                      <w:sz w:val="21"/>
                    </w:rPr>
                    <w:t>的</w:t>
                  </w:r>
                  <w:r>
                    <w:rPr>
                      <w:rFonts w:hint="default" w:ascii="Times New Roman" w:hAnsi="Times New Roman" w:eastAsia="宋体" w:cs="Times New Roman"/>
                      <w:color w:val="auto"/>
                      <w:spacing w:val="-4"/>
                      <w:sz w:val="21"/>
                    </w:rPr>
                    <w:t>生产，设置有乳胶漆生产线</w:t>
                  </w:r>
                  <w:r>
                    <w:rPr>
                      <w:rFonts w:hint="default" w:ascii="Times New Roman" w:hAnsi="Times New Roman" w:eastAsia="宋体" w:cs="Times New Roman"/>
                      <w:color w:val="auto"/>
                      <w:sz w:val="21"/>
                    </w:rPr>
                    <w:t>2条，</w:t>
                  </w:r>
                  <w:r>
                    <w:rPr>
                      <w:rFonts w:hint="eastAsia" w:cs="Times New Roman"/>
                      <w:color w:val="auto"/>
                      <w:sz w:val="21"/>
                      <w:lang w:eastAsia="zh-CN"/>
                    </w:rPr>
                    <w:t>车间北侧为</w:t>
                  </w:r>
                  <w:r>
                    <w:rPr>
                      <w:rFonts w:hint="eastAsia" w:ascii="Times New Roman" w:hAnsi="Times New Roman" w:eastAsia="宋体" w:cs="Times New Roman"/>
                      <w:color w:val="auto"/>
                      <w:sz w:val="21"/>
                      <w:lang w:val="en-US" w:eastAsia="zh-CN"/>
                    </w:rPr>
                    <w:t>1条砂壁产品生产线。</w:t>
                  </w:r>
                  <w:r>
                    <w:rPr>
                      <w:rFonts w:hint="default" w:ascii="Times New Roman" w:hAnsi="Times New Roman" w:eastAsia="宋体" w:cs="Times New Roman"/>
                      <w:color w:val="auto"/>
                      <w:sz w:val="21"/>
                      <w:lang w:val="en-US" w:eastAsia="zh-CN"/>
                    </w:rPr>
                    <w:t>本次扩建增加2个30m³乳液槽罐、1个30m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lang w:val="en-US" w:eastAsia="zh-CN"/>
                    </w:rPr>
                    <w:t>助剂槽罐、</w:t>
                  </w:r>
                  <w:r>
                    <w:rPr>
                      <w:rFonts w:hint="eastAsia" w:ascii="Times New Roman" w:hAnsi="Times New Roman" w:eastAsia="宋体" w:cs="Times New Roman"/>
                      <w:color w:val="auto"/>
                      <w:sz w:val="21"/>
                      <w:lang w:val="en-US" w:eastAsia="zh-CN"/>
                    </w:rPr>
                    <w:t>改善</w:t>
                  </w:r>
                  <w:r>
                    <w:rPr>
                      <w:rFonts w:hint="default" w:ascii="Times New Roman" w:hAnsi="Times New Roman" w:eastAsia="宋体" w:cs="Times New Roman"/>
                      <w:color w:val="auto"/>
                      <w:sz w:val="21"/>
                      <w:lang w:val="en-US" w:eastAsia="zh-CN"/>
                    </w:rPr>
                    <w:t>乳胶漆包装扫码方式等</w:t>
                  </w:r>
                  <w:r>
                    <w:rPr>
                      <w:rFonts w:hint="default" w:ascii="Times New Roman" w:hAnsi="Times New Roman" w:eastAsia="宋体" w:cs="Times New Roman"/>
                      <w:color w:val="auto"/>
                      <w:sz w:val="21"/>
                    </w:rPr>
                    <w:t>。使乳胶漆生产线生产规模从目前的</w:t>
                  </w:r>
                  <w:r>
                    <w:rPr>
                      <w:rFonts w:hint="default" w:ascii="Times New Roman" w:hAnsi="Times New Roman" w:eastAsia="宋体" w:cs="Times New Roman"/>
                      <w:color w:val="auto"/>
                      <w:lang w:val="en-US" w:eastAsia="zh-CN"/>
                    </w:rPr>
                    <w:t>600</w:t>
                  </w:r>
                  <w:r>
                    <w:rPr>
                      <w:rFonts w:hint="default" w:ascii="Times New Roman" w:hAnsi="Times New Roman" w:eastAsia="宋体" w:cs="Times New Roman"/>
                      <w:color w:val="auto"/>
                    </w:rPr>
                    <w:t>00t/</w:t>
                  </w:r>
                  <w:r>
                    <w:rPr>
                      <w:rFonts w:hint="default" w:ascii="Times New Roman" w:hAnsi="Times New Roman" w:eastAsia="宋体" w:cs="Times New Roman"/>
                      <w:color w:val="auto"/>
                      <w:spacing w:val="-1"/>
                    </w:rPr>
                    <w:t>a</w:t>
                  </w:r>
                  <w:r>
                    <w:rPr>
                      <w:rFonts w:hint="default" w:ascii="Times New Roman" w:hAnsi="Times New Roman" w:eastAsia="宋体" w:cs="Times New Roman"/>
                      <w:color w:val="auto"/>
                      <w:spacing w:val="5"/>
                      <w:sz w:val="21"/>
                    </w:rPr>
                    <w:t xml:space="preserve"> </w:t>
                  </w:r>
                  <w:r>
                    <w:rPr>
                      <w:rFonts w:hint="default" w:ascii="Times New Roman" w:hAnsi="Times New Roman" w:eastAsia="宋体" w:cs="Times New Roman"/>
                      <w:color w:val="auto"/>
                      <w:spacing w:val="-11"/>
                      <w:sz w:val="21"/>
                    </w:rPr>
                    <w:t>提高到</w:t>
                  </w:r>
                  <w:r>
                    <w:rPr>
                      <w:rFonts w:hint="default" w:ascii="Times New Roman" w:hAnsi="Times New Roman" w:eastAsia="宋体" w:cs="Times New Roman"/>
                      <w:color w:val="auto"/>
                      <w:spacing w:val="-11"/>
                      <w:sz w:val="21"/>
                      <w:lang w:val="en-US" w:eastAsia="zh-CN"/>
                    </w:rPr>
                    <w:t>75000吨/年。</w:t>
                  </w:r>
                  <w:r>
                    <w:rPr>
                      <w:rFonts w:hint="default" w:ascii="Times New Roman" w:hAnsi="Times New Roman" w:eastAsia="宋体" w:cs="Times New Roman"/>
                      <w:color w:val="auto"/>
                      <w:spacing w:val="-5"/>
                      <w:sz w:val="21"/>
                      <w:lang w:eastAsia="zh-CN"/>
                    </w:rPr>
                    <w:t>在</w:t>
                  </w:r>
                  <w:r>
                    <w:rPr>
                      <w:rFonts w:hint="default" w:ascii="Times New Roman" w:hAnsi="Times New Roman" w:eastAsia="宋体" w:cs="Times New Roman"/>
                      <w:color w:val="auto"/>
                    </w:rPr>
                    <w:t>砂壁生产线</w:t>
                  </w:r>
                  <w:r>
                    <w:rPr>
                      <w:rFonts w:hint="default" w:ascii="Times New Roman" w:hAnsi="Times New Roman" w:eastAsia="宋体" w:cs="Times New Roman"/>
                      <w:color w:val="auto"/>
                      <w:lang w:eastAsia="zh-CN"/>
                    </w:rPr>
                    <w:t>增加</w:t>
                  </w:r>
                  <w:r>
                    <w:rPr>
                      <w:rFonts w:hint="default" w:ascii="Times New Roman" w:hAnsi="Times New Roman" w:eastAsia="宋体" w:cs="Times New Roman"/>
                      <w:color w:val="auto"/>
                      <w:sz w:val="21"/>
                      <w:lang w:val="en-US" w:eastAsia="zh-CN"/>
                    </w:rPr>
                    <w:t>2台砂壁包装机、1台自动码垛机及配套传输轨道、砂壁生产缸电机改造（单电机改造为双电机）等，</w:t>
                  </w:r>
                  <w:r>
                    <w:rPr>
                      <w:rFonts w:hint="default" w:ascii="Times New Roman" w:hAnsi="Times New Roman" w:eastAsia="宋体" w:cs="Times New Roman"/>
                      <w:color w:val="auto"/>
                      <w:spacing w:val="-6"/>
                      <w:sz w:val="21"/>
                    </w:rPr>
                    <w:t>砂壁产品</w:t>
                  </w:r>
                  <w:r>
                    <w:rPr>
                      <w:rFonts w:hint="default" w:ascii="Times New Roman" w:hAnsi="Times New Roman" w:eastAsia="宋体" w:cs="Times New Roman"/>
                      <w:color w:val="auto"/>
                      <w:sz w:val="21"/>
                    </w:rPr>
                    <w:t>生产规模从目前的</w:t>
                  </w:r>
                  <w:r>
                    <w:rPr>
                      <w:rFonts w:hint="default" w:ascii="Times New Roman" w:hAnsi="Times New Roman" w:eastAsia="宋体" w:cs="Times New Roman"/>
                      <w:color w:val="auto"/>
                      <w:lang w:val="en-US" w:eastAsia="zh-CN"/>
                    </w:rPr>
                    <w:t>200</w:t>
                  </w:r>
                  <w:r>
                    <w:rPr>
                      <w:rFonts w:hint="default" w:ascii="Times New Roman" w:hAnsi="Times New Roman" w:eastAsia="宋体" w:cs="Times New Roman"/>
                      <w:color w:val="auto"/>
                    </w:rPr>
                    <w:t>00t/</w:t>
                  </w:r>
                  <w:r>
                    <w:rPr>
                      <w:rFonts w:hint="default" w:ascii="Times New Roman" w:hAnsi="Times New Roman" w:eastAsia="宋体" w:cs="Times New Roman"/>
                      <w:color w:val="auto"/>
                      <w:spacing w:val="-1"/>
                    </w:rPr>
                    <w:t>a</w:t>
                  </w:r>
                  <w:r>
                    <w:rPr>
                      <w:rFonts w:hint="default" w:ascii="Times New Roman" w:hAnsi="Times New Roman" w:eastAsia="宋体" w:cs="Times New Roman"/>
                      <w:color w:val="auto"/>
                      <w:spacing w:val="-11"/>
                      <w:sz w:val="21"/>
                    </w:rPr>
                    <w:t xml:space="preserve">提高到 </w:t>
                  </w:r>
                  <w:r>
                    <w:rPr>
                      <w:rFonts w:hint="default" w:ascii="Times New Roman" w:hAnsi="Times New Roman" w:eastAsia="宋体" w:cs="Times New Roman"/>
                      <w:color w:val="auto"/>
                      <w:spacing w:val="-11"/>
                      <w:sz w:val="21"/>
                      <w:lang w:val="en-US" w:eastAsia="zh-CN"/>
                    </w:rPr>
                    <w:t>25000</w:t>
                  </w:r>
                  <w:r>
                    <w:rPr>
                      <w:rFonts w:hint="default" w:ascii="Times New Roman" w:hAnsi="Times New Roman" w:eastAsia="宋体" w:cs="Times New Roman"/>
                      <w:color w:val="auto"/>
                    </w:rPr>
                    <w:t>t/</w:t>
                  </w:r>
                  <w:r>
                    <w:rPr>
                      <w:rFonts w:hint="default" w:ascii="Times New Roman" w:hAnsi="Times New Roman" w:eastAsia="宋体" w:cs="Times New Roman"/>
                      <w:color w:val="auto"/>
                      <w:spacing w:val="-1"/>
                    </w:rPr>
                    <w:t>a</w:t>
                  </w:r>
                  <w:r>
                    <w:rPr>
                      <w:rFonts w:hint="default" w:ascii="Times New Roman" w:hAnsi="Times New Roman" w:eastAsia="宋体" w:cs="Times New Roman"/>
                      <w:color w:val="auto"/>
                      <w:spacing w:val="-11"/>
                      <w:sz w:val="21"/>
                      <w:lang w:val="en-US" w:eastAsia="zh-CN"/>
                    </w:rPr>
                    <w:t>。</w:t>
                  </w:r>
                </w:p>
              </w:tc>
              <w:tc>
                <w:tcPr>
                  <w:tcW w:w="777" w:type="pct"/>
                  <w:vAlign w:val="center"/>
                </w:tcPr>
                <w:p w14:paraId="26204020">
                  <w:pPr>
                    <w:pStyle w:val="41"/>
                    <w:keepNext w:val="0"/>
                    <w:keepLines w:val="0"/>
                    <w:suppressLineNumbers w:val="0"/>
                    <w:spacing w:before="20" w:beforeAutospacing="0" w:after="0" w:afterAutospacing="0" w:line="240" w:lineRule="auto"/>
                    <w:ind w:left="108" w:right="95"/>
                    <w:jc w:val="center"/>
                    <w:rPr>
                      <w:rFonts w:hint="default" w:ascii="Times New Roman" w:hAnsi="Times New Roman" w:eastAsia="宋体" w:cs="Times New Roman"/>
                      <w:color w:val="auto"/>
                      <w:sz w:val="21"/>
                    </w:rPr>
                  </w:pPr>
                  <w:r>
                    <w:rPr>
                      <w:rFonts w:hint="eastAsia" w:cs="Times New Roman"/>
                      <w:color w:val="auto"/>
                      <w:sz w:val="21"/>
                      <w:lang w:val="en-US" w:eastAsia="zh-CN"/>
                    </w:rPr>
                    <w:t>主体建设原项目已建成。</w:t>
                  </w:r>
                  <w:r>
                    <w:rPr>
                      <w:rFonts w:hint="default" w:ascii="Times New Roman" w:hAnsi="Times New Roman" w:eastAsia="宋体" w:cs="Times New Roman"/>
                      <w:color w:val="auto"/>
                      <w:sz w:val="21"/>
                      <w:lang w:val="en-US" w:eastAsia="zh-CN"/>
                    </w:rPr>
                    <w:t>在原有生产线上生产技术改进、设备更新、生产设备增加</w:t>
                  </w:r>
                  <w:r>
                    <w:rPr>
                      <w:rFonts w:hint="eastAsia" w:cs="Times New Roman"/>
                      <w:color w:val="auto"/>
                      <w:sz w:val="21"/>
                      <w:lang w:val="en-US" w:eastAsia="zh-CN"/>
                    </w:rPr>
                    <w:t>、生产时间增加</w:t>
                  </w:r>
                  <w:r>
                    <w:rPr>
                      <w:rFonts w:hint="default" w:ascii="Times New Roman" w:hAnsi="Times New Roman" w:eastAsia="宋体" w:cs="Times New Roman"/>
                      <w:color w:val="auto"/>
                      <w:sz w:val="21"/>
                      <w:lang w:val="en-US" w:eastAsia="zh-CN"/>
                    </w:rPr>
                    <w:t>。</w:t>
                  </w:r>
                </w:p>
              </w:tc>
            </w:tr>
            <w:tr w14:paraId="29F3A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vAlign w:val="center"/>
                </w:tcPr>
                <w:p w14:paraId="28DCB1B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1165" w:type="pct"/>
                  <w:gridSpan w:val="2"/>
                  <w:vAlign w:val="center"/>
                </w:tcPr>
                <w:p w14:paraId="20402AF5">
                  <w:pPr>
                    <w:pStyle w:val="41"/>
                    <w:keepNext w:val="0"/>
                    <w:keepLines w:val="0"/>
                    <w:suppressLineNumbers w:val="0"/>
                    <w:spacing w:before="20" w:beforeAutospacing="0" w:after="0" w:afterAutospacing="0" w:line="240" w:lineRule="auto"/>
                    <w:ind w:left="109" w:right="93"/>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水性漆</w:t>
                  </w:r>
                  <w:r>
                    <w:rPr>
                      <w:rFonts w:hint="default" w:ascii="Times New Roman" w:hAnsi="Times New Roman" w:eastAsia="宋体" w:cs="Times New Roman"/>
                      <w:color w:val="auto"/>
                      <w:sz w:val="21"/>
                    </w:rPr>
                    <w:t>成品库</w:t>
                  </w:r>
                </w:p>
              </w:tc>
              <w:tc>
                <w:tcPr>
                  <w:tcW w:w="2836" w:type="pct"/>
                  <w:vAlign w:val="center"/>
                </w:tcPr>
                <w:p w14:paraId="7139B0CE">
                  <w:pPr>
                    <w:pStyle w:val="41"/>
                    <w:keepNext w:val="0"/>
                    <w:keepLines w:val="0"/>
                    <w:suppressLineNumbers w:val="0"/>
                    <w:spacing w:before="20"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为独立彩钢板厂房，建筑面积约为1980m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，一层，高约8.3m；专门堆存自产的批发、零售的乳胶漆和砂壁产品。</w:t>
                  </w:r>
                </w:p>
              </w:tc>
              <w:tc>
                <w:tcPr>
                  <w:tcW w:w="777" w:type="pct"/>
                  <w:vAlign w:val="center"/>
                </w:tcPr>
                <w:p w14:paraId="1BA6E398">
                  <w:pPr>
                    <w:pStyle w:val="41"/>
                    <w:keepNext w:val="0"/>
                    <w:keepLines w:val="0"/>
                    <w:suppressLineNumbers w:val="0"/>
                    <w:spacing w:before="20" w:beforeAutospacing="0" w:after="0" w:afterAutospacing="0" w:line="240" w:lineRule="auto"/>
                    <w:ind w:left="108" w:right="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现有</w:t>
                  </w:r>
                </w:p>
              </w:tc>
            </w:tr>
            <w:tr w14:paraId="4C532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vAlign w:val="center"/>
                </w:tcPr>
                <w:p w14:paraId="5D605A0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1165" w:type="pct"/>
                  <w:gridSpan w:val="2"/>
                  <w:vAlign w:val="center"/>
                </w:tcPr>
                <w:p w14:paraId="5D5417FF">
                  <w:pPr>
                    <w:pStyle w:val="41"/>
                    <w:keepNext w:val="0"/>
                    <w:keepLines w:val="0"/>
                    <w:suppressLineNumbers w:val="0"/>
                    <w:spacing w:before="20" w:beforeAutospacing="0" w:after="0" w:afterAutospacing="0" w:line="240" w:lineRule="auto"/>
                    <w:ind w:left="109" w:right="93"/>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丙类原料库</w:t>
                  </w:r>
                </w:p>
              </w:tc>
              <w:tc>
                <w:tcPr>
                  <w:tcW w:w="2836" w:type="pct"/>
                  <w:vAlign w:val="center"/>
                </w:tcPr>
                <w:p w14:paraId="6BE81F9C">
                  <w:pPr>
                    <w:pStyle w:val="41"/>
                    <w:keepNext w:val="0"/>
                    <w:keepLines w:val="0"/>
                    <w:suppressLineNumbers w:val="0"/>
                    <w:spacing w:before="20" w:beforeAutospacing="0" w:after="0" w:afterAutospacing="0" w:line="240" w:lineRule="auto"/>
                    <w:ind w:left="105" w:right="0"/>
                    <w:jc w:val="center"/>
                    <w:rPr>
                      <w:rFonts w:hint="default" w:ascii="Times New Roman" w:hAnsi="Times New Roman" w:eastAsia="宋体" w:cs="Times New Roman"/>
                      <w:color w:val="auto"/>
                      <w:sz w:val="21"/>
                    </w:rPr>
                  </w:pPr>
                  <w:r>
                    <w:rPr>
                      <w:rFonts w:hint="eastAsia" w:cs="Times New Roman"/>
                      <w:color w:val="auto"/>
                      <w:sz w:val="21"/>
                      <w:lang w:val="en-US" w:eastAsia="zh-CN"/>
                    </w:rPr>
                    <w:t>位于腻子粉车间北侧，</w:t>
                  </w:r>
                  <w:r>
                    <w:rPr>
                      <w:rFonts w:hint="default" w:ascii="Times New Roman" w:hAnsi="Times New Roman" w:eastAsia="宋体" w:cs="Times New Roman"/>
                      <w:color w:val="auto"/>
                      <w:sz w:val="21"/>
                    </w:rPr>
                    <w:t>为独立彩钢板厂房，建筑面积约为1980m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，一层，高约8.2m；做为乳胶漆、砂壁和腻子粉生产所需原料堆存仓库。</w:t>
                  </w:r>
                </w:p>
              </w:tc>
              <w:tc>
                <w:tcPr>
                  <w:tcW w:w="777" w:type="pct"/>
                  <w:vAlign w:val="center"/>
                </w:tcPr>
                <w:p w14:paraId="109E785C">
                  <w:pPr>
                    <w:keepNext w:val="0"/>
                    <w:keepLines w:val="0"/>
                    <w:suppressLineNumbers w:val="0"/>
                    <w:spacing w:before="20" w:beforeAutospacing="0" w:after="0" w:afterAutospacing="0" w:line="240" w:lineRule="auto"/>
                    <w:ind w:left="108" w:right="0"/>
                    <w:jc w:val="center"/>
                    <w:rPr>
                      <w:rFonts w:hint="default" w:ascii="Times New Roman" w:hAnsi="Times New Roman" w:eastAsia="宋体" w:cs="Times New Roman"/>
                      <w:color w:val="auto"/>
                      <w:sz w:val="21"/>
                    </w:rPr>
                  </w:pPr>
                  <w:r>
                    <w:rPr>
                      <w:rFonts w:hint="eastAsia" w:cs="Times New Roman"/>
                      <w:color w:val="auto"/>
                      <w:sz w:val="21"/>
                      <w:lang w:val="en-US" w:eastAsia="zh-CN"/>
                    </w:rPr>
                    <w:t>现有</w:t>
                  </w:r>
                </w:p>
              </w:tc>
            </w:tr>
            <w:tr w14:paraId="133AE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20" w:type="pct"/>
                  <w:vMerge w:val="continue"/>
                  <w:vAlign w:val="center"/>
                </w:tcPr>
                <w:p w14:paraId="542F0B1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1165" w:type="pct"/>
                  <w:gridSpan w:val="2"/>
                  <w:vAlign w:val="center"/>
                </w:tcPr>
                <w:p w14:paraId="62B778C8">
                  <w:pPr>
                    <w:pStyle w:val="41"/>
                    <w:keepNext w:val="0"/>
                    <w:keepLines w:val="0"/>
                    <w:suppressLineNumbers w:val="0"/>
                    <w:spacing w:before="43" w:beforeAutospacing="0" w:after="0" w:afterAutospacing="0" w:line="240" w:lineRule="auto"/>
                    <w:ind w:left="10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甲类仓库</w:t>
                  </w:r>
                </w:p>
              </w:tc>
              <w:tc>
                <w:tcPr>
                  <w:tcW w:w="2836" w:type="pct"/>
                  <w:vAlign w:val="center"/>
                </w:tcPr>
                <w:p w14:paraId="322BD6FE">
                  <w:pPr>
                    <w:pStyle w:val="41"/>
                    <w:keepNext w:val="0"/>
                    <w:keepLines w:val="0"/>
                    <w:suppressLineNumbers w:val="0"/>
                    <w:spacing w:before="0" w:beforeAutospacing="0" w:after="0" w:afterAutospacing="0" w:line="240" w:lineRule="auto"/>
                    <w:ind w:left="105" w:right="0"/>
                    <w:jc w:val="center"/>
                    <w:rPr>
                      <w:rFonts w:hint="default" w:ascii="Times New Roman" w:hAnsi="Times New Roman" w:eastAsia="宋体" w:cs="Times New Roman"/>
                      <w:color w:val="auto"/>
                      <w:sz w:val="21"/>
                    </w:rPr>
                  </w:pPr>
                  <w:r>
                    <w:rPr>
                      <w:rFonts w:hint="eastAsia" w:cs="Times New Roman"/>
                      <w:color w:val="auto"/>
                      <w:sz w:val="21"/>
                      <w:lang w:val="en-US" w:eastAsia="zh-CN"/>
                    </w:rPr>
                    <w:t>位于厂区北侧，</w:t>
                  </w:r>
                  <w:r>
                    <w:rPr>
                      <w:rFonts w:hint="default" w:ascii="Times New Roman" w:hAnsi="Times New Roman" w:eastAsia="宋体" w:cs="Times New Roman"/>
                      <w:color w:val="auto"/>
                      <w:sz w:val="21"/>
                      <w:lang w:val="en-US" w:eastAsia="zh-CN"/>
                    </w:rPr>
                    <w:t>厂区内设置1栋</w:t>
                  </w:r>
                  <w:r>
                    <w:rPr>
                      <w:rFonts w:hint="default" w:ascii="Times New Roman" w:hAnsi="Times New Roman" w:eastAsia="宋体" w:cs="Times New Roman"/>
                      <w:color w:val="auto"/>
                      <w:sz w:val="21"/>
                    </w:rPr>
                    <w:t>甲类仓库，独立彩钢板厂房，建</w:t>
                  </w:r>
                  <w:r>
                    <w:rPr>
                      <w:rFonts w:hint="default" w:ascii="Times New Roman" w:hAnsi="Times New Roman" w:eastAsia="宋体" w:cs="Times New Roman"/>
                      <w:color w:val="auto"/>
                      <w:spacing w:val="-9"/>
                      <w:sz w:val="21"/>
                    </w:rPr>
                    <w:t>筑面积约为</w:t>
                  </w:r>
                  <w:r>
                    <w:rPr>
                      <w:rFonts w:hint="default" w:ascii="Times New Roman" w:hAnsi="Times New Roman" w:eastAsia="宋体" w:cs="Times New Roman"/>
                      <w:color w:val="auto"/>
                      <w:sz w:val="21"/>
                    </w:rPr>
                    <w:t>750m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pacing w:val="-9"/>
                      <w:sz w:val="21"/>
                    </w:rPr>
                    <w:t xml:space="preserve">，一层，高约 </w:t>
                  </w:r>
                  <w:r>
                    <w:rPr>
                      <w:rFonts w:hint="default" w:ascii="Times New Roman" w:hAnsi="Times New Roman" w:eastAsia="宋体" w:cs="Times New Roman"/>
                      <w:color w:val="auto"/>
                      <w:sz w:val="21"/>
                    </w:rPr>
                    <w:t>8.3m</w:t>
                  </w:r>
                  <w:r>
                    <w:rPr>
                      <w:rFonts w:hint="eastAsia" w:cs="Times New Roman"/>
                      <w:color w:val="auto"/>
                      <w:sz w:val="21"/>
                      <w:lang w:eastAsia="zh-CN"/>
                    </w:rPr>
                    <w:t>，</w:t>
                  </w:r>
                  <w:r>
                    <w:rPr>
                      <w:rFonts w:hint="default" w:ascii="Times New Roman" w:hAnsi="Times New Roman" w:eastAsia="宋体" w:cs="Times New Roman"/>
                      <w:color w:val="auto"/>
                      <w:spacing w:val="-4"/>
                      <w:sz w:val="21"/>
                    </w:rPr>
                    <w:t>作为成都</w:t>
                  </w:r>
                  <w:r>
                    <w:rPr>
                      <w:rFonts w:hint="default" w:ascii="Times New Roman" w:hAnsi="Times New Roman" w:eastAsia="宋体" w:cs="Times New Roman"/>
                      <w:color w:val="auto"/>
                      <w:spacing w:val="-10"/>
                      <w:sz w:val="21"/>
                    </w:rPr>
                    <w:t>公司生产的木器漆产品的贮存仓库</w:t>
                  </w:r>
                  <w:r>
                    <w:rPr>
                      <w:rFonts w:hint="eastAsia" w:cs="Times New Roman"/>
                      <w:color w:val="auto"/>
                      <w:sz w:val="21"/>
                      <w:lang w:eastAsia="zh-CN"/>
                    </w:rPr>
                    <w:t>。</w:t>
                  </w:r>
                  <w:r>
                    <w:rPr>
                      <w:rFonts w:hint="eastAsia" w:cs="Times New Roman"/>
                      <w:color w:val="auto"/>
                      <w:sz w:val="21"/>
                      <w:lang w:val="en-US" w:eastAsia="zh-CN"/>
                    </w:rPr>
                    <w:t>本次扩建将</w:t>
                  </w:r>
                  <w:r>
                    <w:rPr>
                      <w:rFonts w:hint="default" w:ascii="Times New Roman" w:hAnsi="Times New Roman" w:eastAsia="宋体" w:cs="Times New Roman"/>
                      <w:color w:val="auto"/>
                      <w:sz w:val="21"/>
                    </w:rPr>
                    <w:t>甲类仓库</w:t>
                  </w:r>
                  <w:r>
                    <w:rPr>
                      <w:rFonts w:hint="eastAsia" w:cs="Times New Roman"/>
                      <w:color w:val="auto"/>
                      <w:sz w:val="21"/>
                      <w:lang w:val="en-US" w:eastAsia="zh-CN"/>
                    </w:rPr>
                    <w:t>西侧隔出1间面积为15</w:t>
                  </w:r>
                  <w:r>
                    <w:rPr>
                      <w:rFonts w:hint="default" w:ascii="Times New Roman" w:hAnsi="Times New Roman" w:eastAsia="宋体" w:cs="Times New Roman"/>
                      <w:color w:val="auto"/>
                      <w:sz w:val="21"/>
                    </w:rPr>
                    <w:t>m</w:t>
                  </w:r>
                  <w:r>
                    <w:rPr>
                      <w:rFonts w:hint="default" w:ascii="Times New Roman" w:hAnsi="Times New Roman" w:eastAsia="宋体" w:cs="Times New Roman"/>
                      <w:color w:val="auto"/>
                      <w:position w:val="7"/>
                      <w:sz w:val="13"/>
                    </w:rPr>
                    <w:t>2</w:t>
                  </w:r>
                  <w:r>
                    <w:rPr>
                      <w:rFonts w:hint="eastAsia" w:ascii="Times New Roman" w:hAnsi="Times New Roman" w:eastAsia="宋体" w:cs="Times New Roman"/>
                      <w:color w:val="auto"/>
                      <w:sz w:val="21"/>
                      <w:lang w:val="en-US" w:eastAsia="zh-CN"/>
                    </w:rPr>
                    <w:t>的危废暂存间</w:t>
                  </w:r>
                  <w:r>
                    <w:rPr>
                      <w:rFonts w:hint="default" w:ascii="Times New Roman" w:hAnsi="Times New Roman" w:eastAsia="宋体" w:cs="Times New Roman"/>
                      <w:color w:val="auto"/>
                      <w:spacing w:val="-10"/>
                      <w:sz w:val="21"/>
                    </w:rPr>
                    <w:t>。</w:t>
                  </w:r>
                </w:p>
              </w:tc>
              <w:tc>
                <w:tcPr>
                  <w:tcW w:w="777" w:type="pct"/>
                  <w:vAlign w:val="center"/>
                </w:tcPr>
                <w:p w14:paraId="3F51B9B9">
                  <w:pPr>
                    <w:keepNext w:val="0"/>
                    <w:keepLines w:val="0"/>
                    <w:suppressLineNumbers w:val="0"/>
                    <w:spacing w:before="19" w:beforeAutospacing="0" w:after="0" w:afterAutospacing="0" w:line="240" w:lineRule="auto"/>
                    <w:ind w:left="108" w:right="0"/>
                    <w:jc w:val="center"/>
                    <w:rPr>
                      <w:rFonts w:hint="default" w:ascii="Times New Roman" w:hAnsi="Times New Roman" w:eastAsia="宋体" w:cs="Times New Roman"/>
                      <w:color w:val="auto"/>
                      <w:sz w:val="21"/>
                    </w:rPr>
                  </w:pPr>
                  <w:r>
                    <w:rPr>
                      <w:rFonts w:hint="eastAsia" w:cs="Times New Roman"/>
                      <w:color w:val="auto"/>
                      <w:sz w:val="21"/>
                      <w:lang w:val="en-US" w:eastAsia="zh-CN"/>
                    </w:rPr>
                    <w:t>现有</w:t>
                  </w:r>
                </w:p>
              </w:tc>
            </w:tr>
            <w:tr w14:paraId="2C557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vAlign w:val="center"/>
                </w:tcPr>
                <w:p w14:paraId="33A0D67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1165" w:type="pct"/>
                  <w:gridSpan w:val="2"/>
                  <w:vAlign w:val="center"/>
                </w:tcPr>
                <w:p w14:paraId="07A53731">
                  <w:pPr>
                    <w:pStyle w:val="41"/>
                    <w:keepNext w:val="0"/>
                    <w:keepLines w:val="0"/>
                    <w:suppressLineNumbers w:val="0"/>
                    <w:spacing w:before="19" w:beforeAutospacing="0" w:after="0" w:afterAutospacing="0" w:line="240" w:lineRule="auto"/>
                    <w:ind w:left="10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雨棚</w:t>
                  </w:r>
                </w:p>
              </w:tc>
              <w:tc>
                <w:tcPr>
                  <w:tcW w:w="2836" w:type="pct"/>
                  <w:vAlign w:val="center"/>
                </w:tcPr>
                <w:p w14:paraId="023CC03A">
                  <w:pPr>
                    <w:pStyle w:val="41"/>
                    <w:keepNext w:val="0"/>
                    <w:keepLines w:val="0"/>
                    <w:suppressLineNumbers w:val="0"/>
                    <w:spacing w:before="19" w:beforeAutospacing="0" w:after="0" w:afterAutospacing="0" w:line="240" w:lineRule="auto"/>
                    <w:ind w:left="105" w:right="96"/>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在生产车间、乳胶漆成品库、丙类原料库、甲类库等建筑的进出口均设置了雨棚，便于物料的运输，总占地面积约为4750m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w:t>
                  </w:r>
                </w:p>
              </w:tc>
              <w:tc>
                <w:tcPr>
                  <w:tcW w:w="777" w:type="pct"/>
                  <w:vAlign w:val="center"/>
                </w:tcPr>
                <w:p w14:paraId="46D329D6">
                  <w:pPr>
                    <w:keepNext w:val="0"/>
                    <w:keepLines w:val="0"/>
                    <w:suppressLineNumbers w:val="0"/>
                    <w:spacing w:before="19" w:beforeAutospacing="0" w:after="0" w:afterAutospacing="0" w:line="240" w:lineRule="auto"/>
                    <w:ind w:left="108" w:right="0"/>
                    <w:jc w:val="center"/>
                    <w:rPr>
                      <w:rFonts w:hint="default" w:ascii="Times New Roman" w:hAnsi="Times New Roman" w:eastAsia="宋体" w:cs="Times New Roman"/>
                      <w:color w:val="auto"/>
                      <w:sz w:val="21"/>
                    </w:rPr>
                  </w:pPr>
                  <w:r>
                    <w:rPr>
                      <w:rFonts w:hint="eastAsia" w:cs="Times New Roman"/>
                      <w:color w:val="auto"/>
                      <w:sz w:val="21"/>
                      <w:lang w:val="en-US" w:eastAsia="zh-CN"/>
                    </w:rPr>
                    <w:t>现有</w:t>
                  </w:r>
                </w:p>
              </w:tc>
            </w:tr>
            <w:tr w14:paraId="764E4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vAlign w:val="center"/>
                </w:tcPr>
                <w:p w14:paraId="7381B31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1165" w:type="pct"/>
                  <w:gridSpan w:val="2"/>
                  <w:vAlign w:val="center"/>
                </w:tcPr>
                <w:p w14:paraId="21542220">
                  <w:pPr>
                    <w:pStyle w:val="41"/>
                    <w:keepNext w:val="0"/>
                    <w:keepLines w:val="0"/>
                    <w:suppressLineNumbers w:val="0"/>
                    <w:spacing w:before="19" w:beforeAutospacing="0" w:after="0" w:afterAutospacing="0" w:line="240" w:lineRule="auto"/>
                    <w:ind w:left="109" w:right="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二期预留厂房</w:t>
                  </w:r>
                </w:p>
              </w:tc>
              <w:tc>
                <w:tcPr>
                  <w:tcW w:w="2836" w:type="pct"/>
                  <w:vAlign w:val="center"/>
                </w:tcPr>
                <w:p w14:paraId="5305ED32">
                  <w:pPr>
                    <w:pStyle w:val="41"/>
                    <w:keepNext w:val="0"/>
                    <w:keepLines w:val="0"/>
                    <w:suppressLineNumbers w:val="0"/>
                    <w:spacing w:before="19" w:beforeAutospacing="0" w:after="0" w:afterAutospacing="0" w:line="240" w:lineRule="auto"/>
                    <w:ind w:left="105" w:right="96"/>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位于厂区最北侧，占地面积1500</w:t>
                  </w:r>
                  <w:r>
                    <w:rPr>
                      <w:rFonts w:hint="default" w:ascii="Times New Roman" w:hAnsi="Times New Roman" w:eastAsia="宋体" w:cs="Times New Roman"/>
                      <w:color w:val="auto"/>
                      <w:sz w:val="21"/>
                    </w:rPr>
                    <w:t>m</w:t>
                  </w:r>
                  <w:r>
                    <w:rPr>
                      <w:rFonts w:hint="default" w:ascii="Times New Roman" w:hAnsi="Times New Roman" w:eastAsia="宋体" w:cs="Times New Roman"/>
                      <w:color w:val="auto"/>
                      <w:position w:val="7"/>
                      <w:sz w:val="13"/>
                    </w:rPr>
                    <w:t>2</w:t>
                  </w:r>
                  <w:r>
                    <w:rPr>
                      <w:rFonts w:hint="eastAsia" w:ascii="Times New Roman" w:hAnsi="Times New Roman" w:eastAsia="宋体" w:cs="Times New Roman"/>
                      <w:color w:val="auto"/>
                      <w:sz w:val="21"/>
                      <w:lang w:val="en-US" w:eastAsia="zh-CN"/>
                    </w:rPr>
                    <w:t>，主要作为预留厂房，现为空置状态。</w:t>
                  </w:r>
                </w:p>
              </w:tc>
              <w:tc>
                <w:tcPr>
                  <w:tcW w:w="777" w:type="pct"/>
                  <w:vAlign w:val="center"/>
                </w:tcPr>
                <w:p w14:paraId="4E1BE64D">
                  <w:pPr>
                    <w:keepNext w:val="0"/>
                    <w:keepLines w:val="0"/>
                    <w:suppressLineNumbers w:val="0"/>
                    <w:spacing w:before="19" w:beforeAutospacing="0" w:after="0" w:afterAutospacing="0" w:line="240" w:lineRule="auto"/>
                    <w:ind w:left="108" w:right="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现有</w:t>
                  </w:r>
                </w:p>
              </w:tc>
            </w:tr>
            <w:tr w14:paraId="30E22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restart"/>
                  <w:vAlign w:val="center"/>
                </w:tcPr>
                <w:p w14:paraId="42DEB64A">
                  <w:pPr>
                    <w:pStyle w:val="41"/>
                    <w:keepNext w:val="0"/>
                    <w:keepLines w:val="0"/>
                    <w:suppressLineNumbers w:val="0"/>
                    <w:spacing w:before="18"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eastAsia="zh-CN"/>
                    </w:rPr>
                    <w:t>辅助</w:t>
                  </w:r>
                  <w:r>
                    <w:rPr>
                      <w:rFonts w:hint="default" w:ascii="Times New Roman" w:hAnsi="Times New Roman" w:eastAsia="宋体" w:cs="Times New Roman"/>
                      <w:color w:val="auto"/>
                      <w:sz w:val="21"/>
                    </w:rPr>
                    <w:t>工程</w:t>
                  </w:r>
                </w:p>
              </w:tc>
              <w:tc>
                <w:tcPr>
                  <w:tcW w:w="1165" w:type="pct"/>
                  <w:gridSpan w:val="2"/>
                  <w:vAlign w:val="center"/>
                </w:tcPr>
                <w:p w14:paraId="19547DEB">
                  <w:pPr>
                    <w:pStyle w:val="41"/>
                    <w:keepNext w:val="0"/>
                    <w:keepLines w:val="0"/>
                    <w:suppressLineNumbers w:val="0"/>
                    <w:spacing w:before="18" w:beforeAutospacing="0" w:after="0" w:afterAutospacing="0" w:line="240" w:lineRule="auto"/>
                    <w:ind w:left="10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工务楼</w:t>
                  </w:r>
                </w:p>
              </w:tc>
              <w:tc>
                <w:tcPr>
                  <w:tcW w:w="2836" w:type="pct"/>
                  <w:vAlign w:val="center"/>
                </w:tcPr>
                <w:p w14:paraId="4A2EABB0">
                  <w:pPr>
                    <w:pStyle w:val="41"/>
                    <w:keepNext w:val="0"/>
                    <w:keepLines w:val="0"/>
                    <w:suppressLineNumbers w:val="0"/>
                    <w:spacing w:before="18" w:beforeAutospacing="0" w:after="0" w:afterAutospacing="0" w:line="240" w:lineRule="auto"/>
                    <w:ind w:left="105" w:right="-15"/>
                    <w:jc w:val="center"/>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lang w:val="en-US" w:eastAsia="zh-CN"/>
                    </w:rPr>
                    <w:t>位于厂区南侧，</w:t>
                  </w:r>
                  <w:r>
                    <w:rPr>
                      <w:rFonts w:hint="default" w:ascii="Times New Roman" w:hAnsi="Times New Roman" w:eastAsia="宋体" w:cs="Times New Roman"/>
                      <w:color w:val="auto"/>
                      <w:sz w:val="21"/>
                    </w:rPr>
                    <w:t>为独立彩钢板厂房，建筑面积约为 630m2，一层，高约 6m；分为两个部分一部分做为职工的淋浴室和机修备品间、叉车充电间和泡沫发生装置，另一部分为动力中心，设置 4台空压机和1套变/配电装置，供生产所需空气动力和电力。</w:t>
                  </w:r>
                </w:p>
              </w:tc>
              <w:tc>
                <w:tcPr>
                  <w:tcW w:w="777" w:type="pct"/>
                  <w:vAlign w:val="center"/>
                </w:tcPr>
                <w:p w14:paraId="13F1965E">
                  <w:pPr>
                    <w:keepNext w:val="0"/>
                    <w:keepLines w:val="0"/>
                    <w:suppressLineNumbers w:val="0"/>
                    <w:spacing w:before="18" w:beforeAutospacing="0" w:after="0" w:afterAutospacing="0" w:line="240" w:lineRule="auto"/>
                    <w:ind w:left="108" w:right="0"/>
                    <w:jc w:val="center"/>
                    <w:rPr>
                      <w:rFonts w:hint="default" w:ascii="Times New Roman" w:hAnsi="Times New Roman" w:eastAsia="宋体" w:cs="Times New Roman"/>
                      <w:color w:val="auto"/>
                      <w:sz w:val="21"/>
                    </w:rPr>
                  </w:pPr>
                  <w:r>
                    <w:rPr>
                      <w:rFonts w:hint="eastAsia" w:cs="Times New Roman"/>
                      <w:color w:val="auto"/>
                      <w:sz w:val="21"/>
                      <w:lang w:val="en-US" w:eastAsia="zh-CN"/>
                    </w:rPr>
                    <w:t>现有</w:t>
                  </w:r>
                </w:p>
              </w:tc>
            </w:tr>
            <w:tr w14:paraId="16D46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tcBorders>
                    <w:top w:val="nil"/>
                  </w:tcBorders>
                  <w:vAlign w:val="center"/>
                </w:tcPr>
                <w:p w14:paraId="0A5F10A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1165" w:type="pct"/>
                  <w:gridSpan w:val="2"/>
                  <w:vAlign w:val="center"/>
                </w:tcPr>
                <w:p w14:paraId="6E255F1D">
                  <w:pPr>
                    <w:pStyle w:val="41"/>
                    <w:keepNext w:val="0"/>
                    <w:keepLines w:val="0"/>
                    <w:suppressLineNumbers w:val="0"/>
                    <w:spacing w:before="23" w:beforeAutospacing="0" w:after="0" w:afterAutospacing="0" w:line="240" w:lineRule="auto"/>
                    <w:ind w:left="109" w:right="19"/>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办公楼（含食堂）</w:t>
                  </w:r>
                </w:p>
              </w:tc>
              <w:tc>
                <w:tcPr>
                  <w:tcW w:w="2836" w:type="pct"/>
                  <w:vAlign w:val="center"/>
                </w:tcPr>
                <w:p w14:paraId="4554FD05">
                  <w:pPr>
                    <w:pStyle w:val="41"/>
                    <w:keepNext w:val="0"/>
                    <w:keepLines w:val="0"/>
                    <w:suppressLineNumbers w:val="0"/>
                    <w:spacing w:before="23" w:beforeAutospacing="0" w:after="0" w:afterAutospacing="0" w:line="240" w:lineRule="auto"/>
                    <w:ind w:left="105" w:right="34"/>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为框架结构建筑，占地面积为 819m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，建筑面积约为 2457m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，3层建筑，一层设置有食堂和接待室</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rPr>
                    <w:t>二、三楼为办公室。</w:t>
                  </w:r>
                </w:p>
              </w:tc>
              <w:tc>
                <w:tcPr>
                  <w:tcW w:w="777" w:type="pct"/>
                  <w:vAlign w:val="center"/>
                </w:tcPr>
                <w:p w14:paraId="74BB7A41">
                  <w:pPr>
                    <w:keepNext w:val="0"/>
                    <w:keepLines w:val="0"/>
                    <w:suppressLineNumbers w:val="0"/>
                    <w:spacing w:before="23" w:beforeAutospacing="0" w:after="0" w:afterAutospacing="0" w:line="240" w:lineRule="auto"/>
                    <w:ind w:left="108" w:right="0"/>
                    <w:jc w:val="center"/>
                    <w:rPr>
                      <w:rFonts w:hint="default" w:ascii="Times New Roman" w:hAnsi="Times New Roman" w:eastAsia="宋体" w:cs="Times New Roman"/>
                      <w:color w:val="auto"/>
                      <w:sz w:val="21"/>
                    </w:rPr>
                  </w:pPr>
                  <w:r>
                    <w:rPr>
                      <w:rFonts w:hint="eastAsia" w:cs="Times New Roman"/>
                      <w:color w:val="auto"/>
                      <w:sz w:val="21"/>
                      <w:lang w:val="en-US" w:eastAsia="zh-CN"/>
                    </w:rPr>
                    <w:t>现有</w:t>
                  </w:r>
                </w:p>
              </w:tc>
            </w:tr>
            <w:tr w14:paraId="63D79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tcBorders>
                    <w:top w:val="nil"/>
                  </w:tcBorders>
                  <w:vAlign w:val="center"/>
                </w:tcPr>
                <w:p w14:paraId="03C3452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1165" w:type="pct"/>
                  <w:gridSpan w:val="2"/>
                  <w:vAlign w:val="center"/>
                </w:tcPr>
                <w:p w14:paraId="7354A65A">
                  <w:pPr>
                    <w:pStyle w:val="41"/>
                    <w:keepNext w:val="0"/>
                    <w:keepLines w:val="0"/>
                    <w:suppressLineNumbers w:val="0"/>
                    <w:spacing w:before="22" w:beforeAutospacing="0" w:after="0" w:afterAutospacing="0" w:line="240" w:lineRule="auto"/>
                    <w:ind w:left="10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参观连廊</w:t>
                  </w:r>
                </w:p>
              </w:tc>
              <w:tc>
                <w:tcPr>
                  <w:tcW w:w="2836" w:type="pct"/>
                  <w:vAlign w:val="center"/>
                </w:tcPr>
                <w:p w14:paraId="5C2B024D">
                  <w:pPr>
                    <w:pStyle w:val="41"/>
                    <w:keepNext w:val="0"/>
                    <w:keepLines w:val="0"/>
                    <w:suppressLineNumbers w:val="0"/>
                    <w:spacing w:before="22" w:beforeAutospacing="0" w:after="0" w:afterAutospacing="0" w:line="240" w:lineRule="auto"/>
                    <w:ind w:left="105" w:right="-15"/>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为单独架设在车间的一个参观走廊，采用钢架建设方式，高约3m，从乳胶车间连通至腻子粉生产车间，便于参观产品整个工艺流程。其占地面积</w:t>
                  </w:r>
                  <w:r>
                    <w:rPr>
                      <w:rFonts w:hint="default" w:ascii="Times New Roman" w:hAnsi="Times New Roman" w:eastAsia="宋体" w:cs="Times New Roman"/>
                      <w:color w:val="auto"/>
                      <w:spacing w:val="18"/>
                      <w:sz w:val="21"/>
                    </w:rPr>
                    <w:t>为</w:t>
                  </w:r>
                  <w:r>
                    <w:rPr>
                      <w:rFonts w:hint="default" w:ascii="Times New Roman" w:hAnsi="Times New Roman" w:eastAsia="宋体" w:cs="Times New Roman"/>
                      <w:color w:val="auto"/>
                      <w:sz w:val="21"/>
                    </w:rPr>
                    <w:t>269m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w:t>
                  </w:r>
                </w:p>
              </w:tc>
              <w:tc>
                <w:tcPr>
                  <w:tcW w:w="777" w:type="pct"/>
                  <w:vAlign w:val="center"/>
                </w:tcPr>
                <w:p w14:paraId="27503851">
                  <w:pPr>
                    <w:keepNext w:val="0"/>
                    <w:keepLines w:val="0"/>
                    <w:suppressLineNumbers w:val="0"/>
                    <w:spacing w:before="22" w:beforeAutospacing="0" w:after="0" w:afterAutospacing="0" w:line="240" w:lineRule="auto"/>
                    <w:ind w:left="108" w:right="0"/>
                    <w:jc w:val="center"/>
                    <w:rPr>
                      <w:rFonts w:hint="default" w:ascii="Times New Roman" w:hAnsi="Times New Roman" w:eastAsia="宋体" w:cs="Times New Roman"/>
                      <w:color w:val="auto"/>
                      <w:sz w:val="21"/>
                    </w:rPr>
                  </w:pPr>
                  <w:r>
                    <w:rPr>
                      <w:rFonts w:hint="eastAsia" w:cs="Times New Roman"/>
                      <w:color w:val="auto"/>
                      <w:sz w:val="21"/>
                      <w:lang w:val="en-US" w:eastAsia="zh-CN"/>
                    </w:rPr>
                    <w:t>现有</w:t>
                  </w:r>
                </w:p>
              </w:tc>
            </w:tr>
            <w:tr w14:paraId="463BB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tcBorders>
                    <w:top w:val="nil"/>
                  </w:tcBorders>
                  <w:vAlign w:val="center"/>
                </w:tcPr>
                <w:p w14:paraId="400F94E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1165" w:type="pct"/>
                  <w:gridSpan w:val="2"/>
                  <w:vAlign w:val="center"/>
                </w:tcPr>
                <w:p w14:paraId="0DCB9B5E">
                  <w:pPr>
                    <w:pStyle w:val="41"/>
                    <w:keepNext w:val="0"/>
                    <w:keepLines w:val="0"/>
                    <w:suppressLineNumbers w:val="0"/>
                    <w:spacing w:before="22" w:beforeAutospacing="0" w:after="0" w:afterAutospacing="0" w:line="240" w:lineRule="auto"/>
                    <w:ind w:left="10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地磅房</w:t>
                  </w:r>
                </w:p>
              </w:tc>
              <w:tc>
                <w:tcPr>
                  <w:tcW w:w="2836" w:type="pct"/>
                  <w:vAlign w:val="center"/>
                </w:tcPr>
                <w:p w14:paraId="6B62CAD3">
                  <w:pPr>
                    <w:pStyle w:val="41"/>
                    <w:keepNext w:val="0"/>
                    <w:keepLines w:val="0"/>
                    <w:suppressLineNumbers w:val="0"/>
                    <w:spacing w:before="22"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位于物流入口，占地面积约为20m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w:t>
                  </w:r>
                </w:p>
              </w:tc>
              <w:tc>
                <w:tcPr>
                  <w:tcW w:w="777" w:type="pct"/>
                  <w:vAlign w:val="center"/>
                </w:tcPr>
                <w:p w14:paraId="7873FBB6">
                  <w:pPr>
                    <w:keepNext w:val="0"/>
                    <w:keepLines w:val="0"/>
                    <w:suppressLineNumbers w:val="0"/>
                    <w:spacing w:before="22" w:beforeAutospacing="0" w:after="0" w:afterAutospacing="0" w:line="240" w:lineRule="auto"/>
                    <w:ind w:left="108" w:right="0"/>
                    <w:jc w:val="center"/>
                    <w:rPr>
                      <w:rFonts w:hint="default" w:ascii="Times New Roman" w:hAnsi="Times New Roman" w:eastAsia="宋体" w:cs="Times New Roman"/>
                      <w:color w:val="auto"/>
                      <w:sz w:val="21"/>
                    </w:rPr>
                  </w:pPr>
                  <w:r>
                    <w:rPr>
                      <w:rFonts w:hint="eastAsia" w:cs="Times New Roman"/>
                      <w:color w:val="auto"/>
                      <w:sz w:val="21"/>
                      <w:lang w:val="en-US" w:eastAsia="zh-CN"/>
                    </w:rPr>
                    <w:t>现有</w:t>
                  </w:r>
                </w:p>
              </w:tc>
            </w:tr>
            <w:tr w14:paraId="78F48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tcBorders>
                    <w:top w:val="nil"/>
                  </w:tcBorders>
                  <w:vAlign w:val="center"/>
                </w:tcPr>
                <w:p w14:paraId="069E720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1165" w:type="pct"/>
                  <w:gridSpan w:val="2"/>
                  <w:vAlign w:val="center"/>
                </w:tcPr>
                <w:p w14:paraId="3E1B7EF1">
                  <w:pPr>
                    <w:pStyle w:val="41"/>
                    <w:keepNext w:val="0"/>
                    <w:keepLines w:val="0"/>
                    <w:suppressLineNumbers w:val="0"/>
                    <w:spacing w:before="22" w:beforeAutospacing="0" w:after="0" w:afterAutospacing="0" w:line="240" w:lineRule="auto"/>
                    <w:ind w:left="10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警卫室</w:t>
                  </w:r>
                </w:p>
              </w:tc>
              <w:tc>
                <w:tcPr>
                  <w:tcW w:w="2836" w:type="pct"/>
                  <w:vAlign w:val="center"/>
                </w:tcPr>
                <w:p w14:paraId="0A2A33C4">
                  <w:pPr>
                    <w:pStyle w:val="41"/>
                    <w:keepNext w:val="0"/>
                    <w:keepLines w:val="0"/>
                    <w:suppressLineNumbers w:val="0"/>
                    <w:spacing w:before="22"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设置2个警卫室，分别位于物流和人流大门口，每个的建筑面积约为30.5m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w:t>
                  </w:r>
                </w:p>
              </w:tc>
              <w:tc>
                <w:tcPr>
                  <w:tcW w:w="777" w:type="pct"/>
                  <w:vAlign w:val="center"/>
                </w:tcPr>
                <w:p w14:paraId="686C2056">
                  <w:pPr>
                    <w:keepNext w:val="0"/>
                    <w:keepLines w:val="0"/>
                    <w:suppressLineNumbers w:val="0"/>
                    <w:spacing w:before="22" w:beforeAutospacing="0" w:after="0" w:afterAutospacing="0" w:line="240" w:lineRule="auto"/>
                    <w:ind w:left="108" w:right="0"/>
                    <w:jc w:val="center"/>
                    <w:rPr>
                      <w:rFonts w:hint="default" w:ascii="Times New Roman" w:hAnsi="Times New Roman" w:eastAsia="宋体" w:cs="Times New Roman"/>
                      <w:color w:val="auto"/>
                      <w:sz w:val="21"/>
                    </w:rPr>
                  </w:pPr>
                  <w:r>
                    <w:rPr>
                      <w:rFonts w:hint="eastAsia" w:cs="Times New Roman"/>
                      <w:color w:val="auto"/>
                      <w:sz w:val="21"/>
                      <w:lang w:val="en-US" w:eastAsia="zh-CN"/>
                    </w:rPr>
                    <w:t>现有</w:t>
                  </w:r>
                </w:p>
              </w:tc>
            </w:tr>
            <w:tr w14:paraId="3981AA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tcBorders>
                    <w:top w:val="nil"/>
                  </w:tcBorders>
                  <w:vAlign w:val="center"/>
                </w:tcPr>
                <w:p w14:paraId="37FD0E7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1165" w:type="pct"/>
                  <w:gridSpan w:val="2"/>
                  <w:vAlign w:val="center"/>
                </w:tcPr>
                <w:p w14:paraId="2E50ABDE">
                  <w:pPr>
                    <w:pStyle w:val="41"/>
                    <w:keepNext w:val="0"/>
                    <w:keepLines w:val="0"/>
                    <w:suppressLineNumbers w:val="0"/>
                    <w:spacing w:before="21" w:beforeAutospacing="0" w:after="0" w:afterAutospacing="0" w:line="240" w:lineRule="auto"/>
                    <w:ind w:left="10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消防水池</w:t>
                  </w:r>
                </w:p>
              </w:tc>
              <w:tc>
                <w:tcPr>
                  <w:tcW w:w="2836" w:type="pct"/>
                  <w:vAlign w:val="center"/>
                </w:tcPr>
                <w:p w14:paraId="11AD3312">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pacing w:val="-9"/>
                      <w:sz w:val="21"/>
                      <w:lang w:eastAsia="zh-CN"/>
                    </w:rPr>
                    <w:t>厂区设置</w:t>
                  </w:r>
                  <w:r>
                    <w:rPr>
                      <w:rFonts w:hint="default" w:ascii="Times New Roman" w:hAnsi="Times New Roman" w:eastAsia="宋体" w:cs="Times New Roman"/>
                      <w:color w:val="auto"/>
                      <w:spacing w:val="-9"/>
                      <w:sz w:val="21"/>
                      <w:lang w:val="en-US" w:eastAsia="zh-CN"/>
                    </w:rPr>
                    <w:t>2个容积为600</w:t>
                  </w:r>
                  <w:r>
                    <w:rPr>
                      <w:rFonts w:hint="default" w:ascii="Times New Roman" w:hAnsi="Times New Roman" w:eastAsia="宋体" w:cs="Times New Roman"/>
                      <w:color w:val="auto"/>
                      <w:sz w:val="21"/>
                    </w:rPr>
                    <w:t>m</w:t>
                  </w:r>
                  <w:r>
                    <w:rPr>
                      <w:rFonts w:hint="eastAsia" w:ascii="Times New Roman" w:hAnsi="Times New Roman" w:eastAsia="宋体" w:cs="Times New Roman"/>
                      <w:color w:val="auto"/>
                      <w:position w:val="7"/>
                      <w:sz w:val="13"/>
                      <w:lang w:val="en-US" w:eastAsia="zh-CN"/>
                    </w:rPr>
                    <w:t>3</w:t>
                  </w:r>
                  <w:r>
                    <w:rPr>
                      <w:rFonts w:hint="default" w:ascii="Times New Roman" w:hAnsi="Times New Roman" w:eastAsia="宋体" w:cs="Times New Roman"/>
                      <w:color w:val="auto"/>
                      <w:spacing w:val="-9"/>
                      <w:sz w:val="21"/>
                      <w:lang w:eastAsia="zh-CN"/>
                    </w:rPr>
                    <w:t>的消防水池</w:t>
                  </w:r>
                  <w:r>
                    <w:rPr>
                      <w:rFonts w:hint="default" w:ascii="Times New Roman" w:hAnsi="Times New Roman" w:eastAsia="宋体" w:cs="Times New Roman"/>
                      <w:color w:val="auto"/>
                      <w:sz w:val="21"/>
                    </w:rPr>
                    <w:t>，为地下式水池，上面进行绿化。</w:t>
                  </w:r>
                </w:p>
              </w:tc>
              <w:tc>
                <w:tcPr>
                  <w:tcW w:w="777" w:type="pct"/>
                  <w:vAlign w:val="center"/>
                </w:tcPr>
                <w:p w14:paraId="4F78A1C6">
                  <w:pPr>
                    <w:keepNext w:val="0"/>
                    <w:keepLines w:val="0"/>
                    <w:suppressLineNumbers w:val="0"/>
                    <w:spacing w:before="21" w:beforeAutospacing="0" w:after="0" w:afterAutospacing="0" w:line="240" w:lineRule="auto"/>
                    <w:ind w:left="108" w:right="0"/>
                    <w:jc w:val="center"/>
                    <w:rPr>
                      <w:rFonts w:hint="default" w:ascii="Times New Roman" w:hAnsi="Times New Roman" w:eastAsia="宋体" w:cs="Times New Roman"/>
                      <w:color w:val="auto"/>
                      <w:sz w:val="21"/>
                    </w:rPr>
                  </w:pPr>
                  <w:r>
                    <w:rPr>
                      <w:rFonts w:hint="eastAsia" w:cs="Times New Roman"/>
                      <w:color w:val="auto"/>
                      <w:sz w:val="21"/>
                      <w:lang w:val="en-US" w:eastAsia="zh-CN"/>
                    </w:rPr>
                    <w:t>现有</w:t>
                  </w:r>
                </w:p>
              </w:tc>
            </w:tr>
            <w:tr w14:paraId="491E2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restart"/>
                  <w:vAlign w:val="center"/>
                </w:tcPr>
                <w:p w14:paraId="2E7583F7">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highlight w:val="none"/>
                      <w:lang w:val="en-US" w:eastAsia="zh-CN"/>
                    </w:rPr>
                    <w:t>公用工程</w:t>
                  </w:r>
                </w:p>
              </w:tc>
              <w:tc>
                <w:tcPr>
                  <w:tcW w:w="1165" w:type="pct"/>
                  <w:gridSpan w:val="2"/>
                  <w:vAlign w:val="center"/>
                </w:tcPr>
                <w:p w14:paraId="2BA5389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highlight w:val="none"/>
                      <w:lang w:val="en-US" w:eastAsia="zh-CN"/>
                    </w:rPr>
                    <w:t>给水</w:t>
                  </w:r>
                </w:p>
              </w:tc>
              <w:tc>
                <w:tcPr>
                  <w:tcW w:w="2836" w:type="pct"/>
                  <w:vAlign w:val="center"/>
                </w:tcPr>
                <w:p w14:paraId="7558A38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szCs w:val="21"/>
                      <w:highlight w:val="none"/>
                      <w:lang w:val="en-US" w:eastAsia="zh-CN"/>
                    </w:rPr>
                    <w:t>由富民工业园区白石岩—大白坡片区</w:t>
                  </w:r>
                  <w:r>
                    <w:rPr>
                      <w:rFonts w:hint="eastAsia" w:cs="Times New Roman"/>
                      <w:color w:val="auto"/>
                      <w:sz w:val="21"/>
                      <w:szCs w:val="21"/>
                      <w:highlight w:val="none"/>
                      <w:lang w:val="en-US" w:eastAsia="zh-CN"/>
                    </w:rPr>
                    <w:t>哨箐</w:t>
                  </w:r>
                  <w:r>
                    <w:rPr>
                      <w:rFonts w:hint="default" w:ascii="Times New Roman" w:hAnsi="Times New Roman" w:eastAsia="宋体" w:cs="Times New Roman"/>
                      <w:color w:val="auto"/>
                      <w:sz w:val="21"/>
                      <w:szCs w:val="21"/>
                      <w:highlight w:val="none"/>
                      <w:lang w:val="en-US" w:eastAsia="zh-CN"/>
                    </w:rPr>
                    <w:t>组团市政供水管网供给。</w:t>
                  </w:r>
                </w:p>
              </w:tc>
              <w:tc>
                <w:tcPr>
                  <w:tcW w:w="777" w:type="pct"/>
                  <w:vAlign w:val="center"/>
                </w:tcPr>
                <w:p w14:paraId="0088270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现有</w:t>
                  </w:r>
                </w:p>
              </w:tc>
            </w:tr>
            <w:tr w14:paraId="3C1D4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vAlign w:val="center"/>
                </w:tcPr>
                <w:p w14:paraId="71169421">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p>
              </w:tc>
              <w:tc>
                <w:tcPr>
                  <w:tcW w:w="1165" w:type="pct"/>
                  <w:gridSpan w:val="2"/>
                  <w:vAlign w:val="center"/>
                </w:tcPr>
                <w:p w14:paraId="65E4565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highlight w:val="none"/>
                      <w:lang w:val="en-US" w:eastAsia="zh-CN"/>
                    </w:rPr>
                    <w:t>排水</w:t>
                  </w:r>
                </w:p>
              </w:tc>
              <w:tc>
                <w:tcPr>
                  <w:tcW w:w="2836" w:type="pct"/>
                  <w:vAlign w:val="center"/>
                </w:tcPr>
                <w:p w14:paraId="5968243E">
                  <w:pPr>
                    <w:pStyle w:val="105"/>
                    <w:keepNext w:val="0"/>
                    <w:keepLines w:val="0"/>
                    <w:pageBreakBefore w:val="0"/>
                    <w:suppressLineNumbers w:val="0"/>
                    <w:kinsoku/>
                    <w:wordWrap/>
                    <w:overflowPunct/>
                    <w:topLinePunct w:val="0"/>
                    <w:bidi w:val="0"/>
                    <w:snapToGrid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highlight w:val="none"/>
                      <w:lang w:val="en-US" w:eastAsia="zh-CN"/>
                    </w:rPr>
                    <w:t>项目严格实行雨污分流制，</w:t>
                  </w:r>
                  <w:r>
                    <w:rPr>
                      <w:rFonts w:hint="eastAsia" w:cs="Times New Roman"/>
                      <w:color w:val="auto"/>
                      <w:sz w:val="21"/>
                      <w:szCs w:val="21"/>
                      <w:highlight w:val="none"/>
                      <w:lang w:val="en-US" w:eastAsia="zh-CN"/>
                    </w:rPr>
                    <w:t>前</w:t>
                  </w:r>
                  <w:r>
                    <w:rPr>
                      <w:rFonts w:hint="eastAsia" w:cs="Times New Roman"/>
                      <w:color w:val="auto"/>
                      <w:lang w:val="en-US" w:eastAsia="zh-CN"/>
                    </w:rPr>
                    <w:t>15min</w:t>
                  </w:r>
                  <w:r>
                    <w:rPr>
                      <w:rFonts w:hint="default" w:ascii="Times New Roman" w:hAnsi="Times New Roman" w:eastAsia="宋体" w:cs="Times New Roman"/>
                      <w:color w:val="auto"/>
                      <w:sz w:val="21"/>
                      <w:szCs w:val="21"/>
                      <w:highlight w:val="none"/>
                      <w:lang w:val="en-US" w:eastAsia="zh-CN"/>
                    </w:rPr>
                    <w:t>初期雨水收集</w:t>
                  </w:r>
                  <w:r>
                    <w:rPr>
                      <w:rFonts w:hint="eastAsia" w:cs="Times New Roman"/>
                      <w:color w:val="auto"/>
                      <w:sz w:val="21"/>
                      <w:szCs w:val="21"/>
                      <w:highlight w:val="none"/>
                      <w:lang w:val="en-US" w:eastAsia="zh-CN"/>
                    </w:rPr>
                    <w:t>沉淀</w:t>
                  </w:r>
                  <w:r>
                    <w:rPr>
                      <w:rFonts w:hint="default" w:ascii="Times New Roman" w:hAnsi="Times New Roman" w:eastAsia="宋体" w:cs="Times New Roman"/>
                      <w:color w:val="auto"/>
                      <w:sz w:val="21"/>
                      <w:szCs w:val="21"/>
                      <w:highlight w:val="none"/>
                      <w:lang w:val="en-US" w:eastAsia="zh-CN"/>
                    </w:rPr>
                    <w:t>后</w:t>
                  </w:r>
                  <w:r>
                    <w:rPr>
                      <w:rFonts w:hint="eastAsia" w:cs="Times New Roman"/>
                      <w:color w:val="auto"/>
                      <w:sz w:val="21"/>
                      <w:szCs w:val="21"/>
                      <w:highlight w:val="none"/>
                      <w:lang w:val="en-US" w:eastAsia="zh-CN"/>
                    </w:rPr>
                    <w:t>排入园区污水管网，</w:t>
                  </w:r>
                  <w:r>
                    <w:rPr>
                      <w:rFonts w:hint="eastAsia" w:cs="Times New Roman"/>
                      <w:color w:val="auto"/>
                      <w:lang w:val="en-US" w:eastAsia="zh-CN"/>
                    </w:rPr>
                    <w:t>15min后的雨水通过阀门控制经雨水排口排入</w:t>
                  </w:r>
                  <w:r>
                    <w:rPr>
                      <w:rFonts w:hint="eastAsia" w:cs="Times New Roman"/>
                      <w:color w:val="auto"/>
                      <w:lang w:eastAsia="zh-CN"/>
                    </w:rPr>
                    <w:t>园区雨水管网</w:t>
                  </w:r>
                  <w:r>
                    <w:rPr>
                      <w:rFonts w:hint="default" w:ascii="Times New Roman" w:hAnsi="Times New Roman" w:eastAsia="宋体" w:cs="Times New Roman"/>
                      <w:color w:val="auto"/>
                      <w:lang w:val="en-US" w:eastAsia="zh-CN"/>
                    </w:rPr>
                    <w:t>。</w:t>
                  </w:r>
                </w:p>
                <w:p w14:paraId="204DEDF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eastAsia" w:cs="Times New Roman"/>
                      <w:color w:val="auto"/>
                      <w:sz w:val="21"/>
                      <w:szCs w:val="21"/>
                      <w:highlight w:val="none"/>
                      <w:lang w:val="en-US" w:eastAsia="zh-CN"/>
                    </w:rPr>
                    <w:t>生活污水经隔油池、化粪池预处理后同生产废水一并进入自建的污水处理系统处理，处理达《污水排入城镇下水道水质标准》（GB/T131962-2015）表1中A级标准后进入园区污水管网，最终进入富民工业园区哨箐机械加工园污水处理厂。</w:t>
                  </w:r>
                </w:p>
              </w:tc>
              <w:tc>
                <w:tcPr>
                  <w:tcW w:w="777" w:type="pct"/>
                  <w:vAlign w:val="center"/>
                </w:tcPr>
                <w:p w14:paraId="6187BBC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现有</w:t>
                  </w:r>
                </w:p>
              </w:tc>
            </w:tr>
            <w:tr w14:paraId="2FDD6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restart"/>
                  <w:vAlign w:val="center"/>
                </w:tcPr>
                <w:p w14:paraId="77230F3F">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环保工程</w:t>
                  </w:r>
                </w:p>
              </w:tc>
              <w:tc>
                <w:tcPr>
                  <w:tcW w:w="312" w:type="pct"/>
                  <w:vMerge w:val="restart"/>
                  <w:vAlign w:val="center"/>
                </w:tcPr>
                <w:p w14:paraId="009A29FA">
                  <w:pPr>
                    <w:pStyle w:val="41"/>
                    <w:keepNext w:val="0"/>
                    <w:keepLines w:val="0"/>
                    <w:suppressLineNumbers w:val="0"/>
                    <w:spacing w:before="21" w:beforeAutospacing="0" w:after="0" w:afterAutospacing="0" w:line="240" w:lineRule="auto"/>
                    <w:ind w:left="109" w:right="93"/>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废水</w:t>
                  </w:r>
                </w:p>
              </w:tc>
              <w:tc>
                <w:tcPr>
                  <w:tcW w:w="853" w:type="pct"/>
                  <w:vAlign w:val="center"/>
                </w:tcPr>
                <w:p w14:paraId="3437BBE3">
                  <w:pPr>
                    <w:pStyle w:val="41"/>
                    <w:keepNext w:val="0"/>
                    <w:keepLines w:val="0"/>
                    <w:suppressLineNumbers w:val="0"/>
                    <w:spacing w:before="21" w:beforeAutospacing="0" w:after="0" w:afterAutospacing="0" w:line="240" w:lineRule="auto"/>
                    <w:ind w:left="109" w:right="93"/>
                    <w:jc w:val="center"/>
                    <w:rPr>
                      <w:rFonts w:hint="eastAsia" w:ascii="Times New Roman" w:hAnsi="Times New Roman" w:eastAsia="宋体" w:cs="Times New Roman"/>
                      <w:color w:val="auto"/>
                      <w:sz w:val="21"/>
                      <w:lang w:eastAsia="zh-CN"/>
                    </w:rPr>
                  </w:pPr>
                  <w:r>
                    <w:rPr>
                      <w:rFonts w:hint="default" w:ascii="Times New Roman" w:hAnsi="Times New Roman" w:eastAsia="宋体" w:cs="Times New Roman"/>
                      <w:color w:val="auto"/>
                      <w:sz w:val="21"/>
                    </w:rPr>
                    <w:t>污水处理</w:t>
                  </w:r>
                  <w:r>
                    <w:rPr>
                      <w:rFonts w:hint="eastAsia" w:cs="Times New Roman"/>
                      <w:color w:val="auto"/>
                      <w:sz w:val="21"/>
                      <w:lang w:eastAsia="zh-CN"/>
                    </w:rPr>
                    <w:t>系统</w:t>
                  </w:r>
                </w:p>
              </w:tc>
              <w:tc>
                <w:tcPr>
                  <w:tcW w:w="2836" w:type="pct"/>
                  <w:vAlign w:val="center"/>
                </w:tcPr>
                <w:p w14:paraId="4307DFBF">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厂区内设置有</w:t>
                  </w:r>
                  <w:r>
                    <w:rPr>
                      <w:rFonts w:hint="default" w:ascii="Times New Roman" w:hAnsi="Times New Roman" w:eastAsia="宋体" w:cs="Times New Roman"/>
                      <w:color w:val="auto"/>
                      <w:sz w:val="21"/>
                    </w:rPr>
                    <w:t>一套污水处理系统，建筑用房占地约252m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，处理规模50</w:t>
                  </w:r>
                  <w:r>
                    <w:rPr>
                      <w:rFonts w:hint="default" w:ascii="Times New Roman" w:hAnsi="Times New Roman" w:eastAsia="宋体" w:cs="Times New Roman"/>
                      <w:color w:val="auto"/>
                      <w:sz w:val="21"/>
                      <w:lang w:val="en-US" w:eastAsia="zh-CN"/>
                    </w:rPr>
                    <w:t>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rPr>
                    <w:t>/</w:t>
                  </w:r>
                  <w:r>
                    <w:rPr>
                      <w:rFonts w:hint="eastAsia" w:cs="Times New Roman"/>
                      <w:color w:val="auto"/>
                      <w:sz w:val="21"/>
                      <w:lang w:val="en-US" w:eastAsia="zh-CN"/>
                    </w:rPr>
                    <w:t>d</w:t>
                  </w:r>
                  <w:r>
                    <w:rPr>
                      <w:rFonts w:hint="default" w:ascii="Times New Roman" w:hAnsi="Times New Roman" w:eastAsia="宋体" w:cs="Times New Roman"/>
                      <w:color w:val="auto"/>
                      <w:sz w:val="21"/>
                    </w:rPr>
                    <w:t>。</w:t>
                  </w:r>
                  <w:r>
                    <w:rPr>
                      <w:rFonts w:hint="default" w:ascii="Times New Roman" w:hAnsi="Times New Roman" w:eastAsia="宋体" w:cs="Times New Roman"/>
                      <w:color w:val="auto"/>
                      <w:sz w:val="21"/>
                      <w:lang w:val="en-US" w:eastAsia="zh-CN"/>
                    </w:rPr>
                    <w:t>处理工艺为“</w:t>
                  </w:r>
                  <w:r>
                    <w:rPr>
                      <w:rFonts w:hint="default" w:ascii="Times New Roman" w:hAnsi="Times New Roman" w:eastAsia="宋体" w:cs="Times New Roman"/>
                      <w:color w:val="auto"/>
                      <w:spacing w:val="-2"/>
                    </w:rPr>
                    <w:t>混凝沉淀</w:t>
                  </w:r>
                  <w:r>
                    <w:rPr>
                      <w:rFonts w:hint="default" w:ascii="Times New Roman" w:hAnsi="Times New Roman" w:eastAsia="宋体" w:cs="Times New Roman"/>
                      <w:color w:val="auto"/>
                    </w:rPr>
                    <w:t>+UASB</w:t>
                  </w:r>
                  <w:r>
                    <w:rPr>
                      <w:rFonts w:hint="default" w:ascii="Times New Roman" w:hAnsi="Times New Roman" w:eastAsia="宋体" w:cs="Times New Roman"/>
                      <w:color w:val="auto"/>
                      <w:spacing w:val="2"/>
                    </w:rPr>
                    <w:t>反应</w:t>
                  </w:r>
                  <w:r>
                    <w:rPr>
                      <w:rFonts w:hint="default" w:ascii="Times New Roman" w:hAnsi="Times New Roman" w:eastAsia="宋体" w:cs="Times New Roman"/>
                      <w:color w:val="auto"/>
                    </w:rPr>
                    <w:t>+MBR膜池</w:t>
                  </w:r>
                  <w:r>
                    <w:rPr>
                      <w:rFonts w:hint="default" w:ascii="Times New Roman" w:hAnsi="Times New Roman" w:eastAsia="宋体" w:cs="Times New Roman"/>
                      <w:color w:val="auto"/>
                      <w:sz w:val="21"/>
                      <w:lang w:val="en-US" w:eastAsia="zh-CN"/>
                    </w:rPr>
                    <w:t>”。</w:t>
                  </w:r>
                </w:p>
              </w:tc>
              <w:tc>
                <w:tcPr>
                  <w:tcW w:w="777" w:type="pct"/>
                  <w:vAlign w:val="center"/>
                </w:tcPr>
                <w:p w14:paraId="45C39923">
                  <w:pPr>
                    <w:keepNext w:val="0"/>
                    <w:keepLines w:val="0"/>
                    <w:suppressLineNumbers w:val="0"/>
                    <w:spacing w:before="21" w:beforeAutospacing="0" w:after="0" w:afterAutospacing="0" w:line="240" w:lineRule="auto"/>
                    <w:ind w:left="108" w:right="0"/>
                    <w:jc w:val="center"/>
                    <w:rPr>
                      <w:rFonts w:hint="default" w:ascii="Times New Roman" w:hAnsi="Times New Roman" w:eastAsia="宋体" w:cs="Times New Roman"/>
                      <w:color w:val="auto"/>
                      <w:sz w:val="21"/>
                    </w:rPr>
                  </w:pPr>
                  <w:r>
                    <w:rPr>
                      <w:rFonts w:hint="eastAsia" w:cs="Times New Roman"/>
                      <w:color w:val="auto"/>
                      <w:sz w:val="21"/>
                      <w:lang w:val="en-US" w:eastAsia="zh-CN"/>
                    </w:rPr>
                    <w:t>现有</w:t>
                  </w:r>
                </w:p>
              </w:tc>
            </w:tr>
            <w:tr w14:paraId="04155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20" w:type="pct"/>
                  <w:vMerge w:val="continue"/>
                  <w:vAlign w:val="center"/>
                </w:tcPr>
                <w:p w14:paraId="255F6CCE">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p>
              </w:tc>
              <w:tc>
                <w:tcPr>
                  <w:tcW w:w="312" w:type="pct"/>
                  <w:vMerge w:val="continue"/>
                  <w:vAlign w:val="center"/>
                </w:tcPr>
                <w:p w14:paraId="429C5B9A">
                  <w:pPr>
                    <w:pStyle w:val="41"/>
                    <w:keepNext w:val="0"/>
                    <w:keepLines w:val="0"/>
                    <w:suppressLineNumbers w:val="0"/>
                    <w:spacing w:before="21" w:beforeAutospacing="0" w:after="0" w:afterAutospacing="0" w:line="240" w:lineRule="auto"/>
                    <w:ind w:left="109" w:right="93"/>
                    <w:jc w:val="center"/>
                    <w:rPr>
                      <w:rFonts w:hint="default" w:ascii="Times New Roman" w:hAnsi="Times New Roman" w:eastAsia="宋体" w:cs="Times New Roman"/>
                      <w:color w:val="auto"/>
                      <w:sz w:val="21"/>
                    </w:rPr>
                  </w:pPr>
                </w:p>
              </w:tc>
              <w:tc>
                <w:tcPr>
                  <w:tcW w:w="853" w:type="pct"/>
                  <w:vAlign w:val="center"/>
                </w:tcPr>
                <w:p w14:paraId="69830045">
                  <w:pPr>
                    <w:pStyle w:val="41"/>
                    <w:keepNext w:val="0"/>
                    <w:keepLines w:val="0"/>
                    <w:suppressLineNumbers w:val="0"/>
                    <w:spacing w:before="21" w:beforeAutospacing="0" w:after="0" w:afterAutospacing="0" w:line="240" w:lineRule="auto"/>
                    <w:ind w:left="109" w:right="93"/>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化粪池</w:t>
                  </w:r>
                </w:p>
              </w:tc>
              <w:tc>
                <w:tcPr>
                  <w:tcW w:w="2836" w:type="pct"/>
                  <w:vAlign w:val="center"/>
                </w:tcPr>
                <w:p w14:paraId="7C62987B">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厂区内设置了容积不小于</w:t>
                  </w:r>
                  <w:r>
                    <w:rPr>
                      <w:rFonts w:hint="eastAsia" w:cs="Times New Roman"/>
                      <w:color w:val="auto"/>
                      <w:sz w:val="21"/>
                      <w:lang w:val="en-US" w:eastAsia="zh-CN"/>
                    </w:rPr>
                    <w:t>20</w:t>
                  </w:r>
                  <w:r>
                    <w:rPr>
                      <w:rFonts w:hint="default" w:ascii="Times New Roman" w:hAnsi="Times New Roman" w:eastAsia="宋体" w:cs="Times New Roman"/>
                      <w:color w:val="auto"/>
                      <w:sz w:val="21"/>
                      <w:lang w:val="en-US" w:eastAsia="zh-CN"/>
                    </w:rPr>
                    <w:t>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lang w:val="en-US" w:eastAsia="zh-CN"/>
                    </w:rPr>
                    <w:t>的化粪池，用于处理办公生活污水。</w:t>
                  </w:r>
                </w:p>
              </w:tc>
              <w:tc>
                <w:tcPr>
                  <w:tcW w:w="777" w:type="pct"/>
                  <w:vAlign w:val="center"/>
                </w:tcPr>
                <w:p w14:paraId="5A1CF735">
                  <w:pPr>
                    <w:keepNext w:val="0"/>
                    <w:keepLines w:val="0"/>
                    <w:suppressLineNumbers w:val="0"/>
                    <w:spacing w:before="21" w:beforeAutospacing="0" w:after="0" w:afterAutospacing="0" w:line="240" w:lineRule="auto"/>
                    <w:ind w:left="108" w:right="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现有</w:t>
                  </w:r>
                </w:p>
              </w:tc>
            </w:tr>
            <w:tr w14:paraId="61AAA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vAlign w:val="center"/>
                </w:tcPr>
                <w:p w14:paraId="4BF0E6AE">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p>
              </w:tc>
              <w:tc>
                <w:tcPr>
                  <w:tcW w:w="312" w:type="pct"/>
                  <w:vMerge w:val="continue"/>
                  <w:vAlign w:val="center"/>
                </w:tcPr>
                <w:p w14:paraId="2991FE99">
                  <w:pPr>
                    <w:pStyle w:val="41"/>
                    <w:keepNext w:val="0"/>
                    <w:keepLines w:val="0"/>
                    <w:suppressLineNumbers w:val="0"/>
                    <w:spacing w:before="21" w:beforeAutospacing="0" w:after="0" w:afterAutospacing="0" w:line="240" w:lineRule="auto"/>
                    <w:ind w:left="109" w:right="93"/>
                    <w:jc w:val="center"/>
                    <w:rPr>
                      <w:rFonts w:hint="default" w:ascii="Times New Roman" w:hAnsi="Times New Roman" w:eastAsia="宋体" w:cs="Times New Roman"/>
                      <w:color w:val="auto"/>
                      <w:sz w:val="21"/>
                    </w:rPr>
                  </w:pPr>
                </w:p>
              </w:tc>
              <w:tc>
                <w:tcPr>
                  <w:tcW w:w="853" w:type="pct"/>
                  <w:vAlign w:val="center"/>
                </w:tcPr>
                <w:p w14:paraId="1E845CC9">
                  <w:pPr>
                    <w:pStyle w:val="41"/>
                    <w:keepNext w:val="0"/>
                    <w:keepLines w:val="0"/>
                    <w:suppressLineNumbers w:val="0"/>
                    <w:spacing w:before="21" w:beforeAutospacing="0" w:after="0" w:afterAutospacing="0" w:line="240" w:lineRule="auto"/>
                    <w:ind w:left="109" w:right="93"/>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隔油池</w:t>
                  </w:r>
                </w:p>
              </w:tc>
              <w:tc>
                <w:tcPr>
                  <w:tcW w:w="2836" w:type="pct"/>
                  <w:vAlign w:val="center"/>
                </w:tcPr>
                <w:p w14:paraId="7BBC931D">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厂区内设置有1个容积不小于</w:t>
                  </w:r>
                  <w:r>
                    <w:rPr>
                      <w:rFonts w:hint="eastAsia" w:cs="Times New Roman"/>
                      <w:color w:val="auto"/>
                      <w:sz w:val="21"/>
                      <w:lang w:val="en-US" w:eastAsia="zh-CN"/>
                    </w:rPr>
                    <w:t>4</w:t>
                  </w:r>
                  <w:r>
                    <w:rPr>
                      <w:rFonts w:hint="default" w:ascii="Times New Roman" w:hAnsi="Times New Roman" w:eastAsia="宋体" w:cs="Times New Roman"/>
                      <w:color w:val="auto"/>
                      <w:sz w:val="21"/>
                      <w:lang w:val="en-US" w:eastAsia="zh-CN"/>
                    </w:rPr>
                    <w:t>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lang w:val="en-US" w:eastAsia="zh-CN"/>
                    </w:rPr>
                    <w:t>的隔油池，处理食堂产生的含油废水。</w:t>
                  </w:r>
                </w:p>
              </w:tc>
              <w:tc>
                <w:tcPr>
                  <w:tcW w:w="777" w:type="pct"/>
                  <w:vAlign w:val="center"/>
                </w:tcPr>
                <w:p w14:paraId="1B9BF76B">
                  <w:pPr>
                    <w:keepNext w:val="0"/>
                    <w:keepLines w:val="0"/>
                    <w:suppressLineNumbers w:val="0"/>
                    <w:spacing w:before="21" w:beforeAutospacing="0" w:after="0" w:afterAutospacing="0" w:line="240" w:lineRule="auto"/>
                    <w:ind w:left="108" w:right="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现有</w:t>
                  </w:r>
                </w:p>
              </w:tc>
            </w:tr>
            <w:tr w14:paraId="60F95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vAlign w:val="center"/>
                </w:tcPr>
                <w:p w14:paraId="60B55302">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p>
              </w:tc>
              <w:tc>
                <w:tcPr>
                  <w:tcW w:w="312" w:type="pct"/>
                  <w:vMerge w:val="continue"/>
                  <w:vAlign w:val="center"/>
                </w:tcPr>
                <w:p w14:paraId="7C6A0778">
                  <w:pPr>
                    <w:pStyle w:val="41"/>
                    <w:keepNext w:val="0"/>
                    <w:keepLines w:val="0"/>
                    <w:suppressLineNumbers w:val="0"/>
                    <w:spacing w:before="21" w:beforeAutospacing="0" w:after="0" w:afterAutospacing="0" w:line="240" w:lineRule="auto"/>
                    <w:ind w:left="109" w:right="93"/>
                    <w:jc w:val="center"/>
                    <w:rPr>
                      <w:rFonts w:hint="default" w:ascii="Times New Roman" w:hAnsi="Times New Roman" w:eastAsia="宋体" w:cs="Times New Roman"/>
                      <w:color w:val="auto"/>
                      <w:sz w:val="21"/>
                    </w:rPr>
                  </w:pPr>
                </w:p>
              </w:tc>
              <w:tc>
                <w:tcPr>
                  <w:tcW w:w="853" w:type="pct"/>
                  <w:vAlign w:val="center"/>
                </w:tcPr>
                <w:p w14:paraId="27DFB657">
                  <w:pPr>
                    <w:pStyle w:val="41"/>
                    <w:keepNext w:val="0"/>
                    <w:keepLines w:val="0"/>
                    <w:suppressLineNumbers w:val="0"/>
                    <w:spacing w:before="21" w:beforeAutospacing="0" w:after="0" w:afterAutospacing="0" w:line="240" w:lineRule="auto"/>
                    <w:ind w:left="109" w:right="93"/>
                    <w:jc w:val="center"/>
                    <w:rPr>
                      <w:rFonts w:hint="default" w:ascii="Times New Roman" w:hAnsi="Times New Roman" w:eastAsia="宋体" w:cs="Times New Roman"/>
                      <w:color w:val="auto"/>
                      <w:sz w:val="21"/>
                      <w:lang w:eastAsia="zh-CN"/>
                    </w:rPr>
                  </w:pPr>
                  <w:r>
                    <w:rPr>
                      <w:rFonts w:hint="eastAsia" w:ascii="Times New Roman" w:hAnsi="Times New Roman" w:eastAsia="宋体" w:cs="Times New Roman"/>
                      <w:color w:val="auto"/>
                      <w:sz w:val="21"/>
                      <w:lang w:eastAsia="zh-CN"/>
                    </w:rPr>
                    <w:t>初期雨水收集池</w:t>
                  </w:r>
                </w:p>
              </w:tc>
              <w:tc>
                <w:tcPr>
                  <w:tcW w:w="2836" w:type="pct"/>
                  <w:vAlign w:val="center"/>
                </w:tcPr>
                <w:p w14:paraId="1A8BC534">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厂区设置容积为</w:t>
                  </w:r>
                  <w:r>
                    <w:rPr>
                      <w:rFonts w:hint="default" w:ascii="Times New Roman" w:hAnsi="Times New Roman" w:eastAsia="宋体" w:cs="Times New Roman"/>
                      <w:color w:val="auto"/>
                      <w:sz w:val="21"/>
                    </w:rPr>
                    <w:t>972m</w:t>
                  </w:r>
                  <w:r>
                    <w:rPr>
                      <w:rFonts w:hint="default" w:ascii="Times New Roman" w:hAnsi="Times New Roman" w:eastAsia="宋体" w:cs="Times New Roman"/>
                      <w:color w:val="auto"/>
                      <w:sz w:val="21"/>
                      <w:vertAlign w:val="superscript"/>
                    </w:rPr>
                    <w:t>3</w:t>
                  </w:r>
                  <w:r>
                    <w:rPr>
                      <w:rFonts w:hint="eastAsia" w:ascii="Times New Roman" w:hAnsi="Times New Roman" w:eastAsia="宋体" w:cs="Times New Roman"/>
                      <w:color w:val="auto"/>
                      <w:sz w:val="21"/>
                      <w:lang w:val="en-US" w:eastAsia="zh-CN"/>
                    </w:rPr>
                    <w:t>的初期雨水收集池</w:t>
                  </w:r>
                  <w:r>
                    <w:rPr>
                      <w:rFonts w:hint="eastAsia" w:cs="Times New Roman"/>
                      <w:color w:val="auto"/>
                      <w:sz w:val="21"/>
                      <w:lang w:val="en-US" w:eastAsia="zh-CN"/>
                    </w:rPr>
                    <w:t>。收集、沉淀生产区前15min的雨水。</w:t>
                  </w:r>
                </w:p>
              </w:tc>
              <w:tc>
                <w:tcPr>
                  <w:tcW w:w="777" w:type="pct"/>
                  <w:vAlign w:val="center"/>
                </w:tcPr>
                <w:p w14:paraId="1BFD151F">
                  <w:pPr>
                    <w:keepNext w:val="0"/>
                    <w:keepLines w:val="0"/>
                    <w:suppressLineNumbers w:val="0"/>
                    <w:spacing w:before="21" w:beforeAutospacing="0" w:after="0" w:afterAutospacing="0" w:line="240" w:lineRule="auto"/>
                    <w:ind w:left="108" w:right="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现有</w:t>
                  </w:r>
                </w:p>
              </w:tc>
            </w:tr>
            <w:tr w14:paraId="752B7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6" w:hRule="atLeast"/>
              </w:trPr>
              <w:tc>
                <w:tcPr>
                  <w:tcW w:w="220" w:type="pct"/>
                  <w:vMerge w:val="continue"/>
                </w:tcPr>
                <w:p w14:paraId="26EE47B4">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0"/>
                    </w:rPr>
                  </w:pPr>
                </w:p>
              </w:tc>
              <w:tc>
                <w:tcPr>
                  <w:tcW w:w="312" w:type="pct"/>
                  <w:vMerge w:val="restart"/>
                  <w:vAlign w:val="center"/>
                </w:tcPr>
                <w:p w14:paraId="24025754">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right="93"/>
                    <w:jc w:val="center"/>
                    <w:textAlignment w:val="auto"/>
                    <w:rPr>
                      <w:rFonts w:hint="default" w:ascii="Times New Roman" w:hAnsi="Times New Roman" w:eastAsia="宋体" w:cs="Times New Roman"/>
                      <w:color w:val="auto"/>
                      <w:sz w:val="21"/>
                    </w:rPr>
                  </w:pPr>
                  <w:bookmarkStart w:id="3" w:name="4.2.4主要生产设备"/>
                  <w:bookmarkEnd w:id="3"/>
                  <w:bookmarkStart w:id="4" w:name="_bookmark24"/>
                  <w:bookmarkEnd w:id="4"/>
                  <w:r>
                    <w:rPr>
                      <w:rFonts w:hint="default" w:ascii="Times New Roman" w:hAnsi="Times New Roman" w:eastAsia="宋体" w:cs="Times New Roman"/>
                      <w:color w:val="auto"/>
                      <w:sz w:val="21"/>
                    </w:rPr>
                    <w:t>废气</w:t>
                  </w:r>
                </w:p>
              </w:tc>
              <w:tc>
                <w:tcPr>
                  <w:tcW w:w="853" w:type="pct"/>
                  <w:vAlign w:val="center"/>
                </w:tcPr>
                <w:p w14:paraId="2933BB8F">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right="93"/>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1套“</w:t>
                  </w:r>
                  <w:r>
                    <w:rPr>
                      <w:rFonts w:hint="eastAsia" w:cs="Times New Roman"/>
                      <w:color w:val="auto"/>
                      <w:sz w:val="21"/>
                      <w:lang w:val="en-US" w:eastAsia="zh-CN"/>
                    </w:rPr>
                    <w:t>5个</w:t>
                  </w:r>
                  <w:r>
                    <w:rPr>
                      <w:rFonts w:hint="default" w:ascii="Times New Roman" w:hAnsi="Times New Roman" w:eastAsia="宋体" w:cs="Times New Roman"/>
                      <w:color w:val="auto"/>
                      <w:sz w:val="21"/>
                      <w:lang w:val="en-US" w:eastAsia="zh-CN"/>
                    </w:rPr>
                    <w:t>集气罩+布袋除尘</w:t>
                  </w:r>
                  <w:r>
                    <w:rPr>
                      <w:rFonts w:hint="eastAsia" w:cs="Times New Roman"/>
                      <w:color w:val="auto"/>
                      <w:sz w:val="21"/>
                      <w:lang w:val="en-US" w:eastAsia="zh-CN"/>
                    </w:rPr>
                    <w:t>系统+UV光氧+活性炭吸附装置</w:t>
                  </w:r>
                  <w:r>
                    <w:rPr>
                      <w:rFonts w:hint="default" w:ascii="Times New Roman" w:hAnsi="Times New Roman" w:eastAsia="宋体" w:cs="Times New Roman"/>
                      <w:color w:val="auto"/>
                      <w:sz w:val="21"/>
                      <w:lang w:val="en-US" w:eastAsia="zh-CN"/>
                    </w:rPr>
                    <w:t>”+15m排气筒（DA00</w:t>
                  </w:r>
                  <w:r>
                    <w:rPr>
                      <w:rFonts w:hint="eastAsia" w:cs="Times New Roman"/>
                      <w:color w:val="auto"/>
                      <w:sz w:val="21"/>
                      <w:lang w:val="en-US" w:eastAsia="zh-CN"/>
                    </w:rPr>
                    <w:t>2</w:t>
                  </w:r>
                  <w:r>
                    <w:rPr>
                      <w:rFonts w:hint="default" w:ascii="Times New Roman" w:hAnsi="Times New Roman" w:eastAsia="宋体" w:cs="Times New Roman"/>
                      <w:color w:val="auto"/>
                      <w:sz w:val="21"/>
                      <w:lang w:val="en-US" w:eastAsia="zh-CN"/>
                    </w:rPr>
                    <w:t>）</w:t>
                  </w:r>
                </w:p>
              </w:tc>
              <w:tc>
                <w:tcPr>
                  <w:tcW w:w="2836" w:type="pct"/>
                  <w:vAlign w:val="center"/>
                </w:tcPr>
                <w:p w14:paraId="0B32D68B">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水性涂料生产车间2个投料口，3个包装设备分别设置集气罩收集进入</w:t>
                  </w:r>
                  <w:r>
                    <w:rPr>
                      <w:rFonts w:hint="default" w:ascii="Times New Roman" w:hAnsi="Times New Roman" w:eastAsia="宋体" w:cs="Times New Roman"/>
                      <w:color w:val="auto"/>
                      <w:sz w:val="21"/>
                    </w:rPr>
                    <w:t>布袋除尘</w:t>
                  </w:r>
                  <w:r>
                    <w:rPr>
                      <w:rFonts w:hint="eastAsia" w:cs="Times New Roman"/>
                      <w:color w:val="auto"/>
                      <w:sz w:val="21"/>
                      <w:lang w:val="en-US" w:eastAsia="zh-CN"/>
                    </w:rPr>
                    <w:t>系统+UV光氧+活性炭吸附装置</w:t>
                  </w:r>
                  <w:r>
                    <w:rPr>
                      <w:rFonts w:hint="default" w:ascii="Times New Roman" w:hAnsi="Times New Roman" w:eastAsia="宋体" w:cs="Times New Roman"/>
                      <w:color w:val="auto"/>
                      <w:sz w:val="21"/>
                    </w:rPr>
                    <w:t>处理后</w:t>
                  </w:r>
                  <w:r>
                    <w:rPr>
                      <w:rFonts w:hint="eastAsia" w:cs="Times New Roman"/>
                      <w:color w:val="auto"/>
                      <w:sz w:val="21"/>
                      <w:lang w:eastAsia="zh-CN"/>
                    </w:rPr>
                    <w:t>，</w:t>
                  </w:r>
                  <w:r>
                    <w:rPr>
                      <w:rFonts w:hint="default" w:ascii="Times New Roman" w:hAnsi="Times New Roman" w:eastAsia="宋体" w:cs="Times New Roman"/>
                      <w:color w:val="auto"/>
                      <w:sz w:val="21"/>
                    </w:rPr>
                    <w:t>15m排气筒外排。</w:t>
                  </w:r>
                  <w:r>
                    <w:rPr>
                      <w:rFonts w:hint="eastAsia" w:cs="Times New Roman"/>
                      <w:color w:val="auto"/>
                      <w:sz w:val="21"/>
                      <w:lang w:eastAsia="zh-CN"/>
                    </w:rPr>
                    <w:t>设置风量为</w:t>
                  </w:r>
                  <w:r>
                    <w:rPr>
                      <w:rFonts w:hint="eastAsia" w:cs="Times New Roman"/>
                      <w:color w:val="auto"/>
                      <w:sz w:val="21"/>
                      <w:lang w:val="en-US" w:eastAsia="zh-CN"/>
                    </w:rPr>
                    <w:t>6000</w:t>
                  </w:r>
                  <w:r>
                    <w:rPr>
                      <w:rFonts w:hint="default" w:ascii="Times New Roman" w:hAnsi="Times New Roman" w:eastAsia="宋体" w:cs="Times New Roman"/>
                      <w:color w:val="auto"/>
                      <w:sz w:val="21"/>
                      <w:lang w:val="en-US" w:eastAsia="zh-CN"/>
                    </w:rPr>
                    <w:t>m</w:t>
                  </w:r>
                  <w:r>
                    <w:rPr>
                      <w:rFonts w:hint="default" w:ascii="Times New Roman" w:hAnsi="Times New Roman" w:eastAsia="宋体" w:cs="Times New Roman"/>
                      <w:color w:val="auto"/>
                      <w:sz w:val="21"/>
                      <w:vertAlign w:val="superscript"/>
                      <w:lang w:val="en-US" w:eastAsia="zh-CN"/>
                    </w:rPr>
                    <w:t>3</w:t>
                  </w:r>
                  <w:r>
                    <w:rPr>
                      <w:rFonts w:hint="eastAsia" w:ascii="Times New Roman" w:hAnsi="Times New Roman" w:eastAsia="宋体" w:cs="Times New Roman"/>
                      <w:color w:val="auto"/>
                      <w:sz w:val="21"/>
                      <w:lang w:val="en-US" w:eastAsia="zh-CN"/>
                    </w:rPr>
                    <w:t>/h。集气罩收集效率80%，</w:t>
                  </w:r>
                  <w:r>
                    <w:rPr>
                      <w:rFonts w:hint="default" w:ascii="Times New Roman" w:hAnsi="Times New Roman" w:eastAsia="宋体" w:cs="Times New Roman"/>
                      <w:color w:val="auto"/>
                      <w:sz w:val="21"/>
                    </w:rPr>
                    <w:t>布袋除尘</w:t>
                  </w:r>
                  <w:r>
                    <w:rPr>
                      <w:rFonts w:hint="eastAsia" w:cs="Times New Roman"/>
                      <w:color w:val="auto"/>
                      <w:sz w:val="21"/>
                      <w:lang w:val="en-US" w:eastAsia="zh-CN"/>
                    </w:rPr>
                    <w:t>系对粉尘</w:t>
                  </w:r>
                  <w:r>
                    <w:rPr>
                      <w:rFonts w:hint="eastAsia" w:ascii="Times New Roman" w:hAnsi="Times New Roman" w:eastAsia="宋体" w:cs="Times New Roman"/>
                      <w:color w:val="auto"/>
                      <w:sz w:val="21"/>
                      <w:lang w:val="en-US" w:eastAsia="zh-CN"/>
                    </w:rPr>
                    <w:t>去除效率99%</w:t>
                  </w:r>
                  <w:r>
                    <w:rPr>
                      <w:rFonts w:hint="eastAsia" w:cs="Times New Roman"/>
                      <w:color w:val="auto"/>
                      <w:sz w:val="21"/>
                      <w:lang w:val="en-US" w:eastAsia="zh-CN"/>
                    </w:rPr>
                    <w:t>，UV光氧+活性炭吸附装置对非甲烷总烃的去除效率为70%</w:t>
                  </w:r>
                  <w:r>
                    <w:rPr>
                      <w:rFonts w:hint="eastAsia" w:ascii="Times New Roman" w:hAnsi="Times New Roman" w:eastAsia="宋体" w:cs="Times New Roman"/>
                      <w:color w:val="auto"/>
                      <w:sz w:val="21"/>
                      <w:lang w:val="en-US" w:eastAsia="zh-CN"/>
                    </w:rPr>
                    <w:t>。</w:t>
                  </w:r>
                </w:p>
              </w:tc>
              <w:tc>
                <w:tcPr>
                  <w:tcW w:w="777" w:type="pct"/>
                  <w:vAlign w:val="center"/>
                </w:tcPr>
                <w:p w14:paraId="049430B9">
                  <w:pPr>
                    <w:pStyle w:val="41"/>
                    <w:keepNext w:val="0"/>
                    <w:keepLines w:val="0"/>
                    <w:suppressLineNumbers w:val="0"/>
                    <w:spacing w:before="21" w:beforeAutospacing="0" w:after="0" w:afterAutospacing="0" w:line="240" w:lineRule="auto"/>
                    <w:ind w:left="108" w:right="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新建</w:t>
                  </w:r>
                </w:p>
              </w:tc>
            </w:tr>
            <w:tr w14:paraId="52F01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tcPr>
                <w:p w14:paraId="1B9945DA">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0"/>
                    </w:rPr>
                  </w:pPr>
                </w:p>
              </w:tc>
              <w:tc>
                <w:tcPr>
                  <w:tcW w:w="312" w:type="pct"/>
                  <w:vMerge w:val="continue"/>
                  <w:vAlign w:val="center"/>
                </w:tcPr>
                <w:p w14:paraId="367C4534">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right="93"/>
                    <w:jc w:val="center"/>
                    <w:textAlignment w:val="auto"/>
                    <w:rPr>
                      <w:rFonts w:hint="default" w:ascii="Times New Roman" w:hAnsi="Times New Roman" w:eastAsia="宋体" w:cs="Times New Roman"/>
                      <w:color w:val="auto"/>
                      <w:sz w:val="21"/>
                    </w:rPr>
                  </w:pPr>
                </w:p>
              </w:tc>
              <w:tc>
                <w:tcPr>
                  <w:tcW w:w="853" w:type="pct"/>
                  <w:vAlign w:val="center"/>
                </w:tcPr>
                <w:p w14:paraId="22C6660D">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right="93"/>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1套“</w:t>
                  </w:r>
                  <w:r>
                    <w:rPr>
                      <w:rFonts w:hint="eastAsia" w:cs="Times New Roman"/>
                      <w:color w:val="auto"/>
                      <w:sz w:val="21"/>
                      <w:lang w:val="en-US" w:eastAsia="zh-CN"/>
                    </w:rPr>
                    <w:t>24个</w:t>
                  </w:r>
                  <w:r>
                    <w:rPr>
                      <w:rFonts w:hint="default" w:ascii="Times New Roman" w:hAnsi="Times New Roman" w:eastAsia="宋体" w:cs="Times New Roman"/>
                      <w:color w:val="auto"/>
                      <w:sz w:val="21"/>
                      <w:lang w:val="en-US" w:eastAsia="zh-CN"/>
                    </w:rPr>
                    <w:t>集气罩+集中式滤筒除尘”+15m排气筒（DA00</w:t>
                  </w:r>
                  <w:r>
                    <w:rPr>
                      <w:rFonts w:hint="eastAsia" w:cs="Times New Roman"/>
                      <w:color w:val="auto"/>
                      <w:sz w:val="21"/>
                      <w:lang w:val="en-US" w:eastAsia="zh-CN"/>
                    </w:rPr>
                    <w:t>1</w:t>
                  </w:r>
                  <w:r>
                    <w:rPr>
                      <w:rFonts w:hint="default" w:ascii="Times New Roman" w:hAnsi="Times New Roman" w:eastAsia="宋体" w:cs="Times New Roman"/>
                      <w:color w:val="auto"/>
                      <w:sz w:val="21"/>
                      <w:lang w:val="en-US" w:eastAsia="zh-CN"/>
                    </w:rPr>
                    <w:t>）</w:t>
                  </w:r>
                </w:p>
              </w:tc>
              <w:tc>
                <w:tcPr>
                  <w:tcW w:w="2836" w:type="pct"/>
                  <w:vAlign w:val="center"/>
                </w:tcPr>
                <w:p w14:paraId="4BCB86F0">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eastAsia="zh-CN"/>
                    </w:rPr>
                    <w:t>腻子粉</w:t>
                  </w:r>
                  <w:r>
                    <w:rPr>
                      <w:rFonts w:hint="default" w:ascii="Times New Roman" w:hAnsi="Times New Roman" w:eastAsia="宋体" w:cs="Times New Roman"/>
                      <w:color w:val="auto"/>
                      <w:sz w:val="21"/>
                    </w:rPr>
                    <w:t>生产线</w:t>
                  </w:r>
                  <w:r>
                    <w:rPr>
                      <w:rFonts w:hint="default" w:ascii="Times New Roman" w:hAnsi="Times New Roman" w:eastAsia="宋体" w:cs="Times New Roman"/>
                      <w:color w:val="auto"/>
                      <w:sz w:val="21"/>
                      <w:lang w:eastAsia="zh-CN"/>
                    </w:rPr>
                    <w:t>投料、配料</w:t>
                  </w:r>
                  <w:r>
                    <w:rPr>
                      <w:rFonts w:hint="eastAsia" w:cs="Times New Roman"/>
                      <w:color w:val="auto"/>
                      <w:sz w:val="21"/>
                      <w:lang w:eastAsia="zh-CN"/>
                    </w:rPr>
                    <w:t>、</w:t>
                  </w:r>
                  <w:r>
                    <w:rPr>
                      <w:rFonts w:hint="eastAsia" w:cs="Times New Roman"/>
                      <w:color w:val="auto"/>
                      <w:sz w:val="21"/>
                      <w:lang w:val="en-US" w:eastAsia="zh-CN"/>
                    </w:rPr>
                    <w:t>混料</w:t>
                  </w:r>
                  <w:r>
                    <w:rPr>
                      <w:rFonts w:hint="default" w:ascii="Times New Roman" w:hAnsi="Times New Roman" w:eastAsia="宋体" w:cs="Times New Roman"/>
                      <w:color w:val="auto"/>
                      <w:sz w:val="21"/>
                      <w:lang w:eastAsia="zh-CN"/>
                    </w:rPr>
                    <w:t>粉尘设置</w:t>
                  </w:r>
                  <w:r>
                    <w:rPr>
                      <w:rFonts w:hint="default" w:ascii="Times New Roman" w:hAnsi="Times New Roman" w:eastAsia="宋体" w:cs="Times New Roman"/>
                      <w:color w:val="auto"/>
                      <w:sz w:val="21"/>
                      <w:lang w:val="en-US" w:eastAsia="zh-CN"/>
                    </w:rPr>
                    <w:t>1</w:t>
                  </w:r>
                  <w:r>
                    <w:rPr>
                      <w:rFonts w:hint="default" w:ascii="Times New Roman" w:hAnsi="Times New Roman" w:eastAsia="宋体" w:cs="Times New Roman"/>
                      <w:color w:val="auto"/>
                      <w:sz w:val="21"/>
                    </w:rPr>
                    <w:t>套</w:t>
                  </w:r>
                  <w:r>
                    <w:rPr>
                      <w:rFonts w:hint="default" w:ascii="Times New Roman" w:hAnsi="Times New Roman" w:eastAsia="宋体" w:cs="Times New Roman"/>
                      <w:color w:val="auto"/>
                      <w:sz w:val="21"/>
                      <w:lang w:eastAsia="zh-CN"/>
                    </w:rPr>
                    <w:t>“</w:t>
                  </w:r>
                  <w:r>
                    <w:rPr>
                      <w:rFonts w:hint="eastAsia" w:cs="Times New Roman"/>
                      <w:color w:val="auto"/>
                      <w:sz w:val="21"/>
                      <w:lang w:val="en-US" w:eastAsia="zh-CN"/>
                    </w:rPr>
                    <w:t>24个</w:t>
                  </w:r>
                  <w:r>
                    <w:rPr>
                      <w:rFonts w:hint="default" w:ascii="Times New Roman" w:hAnsi="Times New Roman" w:eastAsia="宋体" w:cs="Times New Roman"/>
                      <w:color w:val="auto"/>
                      <w:sz w:val="21"/>
                      <w:lang w:eastAsia="zh-CN"/>
                    </w:rPr>
                    <w:t>集气罩</w:t>
                  </w:r>
                  <w:r>
                    <w:rPr>
                      <w:rFonts w:hint="default" w:ascii="Times New Roman" w:hAnsi="Times New Roman" w:eastAsia="宋体" w:cs="Times New Roman"/>
                      <w:color w:val="auto"/>
                      <w:sz w:val="21"/>
                      <w:lang w:val="en-US" w:eastAsia="zh-CN"/>
                    </w:rPr>
                    <w:t>+集中式滤筒除尘</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rPr>
                    <w:t>装置，处理后的废气经15m排气筒外排</w:t>
                  </w:r>
                  <w:r>
                    <w:rPr>
                      <w:rFonts w:hint="default" w:ascii="Times New Roman" w:hAnsi="Times New Roman" w:eastAsia="宋体" w:cs="Times New Roman"/>
                      <w:color w:val="auto"/>
                      <w:sz w:val="21"/>
                      <w:lang w:eastAsia="zh-CN"/>
                    </w:rPr>
                    <w:t>。</w:t>
                  </w:r>
                  <w:r>
                    <w:rPr>
                      <w:rFonts w:hint="eastAsia" w:cs="Times New Roman"/>
                      <w:color w:val="auto"/>
                      <w:sz w:val="21"/>
                      <w:lang w:eastAsia="zh-CN"/>
                    </w:rPr>
                    <w:t>设置风量为</w:t>
                  </w:r>
                  <w:r>
                    <w:rPr>
                      <w:rFonts w:hint="eastAsia" w:cs="Times New Roman"/>
                      <w:color w:val="auto"/>
                      <w:sz w:val="21"/>
                      <w:lang w:val="en-US" w:eastAsia="zh-CN"/>
                    </w:rPr>
                    <w:t>48000</w:t>
                  </w:r>
                  <w:r>
                    <w:rPr>
                      <w:rFonts w:hint="default" w:ascii="Times New Roman" w:hAnsi="Times New Roman" w:eastAsia="宋体" w:cs="Times New Roman"/>
                      <w:color w:val="auto"/>
                      <w:sz w:val="21"/>
                      <w:lang w:val="en-US" w:eastAsia="zh-CN"/>
                    </w:rPr>
                    <w:t>m</w:t>
                  </w:r>
                  <w:r>
                    <w:rPr>
                      <w:rFonts w:hint="default" w:ascii="Times New Roman" w:hAnsi="Times New Roman" w:eastAsia="宋体" w:cs="Times New Roman"/>
                      <w:color w:val="auto"/>
                      <w:sz w:val="21"/>
                      <w:vertAlign w:val="superscript"/>
                      <w:lang w:val="en-US" w:eastAsia="zh-CN"/>
                    </w:rPr>
                    <w:t>3</w:t>
                  </w:r>
                  <w:r>
                    <w:rPr>
                      <w:rFonts w:hint="eastAsia" w:ascii="Times New Roman" w:hAnsi="Times New Roman" w:eastAsia="宋体" w:cs="Times New Roman"/>
                      <w:color w:val="auto"/>
                      <w:sz w:val="21"/>
                      <w:lang w:val="en-US" w:eastAsia="zh-CN"/>
                    </w:rPr>
                    <w:t>/h。集气罩收集效率</w:t>
                  </w:r>
                  <w:r>
                    <w:rPr>
                      <w:rFonts w:hint="eastAsia" w:cs="Times New Roman"/>
                      <w:color w:val="auto"/>
                      <w:sz w:val="21"/>
                      <w:lang w:val="en-US" w:eastAsia="zh-CN"/>
                    </w:rPr>
                    <w:t>80</w:t>
                  </w:r>
                  <w:r>
                    <w:rPr>
                      <w:rFonts w:hint="eastAsia" w:ascii="Times New Roman" w:hAnsi="Times New Roman" w:eastAsia="宋体" w:cs="Times New Roman"/>
                      <w:color w:val="auto"/>
                      <w:sz w:val="21"/>
                      <w:lang w:val="en-US" w:eastAsia="zh-CN"/>
                    </w:rPr>
                    <w:t>%，去除效率99%。</w:t>
                  </w:r>
                </w:p>
              </w:tc>
              <w:tc>
                <w:tcPr>
                  <w:tcW w:w="777" w:type="pct"/>
                  <w:vAlign w:val="center"/>
                </w:tcPr>
                <w:p w14:paraId="66F85362">
                  <w:pPr>
                    <w:keepNext w:val="0"/>
                    <w:keepLines w:val="0"/>
                    <w:suppressLineNumbers w:val="0"/>
                    <w:spacing w:before="21" w:beforeAutospacing="0" w:after="0" w:afterAutospacing="0" w:line="240" w:lineRule="auto"/>
                    <w:ind w:left="108" w:right="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现有</w:t>
                  </w:r>
                </w:p>
              </w:tc>
            </w:tr>
            <w:tr w14:paraId="26A86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220" w:type="pct"/>
                  <w:vMerge w:val="continue"/>
                </w:tcPr>
                <w:p w14:paraId="2E0B9F66">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0"/>
                    </w:rPr>
                  </w:pPr>
                </w:p>
              </w:tc>
              <w:tc>
                <w:tcPr>
                  <w:tcW w:w="312" w:type="pct"/>
                  <w:vMerge w:val="continue"/>
                  <w:vAlign w:val="center"/>
                </w:tcPr>
                <w:p w14:paraId="69AC071C">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right="93"/>
                    <w:jc w:val="center"/>
                    <w:textAlignment w:val="auto"/>
                    <w:rPr>
                      <w:rFonts w:hint="default" w:ascii="Times New Roman" w:hAnsi="Times New Roman" w:eastAsia="宋体" w:cs="Times New Roman"/>
                      <w:color w:val="auto"/>
                      <w:sz w:val="21"/>
                    </w:rPr>
                  </w:pPr>
                </w:p>
              </w:tc>
              <w:tc>
                <w:tcPr>
                  <w:tcW w:w="853" w:type="pct"/>
                  <w:vAlign w:val="center"/>
                </w:tcPr>
                <w:p w14:paraId="7CCD8422">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right="93"/>
                    <w:jc w:val="center"/>
                    <w:textAlignment w:val="auto"/>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粉料罐顶设置</w:t>
                  </w:r>
                  <w:r>
                    <w:rPr>
                      <w:rFonts w:hint="default" w:ascii="Times New Roman" w:hAnsi="Times New Roman" w:eastAsia="宋体" w:cs="Times New Roman"/>
                      <w:color w:val="auto"/>
                      <w:sz w:val="21"/>
                      <w:lang w:val="en-US" w:eastAsia="zh-CN"/>
                    </w:rPr>
                    <w:t>脉冲布袋除尘</w:t>
                  </w:r>
                </w:p>
              </w:tc>
              <w:tc>
                <w:tcPr>
                  <w:tcW w:w="2836" w:type="pct"/>
                  <w:vAlign w:val="center"/>
                </w:tcPr>
                <w:p w14:paraId="3C961435">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eastAsia="zh-CN"/>
                    </w:rPr>
                  </w:pPr>
                  <w:r>
                    <w:rPr>
                      <w:rFonts w:hint="eastAsia" w:cs="Times New Roman"/>
                      <w:color w:val="auto"/>
                      <w:sz w:val="21"/>
                      <w:lang w:val="en-US" w:eastAsia="zh-CN"/>
                    </w:rPr>
                    <w:t>项目</w:t>
                  </w:r>
                  <w:r>
                    <w:rPr>
                      <w:rFonts w:hint="default" w:ascii="Times New Roman" w:hAnsi="Times New Roman" w:eastAsia="宋体" w:cs="Times New Roman"/>
                      <w:color w:val="auto"/>
                      <w:sz w:val="21"/>
                      <w:lang w:eastAsia="zh-CN"/>
                    </w:rPr>
                    <w:t>生产车间</w:t>
                  </w:r>
                  <w:r>
                    <w:rPr>
                      <w:rFonts w:hint="eastAsia" w:cs="Times New Roman"/>
                      <w:color w:val="auto"/>
                      <w:sz w:val="21"/>
                      <w:lang w:val="en-US" w:eastAsia="zh-CN"/>
                    </w:rPr>
                    <w:t>9个粉料罐（腻子粉生产车间3个，水性涂料生产车间6个）顶部设置</w:t>
                  </w:r>
                  <w:r>
                    <w:rPr>
                      <w:rFonts w:hint="default" w:ascii="Times New Roman" w:hAnsi="Times New Roman" w:eastAsia="宋体" w:cs="Times New Roman"/>
                      <w:color w:val="auto"/>
                      <w:sz w:val="21"/>
                      <w:lang w:val="en-US" w:eastAsia="zh-CN"/>
                    </w:rPr>
                    <w:t>脉冲</w:t>
                  </w:r>
                  <w:r>
                    <w:rPr>
                      <w:rFonts w:hint="default" w:ascii="Times New Roman" w:hAnsi="Times New Roman" w:eastAsia="宋体" w:cs="Times New Roman"/>
                      <w:color w:val="auto"/>
                      <w:sz w:val="21"/>
                      <w:lang w:eastAsia="zh-CN"/>
                    </w:rPr>
                    <w:t>布袋除尘器进行除尘</w:t>
                  </w:r>
                  <w:r>
                    <w:rPr>
                      <w:rFonts w:hint="eastAsia" w:ascii="Times New Roman" w:hAnsi="Times New Roman" w:eastAsia="宋体" w:cs="Times New Roman"/>
                      <w:color w:val="auto"/>
                      <w:sz w:val="21"/>
                      <w:lang w:val="en-US" w:eastAsia="zh-CN"/>
                    </w:rPr>
                    <w:t>。</w:t>
                  </w:r>
                </w:p>
              </w:tc>
              <w:tc>
                <w:tcPr>
                  <w:tcW w:w="777" w:type="pct"/>
                  <w:vAlign w:val="center"/>
                </w:tcPr>
                <w:p w14:paraId="482EEA4F">
                  <w:pPr>
                    <w:keepNext w:val="0"/>
                    <w:keepLines w:val="0"/>
                    <w:suppressLineNumbers w:val="0"/>
                    <w:spacing w:before="21" w:beforeAutospacing="0" w:after="0" w:afterAutospacing="0" w:line="240" w:lineRule="auto"/>
                    <w:ind w:left="108" w:right="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新建</w:t>
                  </w:r>
                </w:p>
              </w:tc>
            </w:tr>
            <w:tr w14:paraId="0CAE6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tcPr>
                <w:p w14:paraId="22153AE6">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0"/>
                    </w:rPr>
                  </w:pPr>
                </w:p>
              </w:tc>
              <w:tc>
                <w:tcPr>
                  <w:tcW w:w="312" w:type="pct"/>
                  <w:vMerge w:val="continue"/>
                  <w:vAlign w:val="center"/>
                </w:tcPr>
                <w:p w14:paraId="034C071B">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right="93"/>
                    <w:jc w:val="center"/>
                    <w:textAlignment w:val="auto"/>
                    <w:rPr>
                      <w:rFonts w:hint="default" w:ascii="Times New Roman" w:hAnsi="Times New Roman" w:eastAsia="宋体" w:cs="Times New Roman"/>
                      <w:color w:val="auto"/>
                      <w:sz w:val="21"/>
                    </w:rPr>
                  </w:pPr>
                </w:p>
              </w:tc>
              <w:tc>
                <w:tcPr>
                  <w:tcW w:w="853" w:type="pct"/>
                  <w:vAlign w:val="center"/>
                </w:tcPr>
                <w:p w14:paraId="56AF8E9E">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right="93"/>
                    <w:jc w:val="center"/>
                    <w:textAlignment w:val="auto"/>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腻子粉生产线2包装机分别设置1个集气罩收集+1</w:t>
                  </w:r>
                  <w:r>
                    <w:rPr>
                      <w:rFonts w:hint="default" w:ascii="Times New Roman" w:hAnsi="Times New Roman" w:eastAsia="宋体" w:cs="Times New Roman"/>
                      <w:color w:val="auto"/>
                      <w:sz w:val="21"/>
                      <w:lang w:val="en-US" w:eastAsia="zh-CN"/>
                    </w:rPr>
                    <w:t>台旋风除尘器</w:t>
                  </w:r>
                </w:p>
              </w:tc>
              <w:tc>
                <w:tcPr>
                  <w:tcW w:w="2836" w:type="pct"/>
                  <w:vAlign w:val="center"/>
                </w:tcPr>
                <w:p w14:paraId="608229C7">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eastAsia="zh-CN"/>
                    </w:rPr>
                    <w:t>腻子粉生产车间设置</w:t>
                  </w:r>
                  <w:r>
                    <w:rPr>
                      <w:rFonts w:hint="default" w:ascii="Times New Roman" w:hAnsi="Times New Roman" w:eastAsia="宋体" w:cs="Times New Roman"/>
                      <w:color w:val="auto"/>
                      <w:sz w:val="21"/>
                      <w:lang w:val="en-US" w:eastAsia="zh-CN"/>
                    </w:rPr>
                    <w:t>2台</w:t>
                  </w:r>
                  <w:r>
                    <w:rPr>
                      <w:rFonts w:hint="default" w:ascii="Times New Roman" w:hAnsi="Times New Roman" w:eastAsia="宋体" w:cs="Times New Roman"/>
                      <w:color w:val="auto"/>
                      <w:sz w:val="21"/>
                      <w:lang w:eastAsia="zh-CN"/>
                    </w:rPr>
                    <w:t>包装机</w:t>
                  </w:r>
                  <w:r>
                    <w:rPr>
                      <w:rFonts w:hint="eastAsia" w:cs="Times New Roman"/>
                      <w:color w:val="auto"/>
                      <w:sz w:val="21"/>
                      <w:lang w:val="en-US" w:eastAsia="zh-CN"/>
                    </w:rPr>
                    <w:t>分别设置1套“1个集气罩+</w:t>
                  </w:r>
                  <w:r>
                    <w:rPr>
                      <w:rFonts w:hint="default" w:ascii="Times New Roman" w:hAnsi="Times New Roman" w:eastAsia="宋体" w:cs="Times New Roman"/>
                      <w:color w:val="auto"/>
                      <w:sz w:val="21"/>
                      <w:lang w:val="en-US" w:eastAsia="zh-CN"/>
                    </w:rPr>
                    <w:t>旋风除尘系统</w:t>
                  </w:r>
                  <w:r>
                    <w:rPr>
                      <w:rFonts w:hint="eastAsia" w:cs="Times New Roman"/>
                      <w:color w:val="auto"/>
                      <w:sz w:val="21"/>
                      <w:lang w:val="en-US" w:eastAsia="zh-CN"/>
                    </w:rPr>
                    <w:t>”</w:t>
                  </w:r>
                  <w:r>
                    <w:rPr>
                      <w:rFonts w:hint="default" w:ascii="Times New Roman" w:hAnsi="Times New Roman" w:eastAsia="宋体" w:cs="Times New Roman"/>
                      <w:color w:val="auto"/>
                      <w:sz w:val="21"/>
                      <w:lang w:val="en-US" w:eastAsia="zh-CN"/>
                    </w:rPr>
                    <w:t>收集包装环节产生的粉尘</w:t>
                  </w:r>
                  <w:r>
                    <w:rPr>
                      <w:rFonts w:hint="eastAsia" w:cs="Times New Roman"/>
                      <w:color w:val="auto"/>
                      <w:sz w:val="21"/>
                      <w:lang w:val="en-US" w:eastAsia="zh-CN"/>
                    </w:rPr>
                    <w:t>，</w:t>
                  </w:r>
                  <w:r>
                    <w:rPr>
                      <w:rFonts w:hint="eastAsia" w:ascii="Times New Roman" w:hAnsi="Times New Roman" w:eastAsia="宋体" w:cs="Times New Roman"/>
                      <w:color w:val="auto"/>
                      <w:sz w:val="21"/>
                      <w:lang w:val="en-US" w:eastAsia="zh-CN"/>
                    </w:rPr>
                    <w:t>集气罩收集效率80%，去除效率</w:t>
                  </w:r>
                  <w:r>
                    <w:rPr>
                      <w:rFonts w:hint="eastAsia" w:cs="Times New Roman"/>
                      <w:color w:val="auto"/>
                      <w:sz w:val="21"/>
                      <w:lang w:val="en-US" w:eastAsia="zh-CN"/>
                    </w:rPr>
                    <w:t>60</w:t>
                  </w:r>
                  <w:r>
                    <w:rPr>
                      <w:rFonts w:hint="eastAsia" w:ascii="Times New Roman" w:hAnsi="Times New Roman" w:eastAsia="宋体" w:cs="Times New Roman"/>
                      <w:color w:val="auto"/>
                      <w:sz w:val="21"/>
                      <w:lang w:val="en-US" w:eastAsia="zh-CN"/>
                    </w:rPr>
                    <w:t>%。</w:t>
                  </w:r>
                </w:p>
              </w:tc>
              <w:tc>
                <w:tcPr>
                  <w:tcW w:w="777" w:type="pct"/>
                  <w:vAlign w:val="center"/>
                </w:tcPr>
                <w:p w14:paraId="232D8474">
                  <w:pPr>
                    <w:keepNext w:val="0"/>
                    <w:keepLines w:val="0"/>
                    <w:suppressLineNumbers w:val="0"/>
                    <w:spacing w:before="21" w:beforeAutospacing="0" w:after="0" w:afterAutospacing="0" w:line="240" w:lineRule="auto"/>
                    <w:ind w:left="108" w:right="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新建</w:t>
                  </w:r>
                </w:p>
              </w:tc>
            </w:tr>
            <w:tr w14:paraId="312CD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tcPr>
                <w:p w14:paraId="01A0F6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
                      <w:szCs w:val="2"/>
                    </w:rPr>
                  </w:pPr>
                </w:p>
              </w:tc>
              <w:tc>
                <w:tcPr>
                  <w:tcW w:w="312" w:type="pct"/>
                  <w:vMerge w:val="restart"/>
                  <w:vAlign w:val="center"/>
                </w:tcPr>
                <w:p w14:paraId="3A0212D1">
                  <w:pPr>
                    <w:pStyle w:val="41"/>
                    <w:keepNext w:val="0"/>
                    <w:keepLines w:val="0"/>
                    <w:pageBreakBefore w:val="0"/>
                    <w:widowControl w:val="0"/>
                    <w:suppressLineNumbers w:val="0"/>
                    <w:kinsoku/>
                    <w:wordWrap/>
                    <w:overflowPunct/>
                    <w:topLinePunct w:val="0"/>
                    <w:autoSpaceDE/>
                    <w:autoSpaceDN/>
                    <w:bidi w:val="0"/>
                    <w:adjustRightInd/>
                    <w:snapToGrid/>
                    <w:spacing w:before="20" w:beforeAutospacing="0" w:after="0" w:afterAutospacing="0" w:line="240" w:lineRule="auto"/>
                    <w:ind w:left="109" w:right="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固废</w:t>
                  </w:r>
                </w:p>
              </w:tc>
              <w:tc>
                <w:tcPr>
                  <w:tcW w:w="853" w:type="pct"/>
                  <w:vAlign w:val="center"/>
                </w:tcPr>
                <w:p w14:paraId="5649655D">
                  <w:pPr>
                    <w:pStyle w:val="41"/>
                    <w:keepNext w:val="0"/>
                    <w:keepLines w:val="0"/>
                    <w:pageBreakBefore w:val="0"/>
                    <w:widowControl w:val="0"/>
                    <w:suppressLineNumbers w:val="0"/>
                    <w:kinsoku/>
                    <w:wordWrap/>
                    <w:overflowPunct/>
                    <w:topLinePunct w:val="0"/>
                    <w:autoSpaceDE/>
                    <w:autoSpaceDN/>
                    <w:bidi w:val="0"/>
                    <w:adjustRightInd/>
                    <w:snapToGrid/>
                    <w:spacing w:before="20" w:beforeAutospacing="0" w:after="0" w:afterAutospacing="0" w:line="240" w:lineRule="auto"/>
                    <w:ind w:left="109" w:leftChars="0" w:right="0" w:rightChars="0"/>
                    <w:jc w:val="center"/>
                    <w:textAlignment w:val="auto"/>
                    <w:rPr>
                      <w:rFonts w:hint="default" w:ascii="Times New Roman" w:hAnsi="Times New Roman" w:eastAsia="宋体" w:cs="Times New Roman"/>
                      <w:color w:val="auto"/>
                      <w:sz w:val="21"/>
                      <w:lang w:eastAsia="zh-CN"/>
                    </w:rPr>
                  </w:pPr>
                  <w:r>
                    <w:rPr>
                      <w:rFonts w:hint="eastAsia" w:cs="Times New Roman"/>
                      <w:color w:val="auto"/>
                      <w:sz w:val="21"/>
                      <w:lang w:eastAsia="zh-CN"/>
                    </w:rPr>
                    <w:t>多个生活垃圾桶</w:t>
                  </w:r>
                </w:p>
              </w:tc>
              <w:tc>
                <w:tcPr>
                  <w:tcW w:w="2836" w:type="pct"/>
                  <w:vAlign w:val="center"/>
                </w:tcPr>
                <w:p w14:paraId="7A793A10">
                  <w:pPr>
                    <w:pStyle w:val="41"/>
                    <w:keepNext w:val="0"/>
                    <w:keepLines w:val="0"/>
                    <w:suppressLineNumbers w:val="0"/>
                    <w:spacing w:before="21" w:beforeAutospacing="0" w:after="0" w:afterAutospacing="0" w:line="240" w:lineRule="auto"/>
                    <w:ind w:left="105" w:leftChars="0" w:right="95" w:rightChars="0"/>
                    <w:jc w:val="center"/>
                    <w:rPr>
                      <w:rFonts w:hint="default" w:ascii="Times New Roman" w:hAnsi="Times New Roman" w:eastAsia="宋体" w:cs="Times New Roman"/>
                      <w:color w:val="auto"/>
                      <w:sz w:val="21"/>
                      <w:lang w:eastAsia="zh-CN"/>
                    </w:rPr>
                  </w:pPr>
                  <w:r>
                    <w:rPr>
                      <w:rFonts w:hint="eastAsia" w:cs="Times New Roman"/>
                      <w:color w:val="auto"/>
                      <w:sz w:val="21"/>
                      <w:lang w:eastAsia="zh-CN"/>
                    </w:rPr>
                    <w:t>厂区内设置多个生活垃圾桶，用于收集产生的生活垃圾。</w:t>
                  </w:r>
                </w:p>
              </w:tc>
              <w:tc>
                <w:tcPr>
                  <w:tcW w:w="777" w:type="pct"/>
                  <w:vAlign w:val="center"/>
                </w:tcPr>
                <w:p w14:paraId="0C92D392">
                  <w:pPr>
                    <w:keepNext w:val="0"/>
                    <w:keepLines w:val="0"/>
                    <w:suppressLineNumbers w:val="0"/>
                    <w:spacing w:before="20" w:beforeAutospacing="0" w:after="0" w:afterAutospacing="0" w:line="240" w:lineRule="auto"/>
                    <w:ind w:left="108" w:right="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现有</w:t>
                  </w:r>
                </w:p>
              </w:tc>
            </w:tr>
            <w:tr w14:paraId="2CEFC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tcPr>
                <w:p w14:paraId="440C93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
                      <w:szCs w:val="2"/>
                    </w:rPr>
                  </w:pPr>
                </w:p>
              </w:tc>
              <w:tc>
                <w:tcPr>
                  <w:tcW w:w="312" w:type="pct"/>
                  <w:vMerge w:val="continue"/>
                  <w:vAlign w:val="center"/>
                </w:tcPr>
                <w:p w14:paraId="0DDF87EC">
                  <w:pPr>
                    <w:pStyle w:val="41"/>
                    <w:keepNext w:val="0"/>
                    <w:keepLines w:val="0"/>
                    <w:pageBreakBefore w:val="0"/>
                    <w:widowControl w:val="0"/>
                    <w:suppressLineNumbers w:val="0"/>
                    <w:kinsoku/>
                    <w:wordWrap/>
                    <w:overflowPunct/>
                    <w:topLinePunct w:val="0"/>
                    <w:autoSpaceDE/>
                    <w:autoSpaceDN/>
                    <w:bidi w:val="0"/>
                    <w:adjustRightInd/>
                    <w:snapToGrid/>
                    <w:spacing w:before="20" w:beforeAutospacing="0" w:after="0" w:afterAutospacing="0" w:line="240" w:lineRule="auto"/>
                    <w:ind w:left="109" w:right="0"/>
                    <w:jc w:val="center"/>
                    <w:textAlignment w:val="auto"/>
                    <w:rPr>
                      <w:rFonts w:hint="default" w:ascii="Times New Roman" w:hAnsi="Times New Roman" w:eastAsia="宋体" w:cs="Times New Roman"/>
                      <w:color w:val="auto"/>
                      <w:sz w:val="21"/>
                    </w:rPr>
                  </w:pPr>
                </w:p>
              </w:tc>
              <w:tc>
                <w:tcPr>
                  <w:tcW w:w="853" w:type="pct"/>
                  <w:vAlign w:val="center"/>
                </w:tcPr>
                <w:p w14:paraId="372020ED">
                  <w:pPr>
                    <w:pStyle w:val="41"/>
                    <w:keepNext w:val="0"/>
                    <w:keepLines w:val="0"/>
                    <w:pageBreakBefore w:val="0"/>
                    <w:widowControl w:val="0"/>
                    <w:suppressLineNumbers w:val="0"/>
                    <w:kinsoku/>
                    <w:wordWrap/>
                    <w:overflowPunct/>
                    <w:topLinePunct w:val="0"/>
                    <w:autoSpaceDE/>
                    <w:autoSpaceDN/>
                    <w:bidi w:val="0"/>
                    <w:adjustRightInd/>
                    <w:snapToGrid/>
                    <w:spacing w:before="20" w:beforeAutospacing="0" w:after="0" w:afterAutospacing="0" w:line="240" w:lineRule="auto"/>
                    <w:ind w:left="109" w:right="0"/>
                    <w:jc w:val="center"/>
                    <w:textAlignment w:val="auto"/>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一般固废间</w:t>
                  </w:r>
                </w:p>
              </w:tc>
              <w:tc>
                <w:tcPr>
                  <w:tcW w:w="2836" w:type="pct"/>
                  <w:vAlign w:val="center"/>
                </w:tcPr>
                <w:p w14:paraId="28176143">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eastAsia="zh-CN"/>
                    </w:rPr>
                    <w:t>厂区内已建成</w:t>
                  </w:r>
                  <w:r>
                    <w:rPr>
                      <w:rFonts w:hint="default" w:ascii="Times New Roman" w:hAnsi="Times New Roman" w:eastAsia="宋体" w:cs="Times New Roman"/>
                      <w:color w:val="auto"/>
                      <w:sz w:val="21"/>
                    </w:rPr>
                    <w:t>135m</w:t>
                  </w:r>
                  <w:r>
                    <w:rPr>
                      <w:rFonts w:hint="default" w:ascii="Times New Roman" w:hAnsi="Times New Roman" w:eastAsia="宋体" w:cs="Times New Roman"/>
                      <w:color w:val="auto"/>
                      <w:sz w:val="21"/>
                      <w:vertAlign w:val="superscript"/>
                    </w:rPr>
                    <w:t>2</w:t>
                  </w:r>
                  <w:r>
                    <w:rPr>
                      <w:rFonts w:hint="default" w:ascii="Times New Roman" w:hAnsi="Times New Roman" w:eastAsia="宋体" w:cs="Times New Roman"/>
                      <w:color w:val="auto"/>
                      <w:sz w:val="21"/>
                      <w:lang w:eastAsia="zh-CN"/>
                    </w:rPr>
                    <w:t>的一般固废间</w:t>
                  </w:r>
                  <w:r>
                    <w:rPr>
                      <w:rFonts w:hint="default" w:ascii="Times New Roman" w:hAnsi="Times New Roman" w:eastAsia="宋体" w:cs="Times New Roman"/>
                      <w:color w:val="auto"/>
                      <w:sz w:val="21"/>
                    </w:rPr>
                    <w:t>，独立彩钢板厂房，主要贮存生产中</w:t>
                  </w:r>
                  <w:r>
                    <w:rPr>
                      <w:rFonts w:hint="default" w:ascii="Times New Roman" w:hAnsi="Times New Roman" w:eastAsia="宋体" w:cs="Times New Roman"/>
                      <w:color w:val="auto"/>
                      <w:sz w:val="21"/>
                      <w:lang w:eastAsia="zh-CN"/>
                    </w:rPr>
                    <w:t>废包装材料、包装桶</w:t>
                  </w:r>
                  <w:r>
                    <w:rPr>
                      <w:rFonts w:hint="default" w:ascii="Times New Roman" w:hAnsi="Times New Roman" w:eastAsia="宋体" w:cs="Times New Roman"/>
                      <w:color w:val="auto"/>
                      <w:sz w:val="21"/>
                    </w:rPr>
                    <w:t>等</w:t>
                  </w:r>
                  <w:r>
                    <w:rPr>
                      <w:rFonts w:hint="default" w:ascii="Times New Roman" w:hAnsi="Times New Roman" w:eastAsia="宋体" w:cs="Times New Roman"/>
                      <w:color w:val="auto"/>
                      <w:sz w:val="21"/>
                      <w:lang w:eastAsia="zh-CN"/>
                    </w:rPr>
                    <w:t>一般固体废物</w:t>
                  </w:r>
                  <w:r>
                    <w:rPr>
                      <w:rFonts w:hint="default" w:ascii="Times New Roman" w:hAnsi="Times New Roman" w:eastAsia="宋体" w:cs="Times New Roman"/>
                      <w:color w:val="auto"/>
                      <w:sz w:val="21"/>
                    </w:rPr>
                    <w:t>。</w:t>
                  </w:r>
                </w:p>
              </w:tc>
              <w:tc>
                <w:tcPr>
                  <w:tcW w:w="777" w:type="pct"/>
                  <w:vAlign w:val="center"/>
                </w:tcPr>
                <w:p w14:paraId="03C38724">
                  <w:pPr>
                    <w:keepNext w:val="0"/>
                    <w:keepLines w:val="0"/>
                    <w:suppressLineNumbers w:val="0"/>
                    <w:spacing w:before="20" w:beforeAutospacing="0" w:after="0" w:afterAutospacing="0" w:line="240" w:lineRule="auto"/>
                    <w:ind w:left="108" w:right="0"/>
                    <w:jc w:val="center"/>
                    <w:rPr>
                      <w:rFonts w:hint="default" w:ascii="Times New Roman" w:hAnsi="Times New Roman" w:eastAsia="宋体" w:cs="Times New Roman"/>
                      <w:color w:val="auto"/>
                      <w:sz w:val="21"/>
                    </w:rPr>
                  </w:pPr>
                  <w:r>
                    <w:rPr>
                      <w:rFonts w:hint="eastAsia" w:cs="Times New Roman"/>
                      <w:color w:val="auto"/>
                      <w:sz w:val="21"/>
                      <w:lang w:val="en-US" w:eastAsia="zh-CN"/>
                    </w:rPr>
                    <w:t>现有</w:t>
                  </w:r>
                </w:p>
              </w:tc>
            </w:tr>
            <w:tr w14:paraId="6924B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tcPr>
                <w:p w14:paraId="7516F8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
                      <w:szCs w:val="2"/>
                    </w:rPr>
                  </w:pPr>
                </w:p>
              </w:tc>
              <w:tc>
                <w:tcPr>
                  <w:tcW w:w="312" w:type="pct"/>
                  <w:vMerge w:val="continue"/>
                  <w:vAlign w:val="center"/>
                </w:tcPr>
                <w:p w14:paraId="025E72C8">
                  <w:pPr>
                    <w:pStyle w:val="41"/>
                    <w:keepNext w:val="0"/>
                    <w:keepLines w:val="0"/>
                    <w:pageBreakBefore w:val="0"/>
                    <w:widowControl w:val="0"/>
                    <w:suppressLineNumbers w:val="0"/>
                    <w:kinsoku/>
                    <w:wordWrap/>
                    <w:overflowPunct/>
                    <w:topLinePunct w:val="0"/>
                    <w:autoSpaceDE/>
                    <w:autoSpaceDN/>
                    <w:bidi w:val="0"/>
                    <w:adjustRightInd/>
                    <w:snapToGrid/>
                    <w:spacing w:before="20" w:beforeAutospacing="0" w:after="0" w:afterAutospacing="0" w:line="240" w:lineRule="auto"/>
                    <w:ind w:left="109" w:right="0"/>
                    <w:jc w:val="center"/>
                    <w:textAlignment w:val="auto"/>
                    <w:rPr>
                      <w:rFonts w:hint="default" w:ascii="Times New Roman" w:hAnsi="Times New Roman" w:eastAsia="宋体" w:cs="Times New Roman"/>
                      <w:color w:val="auto"/>
                      <w:sz w:val="21"/>
                    </w:rPr>
                  </w:pPr>
                </w:p>
              </w:tc>
              <w:tc>
                <w:tcPr>
                  <w:tcW w:w="853" w:type="pct"/>
                  <w:vAlign w:val="center"/>
                </w:tcPr>
                <w:p w14:paraId="0515C1B2">
                  <w:pPr>
                    <w:pStyle w:val="41"/>
                    <w:keepNext w:val="0"/>
                    <w:keepLines w:val="0"/>
                    <w:pageBreakBefore w:val="0"/>
                    <w:widowControl w:val="0"/>
                    <w:suppressLineNumbers w:val="0"/>
                    <w:kinsoku/>
                    <w:wordWrap/>
                    <w:overflowPunct/>
                    <w:topLinePunct w:val="0"/>
                    <w:autoSpaceDE/>
                    <w:autoSpaceDN/>
                    <w:bidi w:val="0"/>
                    <w:adjustRightInd/>
                    <w:snapToGrid/>
                    <w:spacing w:before="20" w:beforeAutospacing="0" w:after="0" w:afterAutospacing="0" w:line="240" w:lineRule="auto"/>
                    <w:ind w:left="109" w:right="0"/>
                    <w:jc w:val="center"/>
                    <w:textAlignment w:val="auto"/>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危废暂存间</w:t>
                  </w:r>
                </w:p>
              </w:tc>
              <w:tc>
                <w:tcPr>
                  <w:tcW w:w="2836" w:type="pct"/>
                  <w:vAlign w:val="center"/>
                </w:tcPr>
                <w:p w14:paraId="204649F7">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本次扩建，拟在甲类仓库隔出1间面积为15</w:t>
                  </w:r>
                  <w:r>
                    <w:rPr>
                      <w:rFonts w:hint="default" w:ascii="Times New Roman" w:hAnsi="Times New Roman" w:eastAsia="宋体" w:cs="Times New Roman"/>
                      <w:color w:val="auto"/>
                      <w:sz w:val="21"/>
                    </w:rPr>
                    <w:t>m</w:t>
                  </w:r>
                  <w:r>
                    <w:rPr>
                      <w:rFonts w:hint="default" w:ascii="Times New Roman" w:hAnsi="Times New Roman" w:eastAsia="宋体" w:cs="Times New Roman"/>
                      <w:color w:val="auto"/>
                      <w:sz w:val="21"/>
                      <w:vertAlign w:val="superscript"/>
                    </w:rPr>
                    <w:t>2</w:t>
                  </w:r>
                  <w:r>
                    <w:rPr>
                      <w:rFonts w:hint="default" w:ascii="Times New Roman" w:hAnsi="Times New Roman" w:eastAsia="宋体" w:cs="Times New Roman"/>
                      <w:color w:val="auto"/>
                      <w:sz w:val="21"/>
                      <w:lang w:val="en-US" w:eastAsia="zh-CN"/>
                    </w:rPr>
                    <w:t>的危险废物暂存间，用于暂存废机油、润滑油等危险废物，危废间严格按照《危险废物贮存污染控制标准》（GB18597-2001）及其修改单要求中相关要求规范设置。</w:t>
                  </w:r>
                </w:p>
              </w:tc>
              <w:tc>
                <w:tcPr>
                  <w:tcW w:w="777" w:type="pct"/>
                  <w:vAlign w:val="center"/>
                </w:tcPr>
                <w:p w14:paraId="2B5FBE31">
                  <w:pPr>
                    <w:pStyle w:val="41"/>
                    <w:keepNext w:val="0"/>
                    <w:keepLines w:val="0"/>
                    <w:suppressLineNumbers w:val="0"/>
                    <w:spacing w:before="20" w:beforeAutospacing="0" w:after="0" w:afterAutospacing="0" w:line="240" w:lineRule="auto"/>
                    <w:ind w:left="108" w:right="0"/>
                    <w:jc w:val="center"/>
                    <w:rPr>
                      <w:rFonts w:hint="default" w:ascii="Times New Roman" w:hAnsi="Times New Roman" w:eastAsia="宋体" w:cs="Times New Roman"/>
                      <w:color w:val="auto"/>
                      <w:sz w:val="21"/>
                      <w:lang w:eastAsia="zh-CN"/>
                    </w:rPr>
                  </w:pPr>
                  <w:r>
                    <w:rPr>
                      <w:rFonts w:hint="eastAsia" w:cs="Times New Roman"/>
                      <w:color w:val="auto"/>
                      <w:sz w:val="21"/>
                      <w:lang w:val="en-US" w:eastAsia="zh-CN"/>
                    </w:rPr>
                    <w:t>以新代老提出，新建</w:t>
                  </w:r>
                </w:p>
              </w:tc>
            </w:tr>
            <w:tr w14:paraId="6BD10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0" w:type="pct"/>
                  <w:vMerge w:val="continue"/>
                </w:tcPr>
                <w:p w14:paraId="2429B5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
                      <w:szCs w:val="2"/>
                    </w:rPr>
                  </w:pPr>
                </w:p>
              </w:tc>
              <w:tc>
                <w:tcPr>
                  <w:tcW w:w="312" w:type="pct"/>
                  <w:vAlign w:val="center"/>
                </w:tcPr>
                <w:p w14:paraId="1FFD8D46">
                  <w:pPr>
                    <w:pStyle w:val="41"/>
                    <w:keepNext w:val="0"/>
                    <w:keepLines w:val="0"/>
                    <w:pageBreakBefore w:val="0"/>
                    <w:widowControl w:val="0"/>
                    <w:suppressLineNumbers w:val="0"/>
                    <w:kinsoku/>
                    <w:wordWrap/>
                    <w:overflowPunct/>
                    <w:topLinePunct w:val="0"/>
                    <w:autoSpaceDE/>
                    <w:autoSpaceDN/>
                    <w:bidi w:val="0"/>
                    <w:adjustRightInd/>
                    <w:snapToGrid/>
                    <w:spacing w:before="20" w:beforeAutospacing="0" w:after="0" w:afterAutospacing="0" w:line="240" w:lineRule="auto"/>
                    <w:ind w:left="109" w:right="0"/>
                    <w:jc w:val="center"/>
                    <w:textAlignment w:val="auto"/>
                    <w:rPr>
                      <w:rFonts w:hint="eastAsia" w:ascii="Times New Roman" w:hAnsi="Times New Roman" w:eastAsia="宋体" w:cs="Times New Roman"/>
                      <w:color w:val="auto"/>
                      <w:sz w:val="21"/>
                      <w:lang w:eastAsia="zh-CN"/>
                    </w:rPr>
                  </w:pPr>
                  <w:r>
                    <w:rPr>
                      <w:rFonts w:hint="eastAsia" w:ascii="Times New Roman" w:hAnsi="Times New Roman" w:eastAsia="宋体" w:cs="Times New Roman"/>
                      <w:color w:val="auto"/>
                      <w:sz w:val="21"/>
                      <w:lang w:eastAsia="zh-CN"/>
                    </w:rPr>
                    <w:t>噪声</w:t>
                  </w:r>
                </w:p>
              </w:tc>
              <w:tc>
                <w:tcPr>
                  <w:tcW w:w="3689" w:type="pct"/>
                  <w:gridSpan w:val="2"/>
                  <w:vAlign w:val="center"/>
                </w:tcPr>
                <w:p w14:paraId="2E5038FA">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aps w:val="0"/>
                      <w:color w:val="auto"/>
                      <w:spacing w:val="0"/>
                      <w:position w:val="0"/>
                      <w:sz w:val="21"/>
                      <w:szCs w:val="21"/>
                      <w:highlight w:val="none"/>
                      <w:lang w:eastAsia="zh-CN"/>
                    </w:rPr>
                    <w:t>选用低噪声设备</w:t>
                  </w:r>
                  <w:r>
                    <w:rPr>
                      <w:rFonts w:hint="eastAsia" w:cs="Times New Roman"/>
                      <w:caps w:val="0"/>
                      <w:color w:val="auto"/>
                      <w:spacing w:val="0"/>
                      <w:position w:val="0"/>
                      <w:sz w:val="21"/>
                      <w:szCs w:val="21"/>
                      <w:highlight w:val="none"/>
                      <w:lang w:eastAsia="zh-CN"/>
                    </w:rPr>
                    <w:t>、</w:t>
                  </w:r>
                  <w:r>
                    <w:rPr>
                      <w:rFonts w:hint="default" w:ascii="Times New Roman" w:hAnsi="Times New Roman" w:eastAsia="宋体" w:cs="Times New Roman"/>
                      <w:color w:val="auto"/>
                      <w:sz w:val="21"/>
                      <w:lang w:val="en-US" w:eastAsia="zh-CN"/>
                    </w:rPr>
                    <w:t>合理布局、厂房隔声</w:t>
                  </w:r>
                </w:p>
              </w:tc>
              <w:tc>
                <w:tcPr>
                  <w:tcW w:w="777" w:type="pct"/>
                  <w:vAlign w:val="center"/>
                </w:tcPr>
                <w:p w14:paraId="132E1FB4">
                  <w:pPr>
                    <w:pStyle w:val="41"/>
                    <w:keepNext w:val="0"/>
                    <w:keepLines w:val="0"/>
                    <w:suppressLineNumbers w:val="0"/>
                    <w:spacing w:before="20" w:beforeAutospacing="0" w:after="0" w:afterAutospacing="0" w:line="240" w:lineRule="auto"/>
                    <w:ind w:left="108" w:right="0"/>
                    <w:jc w:val="center"/>
                    <w:rPr>
                      <w:rFonts w:hint="default" w:ascii="Times New Roman" w:hAnsi="Times New Roman" w:eastAsia="宋体" w:cs="Times New Roman"/>
                      <w:color w:val="auto"/>
                      <w:sz w:val="21"/>
                      <w:lang w:eastAsia="zh-CN"/>
                    </w:rPr>
                  </w:pPr>
                  <w:r>
                    <w:rPr>
                      <w:rFonts w:hint="eastAsia" w:cs="Times New Roman"/>
                      <w:color w:val="auto"/>
                      <w:sz w:val="21"/>
                      <w:lang w:val="en-US" w:eastAsia="zh-CN"/>
                    </w:rPr>
                    <w:t>现有</w:t>
                  </w:r>
                </w:p>
              </w:tc>
            </w:tr>
          </w:tbl>
          <w:p w14:paraId="136FEE68">
            <w:pPr>
              <w:pStyle w:val="69"/>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ind w:left="0" w:right="0"/>
              <w:jc w:val="both"/>
              <w:textAlignment w:val="auto"/>
              <w:rPr>
                <w:rFonts w:hint="default"/>
                <w:color w:val="auto"/>
                <w:spacing w:val="-10"/>
                <w:lang w:val="en-US" w:eastAsia="zh-CN"/>
              </w:rPr>
            </w:pPr>
            <w:r>
              <w:rPr>
                <w:rFonts w:hint="eastAsia" w:cs="Times New Roman"/>
                <w:color w:val="auto"/>
                <w:kern w:val="2"/>
                <w:sz w:val="24"/>
                <w:szCs w:val="24"/>
                <w:lang w:val="en-US" w:eastAsia="zh-CN" w:bidi="ar-SA"/>
              </w:rPr>
              <w:t>厂区</w:t>
            </w:r>
            <w:r>
              <w:rPr>
                <w:rFonts w:hint="eastAsia" w:ascii="Times New Roman" w:hAnsi="Times New Roman" w:eastAsia="宋体" w:cs="Times New Roman"/>
                <w:color w:val="auto"/>
                <w:kern w:val="2"/>
                <w:sz w:val="24"/>
                <w:szCs w:val="24"/>
                <w:lang w:val="en-US" w:eastAsia="zh-CN" w:bidi="ar-SA"/>
              </w:rPr>
              <w:t>设置的甲类仓库主要</w:t>
            </w:r>
            <w:r>
              <w:rPr>
                <w:rFonts w:hint="eastAsia" w:cs="Times New Roman"/>
                <w:color w:val="auto"/>
                <w:kern w:val="2"/>
                <w:sz w:val="24"/>
                <w:szCs w:val="24"/>
                <w:lang w:val="en-US" w:eastAsia="zh-CN" w:bidi="ar-SA"/>
              </w:rPr>
              <w:t>用于</w:t>
            </w:r>
            <w:r>
              <w:rPr>
                <w:rFonts w:hint="eastAsia" w:ascii="Times New Roman" w:hAnsi="Times New Roman" w:eastAsia="宋体" w:cs="Times New Roman"/>
                <w:color w:val="auto"/>
                <w:kern w:val="2"/>
                <w:sz w:val="24"/>
                <w:szCs w:val="24"/>
                <w:lang w:val="en-US" w:eastAsia="zh-CN" w:bidi="ar-SA"/>
              </w:rPr>
              <w:t>成都公司生产的二代永得丽清透半光木器清漆、二代永得丽超白半光木器白漆、二代永得丽超白木器白底漆、PU5058 半光/亚光白漆固化剂、X200C 稀释剂-N等设计有机溶剂的产品</w:t>
            </w:r>
            <w:r>
              <w:rPr>
                <w:rFonts w:hint="eastAsia" w:cs="Times New Roman"/>
                <w:color w:val="auto"/>
                <w:kern w:val="2"/>
                <w:sz w:val="24"/>
                <w:szCs w:val="24"/>
                <w:lang w:val="en-US" w:eastAsia="zh-CN" w:bidi="ar-SA"/>
              </w:rPr>
              <w:t>暂存，暂存后直接外售，但本次扩建内容不涉及甲类仓库，甲类仓库内相关的环境风险物质</w:t>
            </w:r>
            <w:r>
              <w:rPr>
                <w:rFonts w:hint="eastAsia" w:ascii="Times New Roman" w:hAnsi="Times New Roman" w:eastAsia="宋体" w:cs="Times New Roman"/>
                <w:color w:val="auto"/>
                <w:kern w:val="2"/>
                <w:sz w:val="24"/>
                <w:szCs w:val="24"/>
                <w:lang w:val="en-US" w:eastAsia="zh-CN" w:bidi="ar-SA"/>
              </w:rPr>
              <w:t>最大</w:t>
            </w:r>
            <w:r>
              <w:rPr>
                <w:rFonts w:hint="eastAsia" w:cs="Times New Roman"/>
                <w:color w:val="auto"/>
                <w:kern w:val="2"/>
                <w:sz w:val="24"/>
                <w:szCs w:val="24"/>
                <w:lang w:val="en-US" w:eastAsia="zh-CN" w:bidi="ar-SA"/>
              </w:rPr>
              <w:t>暂</w:t>
            </w:r>
            <w:r>
              <w:rPr>
                <w:rFonts w:hint="eastAsia" w:ascii="Times New Roman" w:hAnsi="Times New Roman" w:eastAsia="宋体" w:cs="Times New Roman"/>
                <w:color w:val="auto"/>
                <w:kern w:val="2"/>
                <w:sz w:val="24"/>
                <w:szCs w:val="24"/>
                <w:lang w:val="en-US" w:eastAsia="zh-CN" w:bidi="ar-SA"/>
              </w:rPr>
              <w:t>存量</w:t>
            </w:r>
            <w:r>
              <w:rPr>
                <w:rFonts w:hint="eastAsia" w:cs="Times New Roman"/>
                <w:color w:val="auto"/>
                <w:kern w:val="2"/>
                <w:sz w:val="24"/>
                <w:szCs w:val="24"/>
                <w:lang w:val="en-US" w:eastAsia="zh-CN" w:bidi="ar-SA"/>
              </w:rPr>
              <w:t>不变。</w:t>
            </w:r>
          </w:p>
          <w:p w14:paraId="4D46B21C">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4、主要产品及产能</w:t>
            </w:r>
          </w:p>
          <w:p w14:paraId="4134F1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bookmarkStart w:id="5" w:name="_Toc14957202"/>
            <w:r>
              <w:rPr>
                <w:rFonts w:hint="default" w:ascii="Times New Roman" w:hAnsi="Times New Roman" w:eastAsia="宋体" w:cs="Times New Roman"/>
                <w:color w:val="auto"/>
                <w:sz w:val="24"/>
                <w:szCs w:val="24"/>
                <w:lang w:val="en-US" w:eastAsia="zh-CN"/>
              </w:rPr>
              <w:t>本项目建成后，全厂生产水性涂料100000吨/年、腻子粉120000吨/年。</w:t>
            </w:r>
            <w:bookmarkEnd w:id="5"/>
          </w:p>
          <w:p w14:paraId="0EF1A6EF">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zh-CN" w:eastAsia="zh-CN" w:bidi="ar-SA"/>
              </w:rPr>
              <w:t>表</w:t>
            </w:r>
            <w:r>
              <w:rPr>
                <w:rFonts w:hint="default" w:ascii="Times New Roman" w:hAnsi="Times New Roman" w:eastAsia="宋体" w:cs="Times New Roman"/>
                <w:b/>
                <w:bCs/>
                <w:color w:val="auto"/>
                <w:kern w:val="2"/>
                <w:sz w:val="21"/>
                <w:szCs w:val="21"/>
                <w:highlight w:val="none"/>
                <w:lang w:val="en-US" w:eastAsia="zh-CN" w:bidi="ar-SA"/>
              </w:rPr>
              <w:t>2-</w:t>
            </w:r>
            <w:r>
              <w:rPr>
                <w:rFonts w:hint="eastAsia" w:cs="Times New Roman"/>
                <w:b/>
                <w:bCs/>
                <w:color w:val="auto"/>
                <w:kern w:val="2"/>
                <w:sz w:val="21"/>
                <w:szCs w:val="21"/>
                <w:highlight w:val="none"/>
                <w:lang w:val="en-US" w:eastAsia="zh-CN" w:bidi="ar-SA"/>
              </w:rPr>
              <w:t>3</w:t>
            </w:r>
            <w:r>
              <w:rPr>
                <w:rFonts w:hint="default" w:ascii="Times New Roman" w:hAnsi="Times New Roman" w:eastAsia="宋体" w:cs="Times New Roman"/>
                <w:b/>
                <w:bCs/>
                <w:color w:val="auto"/>
                <w:kern w:val="2"/>
                <w:sz w:val="21"/>
                <w:szCs w:val="21"/>
                <w:highlight w:val="none"/>
                <w:lang w:val="en-US" w:eastAsia="zh-CN" w:bidi="ar-SA"/>
              </w:rPr>
              <w:t xml:space="preserve">  产品及产能一览表</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51"/>
              <w:gridCol w:w="1288"/>
              <w:gridCol w:w="1915"/>
              <w:gridCol w:w="2629"/>
              <w:gridCol w:w="1692"/>
            </w:tblGrid>
            <w:tr w14:paraId="297FE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508" w:type="pct"/>
                </w:tcPr>
                <w:p w14:paraId="4B49D0CE">
                  <w:pPr>
                    <w:pStyle w:val="41"/>
                    <w:keepNext w:val="0"/>
                    <w:keepLines w:val="0"/>
                    <w:suppressLineNumbers w:val="0"/>
                    <w:spacing w:before="18" w:beforeAutospacing="0" w:after="0" w:afterAutospacing="0"/>
                    <w:ind w:left="178" w:right="169"/>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序号</w:t>
                  </w:r>
                </w:p>
              </w:tc>
              <w:tc>
                <w:tcPr>
                  <w:tcW w:w="1912" w:type="pct"/>
                  <w:gridSpan w:val="2"/>
                </w:tcPr>
                <w:p w14:paraId="3FE4F302">
                  <w:pPr>
                    <w:pStyle w:val="41"/>
                    <w:keepNext w:val="0"/>
                    <w:keepLines w:val="0"/>
                    <w:suppressLineNumbers w:val="0"/>
                    <w:spacing w:before="18" w:beforeAutospacing="0" w:after="0" w:afterAutospacing="0"/>
                    <w:ind w:left="1305" w:right="1296"/>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名称</w:t>
                  </w:r>
                </w:p>
              </w:tc>
              <w:tc>
                <w:tcPr>
                  <w:tcW w:w="1569" w:type="pct"/>
                </w:tcPr>
                <w:p w14:paraId="4DB74248">
                  <w:pPr>
                    <w:pStyle w:val="41"/>
                    <w:keepNext w:val="0"/>
                    <w:keepLines w:val="0"/>
                    <w:suppressLineNumbers w:val="0"/>
                    <w:spacing w:before="18" w:beforeAutospacing="0" w:after="0" w:afterAutospacing="0"/>
                    <w:ind w:left="715" w:right="705"/>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数量（吨）</w:t>
                  </w:r>
                </w:p>
              </w:tc>
              <w:tc>
                <w:tcPr>
                  <w:tcW w:w="1010" w:type="pct"/>
                </w:tcPr>
                <w:p w14:paraId="6D98649F">
                  <w:pPr>
                    <w:pStyle w:val="41"/>
                    <w:keepNext w:val="0"/>
                    <w:keepLines w:val="0"/>
                    <w:suppressLineNumbers w:val="0"/>
                    <w:spacing w:before="18" w:beforeAutospacing="0" w:after="0" w:afterAutospacing="0"/>
                    <w:ind w:left="46" w:right="34"/>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备注</w:t>
                  </w:r>
                </w:p>
              </w:tc>
            </w:tr>
            <w:tr w14:paraId="4816C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08" w:type="pct"/>
                  <w:vMerge w:val="restart"/>
                  <w:vAlign w:val="center"/>
                </w:tcPr>
                <w:p w14:paraId="16B18F74">
                  <w:pPr>
                    <w:pStyle w:val="41"/>
                    <w:keepNext w:val="0"/>
                    <w:keepLines w:val="0"/>
                    <w:suppressLineNumbers w:val="0"/>
                    <w:spacing w:before="23" w:beforeAutospacing="0" w:after="0" w:afterAutospacing="0"/>
                    <w:ind w:left="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w w:val="100"/>
                      <w:sz w:val="21"/>
                    </w:rPr>
                    <w:t>1</w:t>
                  </w:r>
                </w:p>
              </w:tc>
              <w:tc>
                <w:tcPr>
                  <w:tcW w:w="769" w:type="pct"/>
                  <w:vMerge w:val="restart"/>
                  <w:vAlign w:val="center"/>
                </w:tcPr>
                <w:p w14:paraId="04DBD1DB">
                  <w:pPr>
                    <w:pStyle w:val="41"/>
                    <w:keepNext w:val="0"/>
                    <w:keepLines w:val="0"/>
                    <w:suppressLineNumbers w:val="0"/>
                    <w:spacing w:before="23" w:beforeAutospacing="0" w:after="0" w:afterAutospacing="0"/>
                    <w:ind w:left="196"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水性涂料</w:t>
                  </w:r>
                </w:p>
              </w:tc>
              <w:tc>
                <w:tcPr>
                  <w:tcW w:w="1143" w:type="pct"/>
                </w:tcPr>
                <w:p w14:paraId="5FECBC8D">
                  <w:pPr>
                    <w:pStyle w:val="41"/>
                    <w:keepNext w:val="0"/>
                    <w:keepLines w:val="0"/>
                    <w:suppressLineNumbers w:val="0"/>
                    <w:spacing w:before="23" w:beforeAutospacing="0" w:after="0" w:afterAutospacing="0" w:line="269" w:lineRule="exact"/>
                    <w:ind w:left="371" w:right="364"/>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水性乳胶漆</w:t>
                  </w:r>
                </w:p>
              </w:tc>
              <w:tc>
                <w:tcPr>
                  <w:tcW w:w="1569" w:type="pct"/>
                </w:tcPr>
                <w:p w14:paraId="21838E59">
                  <w:pPr>
                    <w:pStyle w:val="41"/>
                    <w:keepNext w:val="0"/>
                    <w:keepLines w:val="0"/>
                    <w:suppressLineNumbers w:val="0"/>
                    <w:tabs>
                      <w:tab w:val="left" w:pos="510"/>
                      <w:tab w:val="center" w:pos="1322"/>
                    </w:tabs>
                    <w:spacing w:before="23" w:beforeAutospacing="0" w:after="0" w:afterAutospacing="0" w:line="269" w:lineRule="exact"/>
                    <w:ind w:left="715" w:right="700"/>
                    <w:jc w:val="left"/>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ab/>
                  </w:r>
                  <w:r>
                    <w:rPr>
                      <w:rFonts w:hint="default" w:ascii="Times New Roman" w:hAnsi="Times New Roman" w:eastAsia="宋体" w:cs="Times New Roman"/>
                      <w:color w:val="auto"/>
                      <w:sz w:val="21"/>
                      <w:lang w:val="en-US" w:eastAsia="zh-CN"/>
                    </w:rPr>
                    <w:t>7500</w:t>
                  </w:r>
                  <w:r>
                    <w:rPr>
                      <w:rFonts w:hint="eastAsia" w:cs="Times New Roman"/>
                      <w:color w:val="auto"/>
                      <w:sz w:val="21"/>
                      <w:lang w:val="en-US" w:eastAsia="zh-CN"/>
                    </w:rPr>
                    <w:t>0</w:t>
                  </w:r>
                </w:p>
              </w:tc>
              <w:tc>
                <w:tcPr>
                  <w:tcW w:w="1010" w:type="pct"/>
                </w:tcPr>
                <w:p w14:paraId="1C580366">
                  <w:pPr>
                    <w:pStyle w:val="41"/>
                    <w:keepNext w:val="0"/>
                    <w:keepLines w:val="0"/>
                    <w:suppressLineNumbers w:val="0"/>
                    <w:spacing w:before="23" w:beforeAutospacing="0" w:after="0" w:afterAutospacing="0" w:line="269" w:lineRule="exact"/>
                    <w:ind w:left="42" w:right="34"/>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白色系</w:t>
                  </w:r>
                </w:p>
              </w:tc>
            </w:tr>
            <w:tr w14:paraId="3762D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08" w:type="pct"/>
                  <w:vMerge w:val="continue"/>
                  <w:tcBorders>
                    <w:top w:val="nil"/>
                  </w:tcBorders>
                </w:tcPr>
                <w:p w14:paraId="52F26AC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
                      <w:szCs w:val="2"/>
                    </w:rPr>
                  </w:pPr>
                </w:p>
              </w:tc>
              <w:tc>
                <w:tcPr>
                  <w:tcW w:w="769" w:type="pct"/>
                  <w:vMerge w:val="continue"/>
                  <w:tcBorders>
                    <w:top w:val="nil"/>
                  </w:tcBorders>
                </w:tcPr>
                <w:p w14:paraId="0C749B1B">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
                      <w:szCs w:val="2"/>
                    </w:rPr>
                  </w:pPr>
                </w:p>
              </w:tc>
              <w:tc>
                <w:tcPr>
                  <w:tcW w:w="1143" w:type="pct"/>
                </w:tcPr>
                <w:p w14:paraId="5372A71D">
                  <w:pPr>
                    <w:pStyle w:val="41"/>
                    <w:keepNext w:val="0"/>
                    <w:keepLines w:val="0"/>
                    <w:suppressLineNumbers w:val="0"/>
                    <w:spacing w:before="23" w:beforeAutospacing="0" w:after="0" w:afterAutospacing="0"/>
                    <w:ind w:left="371" w:right="36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砂壁</w:t>
                  </w:r>
                </w:p>
              </w:tc>
              <w:tc>
                <w:tcPr>
                  <w:tcW w:w="1569" w:type="pct"/>
                </w:tcPr>
                <w:p w14:paraId="551D5B1B">
                  <w:pPr>
                    <w:pStyle w:val="41"/>
                    <w:keepNext w:val="0"/>
                    <w:keepLines w:val="0"/>
                    <w:suppressLineNumbers w:val="0"/>
                    <w:spacing w:before="23" w:beforeAutospacing="0" w:after="0" w:afterAutospacing="0"/>
                    <w:ind w:left="715" w:right="70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25000</w:t>
                  </w:r>
                </w:p>
              </w:tc>
              <w:tc>
                <w:tcPr>
                  <w:tcW w:w="1010" w:type="pct"/>
                </w:tcPr>
                <w:p w14:paraId="3CE965C7">
                  <w:pPr>
                    <w:pStyle w:val="41"/>
                    <w:keepNext w:val="0"/>
                    <w:keepLines w:val="0"/>
                    <w:suppressLineNumbers w:val="0"/>
                    <w:spacing w:before="23" w:beforeAutospacing="0" w:after="0" w:afterAutospacing="0"/>
                    <w:ind w:left="42" w:right="34"/>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黄、红、黑色系</w:t>
                  </w:r>
                </w:p>
              </w:tc>
            </w:tr>
            <w:tr w14:paraId="66BDD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08" w:type="pct"/>
                </w:tcPr>
                <w:p w14:paraId="36E3A29B">
                  <w:pPr>
                    <w:pStyle w:val="41"/>
                    <w:keepNext w:val="0"/>
                    <w:keepLines w:val="0"/>
                    <w:suppressLineNumbers w:val="0"/>
                    <w:spacing w:before="22" w:beforeAutospacing="0" w:after="0" w:afterAutospacing="0"/>
                    <w:ind w:left="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w w:val="100"/>
                      <w:sz w:val="21"/>
                    </w:rPr>
                    <w:t>2</w:t>
                  </w:r>
                </w:p>
              </w:tc>
              <w:tc>
                <w:tcPr>
                  <w:tcW w:w="1912" w:type="pct"/>
                  <w:gridSpan w:val="2"/>
                </w:tcPr>
                <w:p w14:paraId="3A6692B8">
                  <w:pPr>
                    <w:pStyle w:val="41"/>
                    <w:keepNext w:val="0"/>
                    <w:keepLines w:val="0"/>
                    <w:suppressLineNumbers w:val="0"/>
                    <w:spacing w:before="22" w:beforeAutospacing="0" w:after="0" w:afterAutospacing="0"/>
                    <w:ind w:left="1007" w:right="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腻子粉涂料</w:t>
                  </w:r>
                </w:p>
              </w:tc>
              <w:tc>
                <w:tcPr>
                  <w:tcW w:w="1569" w:type="pct"/>
                </w:tcPr>
                <w:p w14:paraId="3BEBE45A">
                  <w:pPr>
                    <w:pStyle w:val="41"/>
                    <w:keepNext w:val="0"/>
                    <w:keepLines w:val="0"/>
                    <w:suppressLineNumbers w:val="0"/>
                    <w:spacing w:before="22" w:beforeAutospacing="0" w:after="0" w:afterAutospacing="0"/>
                    <w:ind w:left="715" w:right="705"/>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12000</w:t>
                  </w:r>
                  <w:r>
                    <w:rPr>
                      <w:rFonts w:hint="eastAsia" w:cs="Times New Roman"/>
                      <w:color w:val="auto"/>
                      <w:sz w:val="21"/>
                      <w:lang w:val="en-US" w:eastAsia="zh-CN"/>
                    </w:rPr>
                    <w:t>0</w:t>
                  </w:r>
                </w:p>
              </w:tc>
              <w:tc>
                <w:tcPr>
                  <w:tcW w:w="1010" w:type="pct"/>
                </w:tcPr>
                <w:p w14:paraId="2ACB7EB9">
                  <w:pPr>
                    <w:pStyle w:val="41"/>
                    <w:keepNext w:val="0"/>
                    <w:keepLines w:val="0"/>
                    <w:suppressLineNumbers w:val="0"/>
                    <w:spacing w:before="22" w:beforeAutospacing="0" w:after="0" w:afterAutospacing="0"/>
                    <w:ind w:left="42" w:right="34"/>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白色系</w:t>
                  </w:r>
                </w:p>
              </w:tc>
            </w:tr>
            <w:tr w14:paraId="4857D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08" w:type="pct"/>
                </w:tcPr>
                <w:p w14:paraId="3D0AC2E4">
                  <w:pPr>
                    <w:pStyle w:val="41"/>
                    <w:keepNext w:val="0"/>
                    <w:keepLines w:val="0"/>
                    <w:suppressLineNumbers w:val="0"/>
                    <w:spacing w:before="22" w:beforeAutospacing="0" w:after="0" w:afterAutospacing="0"/>
                    <w:ind w:left="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w w:val="100"/>
                      <w:sz w:val="21"/>
                    </w:rPr>
                    <w:t>3</w:t>
                  </w:r>
                </w:p>
              </w:tc>
              <w:tc>
                <w:tcPr>
                  <w:tcW w:w="1912" w:type="pct"/>
                  <w:gridSpan w:val="2"/>
                </w:tcPr>
                <w:p w14:paraId="47EDFF51">
                  <w:pPr>
                    <w:pStyle w:val="41"/>
                    <w:keepNext w:val="0"/>
                    <w:keepLines w:val="0"/>
                    <w:suppressLineNumbers w:val="0"/>
                    <w:spacing w:before="22" w:beforeAutospacing="0" w:after="0" w:afterAutospacing="0"/>
                    <w:ind w:left="1305" w:right="1296"/>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总计</w:t>
                  </w:r>
                </w:p>
              </w:tc>
              <w:tc>
                <w:tcPr>
                  <w:tcW w:w="1569" w:type="pct"/>
                </w:tcPr>
                <w:p w14:paraId="3B469599">
                  <w:pPr>
                    <w:pStyle w:val="41"/>
                    <w:keepNext w:val="0"/>
                    <w:keepLines w:val="0"/>
                    <w:suppressLineNumbers w:val="0"/>
                    <w:spacing w:before="22" w:beforeAutospacing="0" w:after="0" w:afterAutospacing="0"/>
                    <w:ind w:left="715" w:right="70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220000</w:t>
                  </w:r>
                </w:p>
              </w:tc>
              <w:tc>
                <w:tcPr>
                  <w:tcW w:w="1010" w:type="pct"/>
                </w:tcPr>
                <w:p w14:paraId="5F1A6D1C">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2"/>
                      <w:lang w:val="en-US" w:eastAsia="zh-CN"/>
                    </w:rPr>
                  </w:pPr>
                  <w:r>
                    <w:rPr>
                      <w:rFonts w:hint="default" w:ascii="Times New Roman" w:hAnsi="Times New Roman" w:eastAsia="宋体" w:cs="Times New Roman"/>
                      <w:color w:val="auto"/>
                      <w:sz w:val="22"/>
                      <w:lang w:val="en-US" w:eastAsia="zh-CN"/>
                    </w:rPr>
                    <w:t>/</w:t>
                  </w:r>
                </w:p>
              </w:tc>
            </w:tr>
          </w:tbl>
          <w:p w14:paraId="766A8ACB">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6、主要生产设施及设施参数</w:t>
            </w:r>
          </w:p>
          <w:p w14:paraId="77D4A1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本项目建成后，</w:t>
            </w:r>
            <w:r>
              <w:rPr>
                <w:rFonts w:hint="eastAsia" w:cs="Times New Roman"/>
                <w:color w:val="auto"/>
                <w:sz w:val="24"/>
                <w:szCs w:val="24"/>
                <w:lang w:val="en-US" w:eastAsia="zh-CN"/>
              </w:rPr>
              <w:t>厂区</w:t>
            </w:r>
            <w:r>
              <w:rPr>
                <w:rFonts w:hint="default" w:ascii="Times New Roman" w:hAnsi="Times New Roman" w:eastAsia="宋体" w:cs="Times New Roman"/>
                <w:color w:val="auto"/>
                <w:sz w:val="24"/>
                <w:szCs w:val="24"/>
                <w:lang w:val="en-US" w:eastAsia="zh-CN"/>
              </w:rPr>
              <w:t>主要</w:t>
            </w:r>
            <w:r>
              <w:rPr>
                <w:rFonts w:hint="eastAsia" w:cs="Times New Roman"/>
                <w:color w:val="auto"/>
                <w:sz w:val="24"/>
                <w:szCs w:val="24"/>
                <w:lang w:val="en-US" w:eastAsia="zh-CN"/>
              </w:rPr>
              <w:t>生产</w:t>
            </w:r>
            <w:r>
              <w:rPr>
                <w:rFonts w:hint="default" w:ascii="Times New Roman" w:hAnsi="Times New Roman" w:eastAsia="宋体" w:cs="Times New Roman"/>
                <w:color w:val="auto"/>
                <w:sz w:val="24"/>
                <w:szCs w:val="24"/>
                <w:lang w:val="en-US" w:eastAsia="zh-CN"/>
              </w:rPr>
              <w:t>设备见表2-4。</w:t>
            </w:r>
          </w:p>
          <w:p w14:paraId="33C17B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 xml:space="preserve">表2-4  </w:t>
            </w:r>
            <w:r>
              <w:rPr>
                <w:rFonts w:hint="eastAsia" w:cs="Times New Roman"/>
                <w:b/>
                <w:bCs/>
                <w:color w:val="auto"/>
                <w:sz w:val="21"/>
                <w:szCs w:val="21"/>
                <w:lang w:val="en-US" w:eastAsia="zh-CN"/>
              </w:rPr>
              <w:t xml:space="preserve"> 厂区</w:t>
            </w:r>
            <w:r>
              <w:rPr>
                <w:rFonts w:hint="default" w:ascii="Times New Roman" w:hAnsi="Times New Roman" w:eastAsia="宋体" w:cs="Times New Roman"/>
                <w:b/>
                <w:bCs/>
                <w:color w:val="auto"/>
                <w:sz w:val="21"/>
                <w:szCs w:val="21"/>
                <w:lang w:val="en-US" w:eastAsia="zh-CN"/>
              </w:rPr>
              <w:t>主要</w:t>
            </w:r>
            <w:r>
              <w:rPr>
                <w:rFonts w:hint="eastAsia" w:cs="Times New Roman"/>
                <w:b/>
                <w:bCs/>
                <w:color w:val="auto"/>
                <w:sz w:val="21"/>
                <w:szCs w:val="21"/>
                <w:lang w:val="en-US" w:eastAsia="zh-CN"/>
              </w:rPr>
              <w:t>生产</w:t>
            </w:r>
            <w:r>
              <w:rPr>
                <w:rFonts w:hint="default" w:ascii="Times New Roman" w:hAnsi="Times New Roman" w:eastAsia="宋体" w:cs="Times New Roman"/>
                <w:b/>
                <w:bCs/>
                <w:color w:val="auto"/>
                <w:sz w:val="21"/>
                <w:szCs w:val="21"/>
                <w:lang w:val="en-US" w:eastAsia="zh-CN"/>
              </w:rPr>
              <w:t>设备</w:t>
            </w:r>
            <w:r>
              <w:rPr>
                <w:rFonts w:hint="eastAsia" w:cs="Times New Roman"/>
                <w:b/>
                <w:bCs/>
                <w:color w:val="auto"/>
                <w:sz w:val="21"/>
                <w:szCs w:val="21"/>
                <w:lang w:val="en-US" w:eastAsia="zh-CN"/>
              </w:rPr>
              <w:t>一览表</w:t>
            </w:r>
          </w:p>
          <w:tbl>
            <w:tblPr>
              <w:tblStyle w:val="2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29"/>
              <w:gridCol w:w="752"/>
              <w:gridCol w:w="1831"/>
              <w:gridCol w:w="1791"/>
              <w:gridCol w:w="1002"/>
              <w:gridCol w:w="707"/>
              <w:gridCol w:w="731"/>
              <w:gridCol w:w="732"/>
            </w:tblGrid>
            <w:tr w14:paraId="282CF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Align w:val="center"/>
                </w:tcPr>
                <w:p w14:paraId="0F87E6D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生产线</w:t>
                  </w:r>
                </w:p>
              </w:tc>
              <w:tc>
                <w:tcPr>
                  <w:tcW w:w="449" w:type="pct"/>
                  <w:vAlign w:val="center"/>
                </w:tcPr>
                <w:p w14:paraId="15EE98F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093" w:type="pct"/>
                  <w:vAlign w:val="center"/>
                </w:tcPr>
                <w:p w14:paraId="7F9A4A6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设备名称</w:t>
                  </w:r>
                </w:p>
              </w:tc>
              <w:tc>
                <w:tcPr>
                  <w:tcW w:w="1069" w:type="pct"/>
                  <w:vAlign w:val="center"/>
                </w:tcPr>
                <w:p w14:paraId="4B72464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参数</w:t>
                  </w:r>
                </w:p>
              </w:tc>
              <w:tc>
                <w:tcPr>
                  <w:tcW w:w="598" w:type="pct"/>
                  <w:vAlign w:val="center"/>
                </w:tcPr>
                <w:p w14:paraId="04E6446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功率</w:t>
                  </w:r>
                </w:p>
              </w:tc>
              <w:tc>
                <w:tcPr>
                  <w:tcW w:w="422" w:type="pct"/>
                  <w:vAlign w:val="center"/>
                </w:tcPr>
                <w:p w14:paraId="0C7733A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436" w:type="pct"/>
                  <w:vAlign w:val="center"/>
                </w:tcPr>
                <w:p w14:paraId="11D06F0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c>
                <w:tcPr>
                  <w:tcW w:w="436" w:type="pct"/>
                  <w:vAlign w:val="center"/>
                </w:tcPr>
                <w:p w14:paraId="61CD476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备注</w:t>
                  </w:r>
                </w:p>
              </w:tc>
            </w:tr>
            <w:tr w14:paraId="23880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95" w:type="pct"/>
                  <w:vMerge w:val="restart"/>
                  <w:vAlign w:val="center"/>
                </w:tcPr>
                <w:p w14:paraId="7BF0E4A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水性乳胶漆生产线</w:t>
                  </w:r>
                </w:p>
              </w:tc>
              <w:tc>
                <w:tcPr>
                  <w:tcW w:w="449" w:type="pct"/>
                  <w:vAlign w:val="center"/>
                </w:tcPr>
                <w:p w14:paraId="158E268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1093" w:type="pct"/>
                  <w:vAlign w:val="center"/>
                </w:tcPr>
                <w:p w14:paraId="0B2A4FB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搅拌机</w:t>
                  </w:r>
                </w:p>
              </w:tc>
              <w:tc>
                <w:tcPr>
                  <w:tcW w:w="1069" w:type="pct"/>
                  <w:vAlign w:val="center"/>
                </w:tcPr>
                <w:p w14:paraId="6C27D3F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8000L 缸</w:t>
                  </w:r>
                </w:p>
              </w:tc>
              <w:tc>
                <w:tcPr>
                  <w:tcW w:w="598" w:type="pct"/>
                  <w:vAlign w:val="center"/>
                </w:tcPr>
                <w:p w14:paraId="7809743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250kw</w:t>
                  </w:r>
                </w:p>
              </w:tc>
              <w:tc>
                <w:tcPr>
                  <w:tcW w:w="422" w:type="pct"/>
                  <w:vAlign w:val="center"/>
                </w:tcPr>
                <w:p w14:paraId="5A889DA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0480588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restart"/>
                  <w:vAlign w:val="center"/>
                </w:tcPr>
                <w:p w14:paraId="62265EF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r>
                    <w:rPr>
                      <w:rFonts w:hint="default" w:ascii="Times New Roman" w:hAnsi="Times New Roman" w:eastAsia="宋体" w:cs="Times New Roman"/>
                      <w:color w:val="auto"/>
                      <w:w w:val="100"/>
                      <w:sz w:val="21"/>
                      <w:szCs w:val="21"/>
                      <w:lang w:eastAsia="zh-CN"/>
                    </w:rPr>
                    <w:t>原项目已建成</w:t>
                  </w:r>
                </w:p>
              </w:tc>
            </w:tr>
            <w:tr w14:paraId="0810C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76D2F77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35D98E7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1093" w:type="pct"/>
                  <w:vAlign w:val="center"/>
                </w:tcPr>
                <w:p w14:paraId="4E4404A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搅拌机</w:t>
                  </w:r>
                </w:p>
              </w:tc>
              <w:tc>
                <w:tcPr>
                  <w:tcW w:w="1069" w:type="pct"/>
                  <w:vAlign w:val="center"/>
                </w:tcPr>
                <w:p w14:paraId="670E6DC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10000L 缸</w:t>
                  </w:r>
                </w:p>
              </w:tc>
              <w:tc>
                <w:tcPr>
                  <w:tcW w:w="598" w:type="pct"/>
                  <w:vAlign w:val="center"/>
                </w:tcPr>
                <w:p w14:paraId="1186B52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45kw</w:t>
                  </w:r>
                </w:p>
              </w:tc>
              <w:tc>
                <w:tcPr>
                  <w:tcW w:w="422" w:type="pct"/>
                  <w:vAlign w:val="center"/>
                </w:tcPr>
                <w:p w14:paraId="76AA621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66B9C97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436" w:type="pct"/>
                  <w:vMerge w:val="continue"/>
                  <w:vAlign w:val="center"/>
                </w:tcPr>
                <w:p w14:paraId="1FBF7F1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75578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05A33E8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1606A67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w w:val="100"/>
                      <w:sz w:val="21"/>
                      <w:szCs w:val="21"/>
                      <w:lang w:val="en-US" w:eastAsia="zh-CN"/>
                    </w:rPr>
                    <w:t>3</w:t>
                  </w:r>
                </w:p>
              </w:tc>
              <w:tc>
                <w:tcPr>
                  <w:tcW w:w="1093" w:type="pct"/>
                  <w:vAlign w:val="center"/>
                </w:tcPr>
                <w:p w14:paraId="782AE66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码垛机</w:t>
                  </w:r>
                </w:p>
              </w:tc>
              <w:tc>
                <w:tcPr>
                  <w:tcW w:w="1069" w:type="pct"/>
                  <w:vAlign w:val="center"/>
                </w:tcPr>
                <w:p w14:paraId="76BED73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98" w:type="pct"/>
                  <w:vAlign w:val="center"/>
                </w:tcPr>
                <w:p w14:paraId="329B247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10kw</w:t>
                  </w:r>
                </w:p>
              </w:tc>
              <w:tc>
                <w:tcPr>
                  <w:tcW w:w="422" w:type="pct"/>
                  <w:vAlign w:val="center"/>
                </w:tcPr>
                <w:p w14:paraId="046BC76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7A76B5D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6F56296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47802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6390F6F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6402424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4</w:t>
                  </w:r>
                </w:p>
              </w:tc>
              <w:tc>
                <w:tcPr>
                  <w:tcW w:w="1093" w:type="pct"/>
                  <w:vAlign w:val="center"/>
                </w:tcPr>
                <w:p w14:paraId="0FDABAE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原水罐</w:t>
                  </w:r>
                </w:p>
              </w:tc>
              <w:tc>
                <w:tcPr>
                  <w:tcW w:w="1069" w:type="pct"/>
                  <w:vAlign w:val="center"/>
                </w:tcPr>
                <w:p w14:paraId="37DDB06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 立方</w:t>
                  </w:r>
                </w:p>
              </w:tc>
              <w:tc>
                <w:tcPr>
                  <w:tcW w:w="598" w:type="pct"/>
                  <w:vAlign w:val="center"/>
                </w:tcPr>
                <w:p w14:paraId="398FC37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1B40B1A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1C39E11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01C178A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58978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95" w:type="pct"/>
                  <w:vMerge w:val="continue"/>
                  <w:vAlign w:val="center"/>
                </w:tcPr>
                <w:p w14:paraId="7EB849F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0C2551C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5</w:t>
                  </w:r>
                </w:p>
              </w:tc>
              <w:tc>
                <w:tcPr>
                  <w:tcW w:w="1093" w:type="pct"/>
                  <w:vAlign w:val="center"/>
                </w:tcPr>
                <w:p w14:paraId="4BF8426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乳液罐（+泵）</w:t>
                  </w:r>
                </w:p>
              </w:tc>
              <w:tc>
                <w:tcPr>
                  <w:tcW w:w="1069" w:type="pct"/>
                  <w:vAlign w:val="center"/>
                </w:tcPr>
                <w:p w14:paraId="170D2AD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 寸气动隔膜泵 30 立方</w:t>
                  </w:r>
                </w:p>
              </w:tc>
              <w:tc>
                <w:tcPr>
                  <w:tcW w:w="598" w:type="pct"/>
                  <w:vAlign w:val="center"/>
                </w:tcPr>
                <w:p w14:paraId="389779D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6AAFD68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3607346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8</w:t>
                  </w:r>
                </w:p>
              </w:tc>
              <w:tc>
                <w:tcPr>
                  <w:tcW w:w="436" w:type="pct"/>
                  <w:vMerge w:val="continue"/>
                  <w:vAlign w:val="center"/>
                </w:tcPr>
                <w:p w14:paraId="4197459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42B23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63855D1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5BC9EAD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6</w:t>
                  </w:r>
                </w:p>
              </w:tc>
              <w:tc>
                <w:tcPr>
                  <w:tcW w:w="1093" w:type="pct"/>
                  <w:vAlign w:val="center"/>
                </w:tcPr>
                <w:p w14:paraId="2D5904B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CZ12 罐（+泵）</w:t>
                  </w:r>
                </w:p>
              </w:tc>
              <w:tc>
                <w:tcPr>
                  <w:tcW w:w="1069" w:type="pct"/>
                  <w:vAlign w:val="center"/>
                </w:tcPr>
                <w:p w14:paraId="28034CB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齿轮泵 30 立方</w:t>
                  </w:r>
                </w:p>
              </w:tc>
              <w:tc>
                <w:tcPr>
                  <w:tcW w:w="598" w:type="pct"/>
                  <w:vAlign w:val="center"/>
                </w:tcPr>
                <w:p w14:paraId="488B753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4kw</w:t>
                  </w:r>
                </w:p>
              </w:tc>
              <w:tc>
                <w:tcPr>
                  <w:tcW w:w="422" w:type="pct"/>
                  <w:vAlign w:val="center"/>
                </w:tcPr>
                <w:p w14:paraId="411F69C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325037F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6A7C4F0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06157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95" w:type="pct"/>
                  <w:vMerge w:val="continue"/>
                  <w:vAlign w:val="center"/>
                </w:tcPr>
                <w:p w14:paraId="2F0CCEE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031482E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7</w:t>
                  </w:r>
                </w:p>
              </w:tc>
              <w:tc>
                <w:tcPr>
                  <w:tcW w:w="1093" w:type="pct"/>
                  <w:vAlign w:val="center"/>
                </w:tcPr>
                <w:p w14:paraId="5FB3CB6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乙二醇罐（+泵）</w:t>
                  </w:r>
                </w:p>
              </w:tc>
              <w:tc>
                <w:tcPr>
                  <w:tcW w:w="1069" w:type="pct"/>
                  <w:vAlign w:val="center"/>
                </w:tcPr>
                <w:p w14:paraId="43B8E28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齿轮泵 30 立方</w:t>
                  </w:r>
                </w:p>
              </w:tc>
              <w:tc>
                <w:tcPr>
                  <w:tcW w:w="598" w:type="pct"/>
                  <w:vAlign w:val="center"/>
                </w:tcPr>
                <w:p w14:paraId="0D45A22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4kw</w:t>
                  </w:r>
                </w:p>
              </w:tc>
              <w:tc>
                <w:tcPr>
                  <w:tcW w:w="422" w:type="pct"/>
                  <w:vAlign w:val="center"/>
                </w:tcPr>
                <w:p w14:paraId="3E111BC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35B6D93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4352934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09660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23B00E3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7BCF6CB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8</w:t>
                  </w:r>
                </w:p>
              </w:tc>
              <w:tc>
                <w:tcPr>
                  <w:tcW w:w="1093" w:type="pct"/>
                  <w:vAlign w:val="center"/>
                </w:tcPr>
                <w:p w14:paraId="00FF98A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高压水泵</w:t>
                  </w:r>
                </w:p>
              </w:tc>
              <w:tc>
                <w:tcPr>
                  <w:tcW w:w="1069" w:type="pct"/>
                  <w:vAlign w:val="center"/>
                </w:tcPr>
                <w:p w14:paraId="50D85DA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98" w:type="pct"/>
                  <w:vAlign w:val="center"/>
                </w:tcPr>
                <w:p w14:paraId="760210A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25kw</w:t>
                  </w:r>
                </w:p>
              </w:tc>
              <w:tc>
                <w:tcPr>
                  <w:tcW w:w="422" w:type="pct"/>
                  <w:vAlign w:val="center"/>
                </w:tcPr>
                <w:p w14:paraId="7BE4709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2717F62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25ECBA2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58CB9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3DD991A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4D38CCA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9</w:t>
                  </w:r>
                </w:p>
              </w:tc>
              <w:tc>
                <w:tcPr>
                  <w:tcW w:w="1093" w:type="pct"/>
                  <w:vAlign w:val="center"/>
                </w:tcPr>
                <w:p w14:paraId="07E60E7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投料口收尘处理装置</w:t>
                  </w:r>
                </w:p>
              </w:tc>
              <w:tc>
                <w:tcPr>
                  <w:tcW w:w="1069" w:type="pct"/>
                  <w:vAlign w:val="center"/>
                </w:tcPr>
                <w:p w14:paraId="5353ED4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98" w:type="pct"/>
                  <w:vAlign w:val="center"/>
                </w:tcPr>
                <w:p w14:paraId="641DD2E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7949F4E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3F781E5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32D7AA6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06467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95" w:type="pct"/>
                  <w:vMerge w:val="continue"/>
                  <w:vAlign w:val="center"/>
                </w:tcPr>
                <w:p w14:paraId="755ADE2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2A5EA66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093" w:type="pct"/>
                  <w:vAlign w:val="center"/>
                </w:tcPr>
                <w:p w14:paraId="1474829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乳液原料罐</w:t>
                  </w:r>
                </w:p>
              </w:tc>
              <w:tc>
                <w:tcPr>
                  <w:tcW w:w="1069" w:type="pct"/>
                  <w:vAlign w:val="center"/>
                </w:tcPr>
                <w:p w14:paraId="757D652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30m</w:t>
                  </w:r>
                  <w:r>
                    <w:rPr>
                      <w:rFonts w:hint="default" w:ascii="Times New Roman" w:hAnsi="Times New Roman" w:eastAsia="宋体" w:cs="Times New Roman"/>
                      <w:color w:val="auto"/>
                      <w:sz w:val="21"/>
                      <w:szCs w:val="21"/>
                      <w:vertAlign w:val="superscript"/>
                      <w:lang w:val="en-US" w:eastAsia="zh-CN"/>
                    </w:rPr>
                    <w:t>3</w:t>
                  </w:r>
                </w:p>
              </w:tc>
              <w:tc>
                <w:tcPr>
                  <w:tcW w:w="598" w:type="pct"/>
                  <w:vAlign w:val="center"/>
                </w:tcPr>
                <w:p w14:paraId="0115F96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148589B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436" w:type="pct"/>
                  <w:vAlign w:val="center"/>
                </w:tcPr>
                <w:p w14:paraId="6C8D6F9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5</w:t>
                  </w:r>
                </w:p>
              </w:tc>
              <w:tc>
                <w:tcPr>
                  <w:tcW w:w="436" w:type="pct"/>
                  <w:vMerge w:val="continue"/>
                  <w:vAlign w:val="center"/>
                </w:tcPr>
                <w:p w14:paraId="52F453D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12483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7BEFDCA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5D6426F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093" w:type="pct"/>
                  <w:vAlign w:val="center"/>
                </w:tcPr>
                <w:p w14:paraId="5492C8D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工艺水罐</w:t>
                  </w:r>
                </w:p>
              </w:tc>
              <w:tc>
                <w:tcPr>
                  <w:tcW w:w="1069" w:type="pct"/>
                  <w:vAlign w:val="center"/>
                </w:tcPr>
                <w:p w14:paraId="65A82D1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50m</w:t>
                  </w:r>
                  <w:r>
                    <w:rPr>
                      <w:rFonts w:hint="default" w:ascii="Times New Roman" w:hAnsi="Times New Roman" w:eastAsia="宋体" w:cs="Times New Roman"/>
                      <w:color w:val="auto"/>
                      <w:sz w:val="21"/>
                      <w:szCs w:val="21"/>
                      <w:vertAlign w:val="superscript"/>
                      <w:lang w:val="en-US" w:eastAsia="zh-CN"/>
                    </w:rPr>
                    <w:t>3</w:t>
                  </w:r>
                </w:p>
              </w:tc>
              <w:tc>
                <w:tcPr>
                  <w:tcW w:w="598" w:type="pct"/>
                  <w:vAlign w:val="center"/>
                </w:tcPr>
                <w:p w14:paraId="4A2AE5A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39506DA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436" w:type="pct"/>
                  <w:vAlign w:val="center"/>
                </w:tcPr>
                <w:p w14:paraId="5EB3123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7A3DB06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56983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28BA0AF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184F995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093" w:type="pct"/>
                  <w:vAlign w:val="center"/>
                </w:tcPr>
                <w:p w14:paraId="6BA2803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助剂原料罐</w:t>
                  </w:r>
                </w:p>
              </w:tc>
              <w:tc>
                <w:tcPr>
                  <w:tcW w:w="1069" w:type="pct"/>
                  <w:vAlign w:val="center"/>
                </w:tcPr>
                <w:p w14:paraId="6575644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2000L</w:t>
                  </w:r>
                </w:p>
              </w:tc>
              <w:tc>
                <w:tcPr>
                  <w:tcW w:w="598" w:type="pct"/>
                  <w:vAlign w:val="center"/>
                </w:tcPr>
                <w:p w14:paraId="5E723F2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247FD94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436" w:type="pct"/>
                  <w:vAlign w:val="center"/>
                </w:tcPr>
                <w:p w14:paraId="3EED674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6</w:t>
                  </w:r>
                </w:p>
              </w:tc>
              <w:tc>
                <w:tcPr>
                  <w:tcW w:w="436" w:type="pct"/>
                  <w:vMerge w:val="continue"/>
                  <w:vAlign w:val="center"/>
                </w:tcPr>
                <w:p w14:paraId="225C5D4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5AC09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5AE0CC3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332AB33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093" w:type="pct"/>
                  <w:vAlign w:val="center"/>
                </w:tcPr>
                <w:p w14:paraId="4CD7D00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助剂原料罐</w:t>
                  </w:r>
                </w:p>
              </w:tc>
              <w:tc>
                <w:tcPr>
                  <w:tcW w:w="1069" w:type="pct"/>
                  <w:vAlign w:val="center"/>
                </w:tcPr>
                <w:p w14:paraId="5C14FE6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1000L</w:t>
                  </w:r>
                </w:p>
              </w:tc>
              <w:tc>
                <w:tcPr>
                  <w:tcW w:w="598" w:type="pct"/>
                  <w:vAlign w:val="center"/>
                </w:tcPr>
                <w:p w14:paraId="10C8EA7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3KW</w:t>
                  </w:r>
                </w:p>
              </w:tc>
              <w:tc>
                <w:tcPr>
                  <w:tcW w:w="422" w:type="pct"/>
                  <w:vAlign w:val="center"/>
                </w:tcPr>
                <w:p w14:paraId="301E6F9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436" w:type="pct"/>
                  <w:vAlign w:val="center"/>
                </w:tcPr>
                <w:p w14:paraId="73713F6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436" w:type="pct"/>
                  <w:vMerge w:val="continue"/>
                  <w:vAlign w:val="center"/>
                </w:tcPr>
                <w:p w14:paraId="6140058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6D918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95" w:type="pct"/>
                  <w:vMerge w:val="continue"/>
                  <w:vAlign w:val="center"/>
                </w:tcPr>
                <w:p w14:paraId="77BB07B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41A894C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093" w:type="pct"/>
                  <w:vAlign w:val="center"/>
                </w:tcPr>
                <w:p w14:paraId="491062D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助剂原料罐</w:t>
                  </w:r>
                </w:p>
              </w:tc>
              <w:tc>
                <w:tcPr>
                  <w:tcW w:w="1069" w:type="pct"/>
                  <w:vAlign w:val="center"/>
                </w:tcPr>
                <w:p w14:paraId="3CC87F9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1000L</w:t>
                  </w:r>
                </w:p>
              </w:tc>
              <w:tc>
                <w:tcPr>
                  <w:tcW w:w="598" w:type="pct"/>
                  <w:vAlign w:val="center"/>
                </w:tcPr>
                <w:p w14:paraId="024CD13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2.2KW</w:t>
                  </w:r>
                </w:p>
              </w:tc>
              <w:tc>
                <w:tcPr>
                  <w:tcW w:w="422" w:type="pct"/>
                  <w:vAlign w:val="center"/>
                </w:tcPr>
                <w:p w14:paraId="46C1DF5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436" w:type="pct"/>
                  <w:vAlign w:val="center"/>
                </w:tcPr>
                <w:p w14:paraId="777B972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4</w:t>
                  </w:r>
                </w:p>
              </w:tc>
              <w:tc>
                <w:tcPr>
                  <w:tcW w:w="436" w:type="pct"/>
                  <w:vMerge w:val="continue"/>
                  <w:vAlign w:val="center"/>
                </w:tcPr>
                <w:p w14:paraId="19B1DF5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71A2D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3E2258D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4CC5290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093" w:type="pct"/>
                  <w:vAlign w:val="center"/>
                </w:tcPr>
                <w:p w14:paraId="3261EAC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乳胶漆预混罐</w:t>
                  </w:r>
                </w:p>
              </w:tc>
              <w:tc>
                <w:tcPr>
                  <w:tcW w:w="1069" w:type="pct"/>
                  <w:vAlign w:val="center"/>
                </w:tcPr>
                <w:p w14:paraId="15D1416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8000L</w:t>
                  </w:r>
                </w:p>
              </w:tc>
              <w:tc>
                <w:tcPr>
                  <w:tcW w:w="598" w:type="pct"/>
                  <w:vAlign w:val="center"/>
                </w:tcPr>
                <w:p w14:paraId="57FE13E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200KW</w:t>
                  </w:r>
                </w:p>
              </w:tc>
              <w:tc>
                <w:tcPr>
                  <w:tcW w:w="422" w:type="pct"/>
                  <w:vAlign w:val="center"/>
                </w:tcPr>
                <w:p w14:paraId="580A7D4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436" w:type="pct"/>
                  <w:vAlign w:val="center"/>
                </w:tcPr>
                <w:p w14:paraId="141F04C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73884D7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3C509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054BDE3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6082C21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1093" w:type="pct"/>
                  <w:vAlign w:val="center"/>
                </w:tcPr>
                <w:p w14:paraId="26AC329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乳胶漆调稀罐</w:t>
                  </w:r>
                </w:p>
              </w:tc>
              <w:tc>
                <w:tcPr>
                  <w:tcW w:w="1069" w:type="pct"/>
                  <w:vAlign w:val="center"/>
                </w:tcPr>
                <w:p w14:paraId="03753B4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10000L</w:t>
                  </w:r>
                </w:p>
              </w:tc>
              <w:tc>
                <w:tcPr>
                  <w:tcW w:w="598" w:type="pct"/>
                  <w:vAlign w:val="center"/>
                </w:tcPr>
                <w:p w14:paraId="55998FB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22KW</w:t>
                  </w:r>
                </w:p>
              </w:tc>
              <w:tc>
                <w:tcPr>
                  <w:tcW w:w="422" w:type="pct"/>
                  <w:vAlign w:val="center"/>
                </w:tcPr>
                <w:p w14:paraId="50A2017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436" w:type="pct"/>
                  <w:vAlign w:val="center"/>
                </w:tcPr>
                <w:p w14:paraId="6A953FA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436" w:type="pct"/>
                  <w:vMerge w:val="continue"/>
                  <w:vAlign w:val="center"/>
                </w:tcPr>
                <w:p w14:paraId="06651CF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4BB1F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09A8378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59B0F87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1093" w:type="pct"/>
                  <w:vAlign w:val="center"/>
                </w:tcPr>
                <w:p w14:paraId="0AFD7F1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包装机</w:t>
                  </w:r>
                </w:p>
              </w:tc>
              <w:tc>
                <w:tcPr>
                  <w:tcW w:w="1069" w:type="pct"/>
                  <w:vAlign w:val="center"/>
                </w:tcPr>
                <w:p w14:paraId="777EEA7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2360EA0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3075ED2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1733DB7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253B60C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51E73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358B269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63A9020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1093" w:type="pct"/>
                  <w:vAlign w:val="center"/>
                </w:tcPr>
                <w:p w14:paraId="17BF233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空气压缩机</w:t>
                  </w:r>
                </w:p>
              </w:tc>
              <w:tc>
                <w:tcPr>
                  <w:tcW w:w="1069" w:type="pct"/>
                  <w:vAlign w:val="center"/>
                </w:tcPr>
                <w:p w14:paraId="158AD9E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GAe22P A 8.5</w:t>
                  </w:r>
                </w:p>
              </w:tc>
              <w:tc>
                <w:tcPr>
                  <w:tcW w:w="598" w:type="pct"/>
                  <w:vAlign w:val="center"/>
                </w:tcPr>
                <w:p w14:paraId="66C879A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22KW</w:t>
                  </w:r>
                </w:p>
              </w:tc>
              <w:tc>
                <w:tcPr>
                  <w:tcW w:w="422" w:type="pct"/>
                  <w:vAlign w:val="center"/>
                </w:tcPr>
                <w:p w14:paraId="088FA7D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210DE61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3</w:t>
                  </w:r>
                </w:p>
              </w:tc>
              <w:tc>
                <w:tcPr>
                  <w:tcW w:w="436" w:type="pct"/>
                  <w:vMerge w:val="continue"/>
                  <w:vAlign w:val="center"/>
                </w:tcPr>
                <w:p w14:paraId="27FA36D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51F7F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95" w:type="pct"/>
                  <w:vMerge w:val="continue"/>
                  <w:vAlign w:val="center"/>
                </w:tcPr>
                <w:p w14:paraId="38C05A5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719F5B0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1093" w:type="pct"/>
                  <w:vAlign w:val="center"/>
                </w:tcPr>
                <w:p w14:paraId="65D05C6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空气压缩机</w:t>
                  </w:r>
                </w:p>
              </w:tc>
              <w:tc>
                <w:tcPr>
                  <w:tcW w:w="1069" w:type="pct"/>
                  <w:vAlign w:val="center"/>
                </w:tcPr>
                <w:p w14:paraId="63CBC3B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5E0F742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45kW</w:t>
                  </w:r>
                </w:p>
              </w:tc>
              <w:tc>
                <w:tcPr>
                  <w:tcW w:w="422" w:type="pct"/>
                  <w:vAlign w:val="center"/>
                </w:tcPr>
                <w:p w14:paraId="1584813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1F8BEA7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349DCC4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3D505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56BD575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49040B0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93" w:type="pct"/>
                  <w:vAlign w:val="center"/>
                </w:tcPr>
                <w:p w14:paraId="667FB4B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冷冻式干燥机</w:t>
                  </w:r>
                </w:p>
              </w:tc>
              <w:tc>
                <w:tcPr>
                  <w:tcW w:w="1069" w:type="pct"/>
                  <w:vAlign w:val="center"/>
                </w:tcPr>
                <w:p w14:paraId="1F86C4D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FXe8 8102494633</w:t>
                  </w:r>
                </w:p>
              </w:tc>
              <w:tc>
                <w:tcPr>
                  <w:tcW w:w="598" w:type="pct"/>
                  <w:vAlign w:val="center"/>
                </w:tcPr>
                <w:p w14:paraId="2041394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0.77KW</w:t>
                  </w:r>
                </w:p>
              </w:tc>
              <w:tc>
                <w:tcPr>
                  <w:tcW w:w="422" w:type="pct"/>
                  <w:vAlign w:val="center"/>
                </w:tcPr>
                <w:p w14:paraId="143A247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3C77E4F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6B9FC5D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0EA0C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34285E1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2F5025D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1093" w:type="pct"/>
                  <w:vAlign w:val="center"/>
                </w:tcPr>
                <w:p w14:paraId="5D1E55F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乳胶漆控制室</w:t>
                  </w:r>
                </w:p>
              </w:tc>
              <w:tc>
                <w:tcPr>
                  <w:tcW w:w="1069" w:type="pct"/>
                  <w:vAlign w:val="center"/>
                </w:tcPr>
                <w:p w14:paraId="27D97F4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547D0EB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11B5BCE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0705EA9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2650D7D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16733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72A3756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71DF009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1093" w:type="pct"/>
                  <w:vAlign w:val="center"/>
                </w:tcPr>
                <w:p w14:paraId="0229A1C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工艺水泵</w:t>
                  </w:r>
                </w:p>
              </w:tc>
              <w:tc>
                <w:tcPr>
                  <w:tcW w:w="1069" w:type="pct"/>
                  <w:vAlign w:val="center"/>
                </w:tcPr>
                <w:p w14:paraId="5CFA68C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7BBBFA3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449D9C5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436" w:type="pct"/>
                  <w:vAlign w:val="center"/>
                </w:tcPr>
                <w:p w14:paraId="3CCCB57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436" w:type="pct"/>
                  <w:vMerge w:val="continue"/>
                  <w:vAlign w:val="center"/>
                </w:tcPr>
                <w:p w14:paraId="0D74022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7324A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7925CC9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598FB73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1093" w:type="pct"/>
                  <w:vAlign w:val="center"/>
                </w:tcPr>
                <w:p w14:paraId="776280D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高压水泵</w:t>
                  </w:r>
                </w:p>
              </w:tc>
              <w:tc>
                <w:tcPr>
                  <w:tcW w:w="1069" w:type="pct"/>
                  <w:vAlign w:val="center"/>
                </w:tcPr>
                <w:p w14:paraId="0452323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017DE15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4E21778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436" w:type="pct"/>
                  <w:vAlign w:val="center"/>
                </w:tcPr>
                <w:p w14:paraId="573115D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2E5848F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6B300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95" w:type="pct"/>
                  <w:vMerge w:val="continue"/>
                  <w:vAlign w:val="center"/>
                </w:tcPr>
                <w:p w14:paraId="1E7C5D1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1700CFC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1093" w:type="pct"/>
                  <w:vAlign w:val="center"/>
                </w:tcPr>
                <w:p w14:paraId="1736BD7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隔膜泵</w:t>
                  </w:r>
                </w:p>
              </w:tc>
              <w:tc>
                <w:tcPr>
                  <w:tcW w:w="1069" w:type="pct"/>
                  <w:vAlign w:val="center"/>
                </w:tcPr>
                <w:p w14:paraId="7B696C0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266FE6F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1ADABFD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436" w:type="pct"/>
                  <w:vAlign w:val="center"/>
                </w:tcPr>
                <w:p w14:paraId="4D43C53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5</w:t>
                  </w:r>
                </w:p>
              </w:tc>
              <w:tc>
                <w:tcPr>
                  <w:tcW w:w="436" w:type="pct"/>
                  <w:vMerge w:val="continue"/>
                  <w:vAlign w:val="center"/>
                </w:tcPr>
                <w:p w14:paraId="6A577CB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63581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95" w:type="pct"/>
                  <w:vMerge w:val="continue"/>
                  <w:vAlign w:val="center"/>
                </w:tcPr>
                <w:p w14:paraId="4CA3DB1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78489B9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25</w:t>
                  </w:r>
                </w:p>
              </w:tc>
              <w:tc>
                <w:tcPr>
                  <w:tcW w:w="1093" w:type="pct"/>
                  <w:vAlign w:val="center"/>
                </w:tcPr>
                <w:p w14:paraId="2A2FCA9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乳液罐</w:t>
                  </w:r>
                  <w:r>
                    <w:rPr>
                      <w:rFonts w:hint="eastAsia" w:cs="Times New Roman"/>
                      <w:color w:val="auto"/>
                      <w:sz w:val="21"/>
                      <w:szCs w:val="21"/>
                      <w:lang w:eastAsia="zh-CN"/>
                    </w:rPr>
                    <w:t>（存储</w:t>
                  </w:r>
                  <w:r>
                    <w:rPr>
                      <w:rFonts w:hint="default" w:ascii="Times New Roman" w:hAnsi="Times New Roman" w:eastAsia="宋体" w:cs="Times New Roman"/>
                      <w:color w:val="auto"/>
                      <w:sz w:val="21"/>
                    </w:rPr>
                    <w:t>成膜助剂</w:t>
                  </w:r>
                  <w:r>
                    <w:rPr>
                      <w:rFonts w:hint="eastAsia" w:cs="Times New Roman"/>
                      <w:color w:val="auto"/>
                      <w:sz w:val="21"/>
                      <w:szCs w:val="21"/>
                      <w:lang w:eastAsia="zh-CN"/>
                    </w:rPr>
                    <w:t>）</w:t>
                  </w:r>
                </w:p>
              </w:tc>
              <w:tc>
                <w:tcPr>
                  <w:tcW w:w="1069" w:type="pct"/>
                  <w:vAlign w:val="center"/>
                </w:tcPr>
                <w:p w14:paraId="5F1CF80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3200*30mm</w:t>
                  </w:r>
                </w:p>
              </w:tc>
              <w:tc>
                <w:tcPr>
                  <w:tcW w:w="598" w:type="pct"/>
                  <w:vAlign w:val="center"/>
                </w:tcPr>
                <w:p w14:paraId="6179964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422" w:type="pct"/>
                  <w:vAlign w:val="center"/>
                </w:tcPr>
                <w:p w14:paraId="2BA429A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个</w:t>
                  </w:r>
                </w:p>
              </w:tc>
              <w:tc>
                <w:tcPr>
                  <w:tcW w:w="436" w:type="pct"/>
                  <w:vAlign w:val="center"/>
                </w:tcPr>
                <w:p w14:paraId="690059D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436" w:type="pct"/>
                  <w:vMerge w:val="restart"/>
                  <w:vAlign w:val="center"/>
                </w:tcPr>
                <w:p w14:paraId="31FEAB9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eastAsia="zh-CN"/>
                    </w:rPr>
                  </w:pPr>
                  <w:r>
                    <w:rPr>
                      <w:rFonts w:hint="default" w:ascii="Times New Roman" w:hAnsi="Times New Roman" w:eastAsia="宋体" w:cs="Times New Roman"/>
                      <w:color w:val="auto"/>
                      <w:w w:val="100"/>
                      <w:sz w:val="21"/>
                      <w:szCs w:val="21"/>
                      <w:lang w:eastAsia="zh-CN"/>
                    </w:rPr>
                    <w:t>本次扩建新增</w:t>
                  </w:r>
                </w:p>
              </w:tc>
            </w:tr>
            <w:tr w14:paraId="155BC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95" w:type="pct"/>
                  <w:vMerge w:val="continue"/>
                  <w:vAlign w:val="center"/>
                </w:tcPr>
                <w:p w14:paraId="6233843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074A892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w:t>
                  </w:r>
                </w:p>
              </w:tc>
              <w:tc>
                <w:tcPr>
                  <w:tcW w:w="1093" w:type="pct"/>
                  <w:vAlign w:val="center"/>
                </w:tcPr>
                <w:p w14:paraId="0C0E0C1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助剂罐</w:t>
                  </w:r>
                  <w:r>
                    <w:rPr>
                      <w:rFonts w:hint="eastAsia" w:cs="Times New Roman"/>
                      <w:color w:val="auto"/>
                      <w:sz w:val="21"/>
                      <w:szCs w:val="21"/>
                      <w:lang w:eastAsia="zh-CN"/>
                    </w:rPr>
                    <w:t>（存储增稠剂）</w:t>
                  </w:r>
                </w:p>
              </w:tc>
              <w:tc>
                <w:tcPr>
                  <w:tcW w:w="1069" w:type="pct"/>
                  <w:vAlign w:val="center"/>
                </w:tcPr>
                <w:p w14:paraId="3ABD64C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3200*30mm</w:t>
                  </w:r>
                </w:p>
              </w:tc>
              <w:tc>
                <w:tcPr>
                  <w:tcW w:w="598" w:type="pct"/>
                  <w:vAlign w:val="center"/>
                </w:tcPr>
                <w:p w14:paraId="229D778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22" w:type="pct"/>
                  <w:vAlign w:val="center"/>
                </w:tcPr>
                <w:p w14:paraId="312429B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个</w:t>
                  </w:r>
                </w:p>
              </w:tc>
              <w:tc>
                <w:tcPr>
                  <w:tcW w:w="436" w:type="pct"/>
                  <w:vAlign w:val="center"/>
                </w:tcPr>
                <w:p w14:paraId="3CD29EB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36" w:type="pct"/>
                  <w:vMerge w:val="continue"/>
                  <w:vAlign w:val="center"/>
                </w:tcPr>
                <w:p w14:paraId="222293D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eastAsia="zh-CN"/>
                    </w:rPr>
                  </w:pPr>
                </w:p>
              </w:tc>
            </w:tr>
            <w:tr w14:paraId="4495A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495" w:type="pct"/>
                  <w:vMerge w:val="restart"/>
                  <w:vAlign w:val="center"/>
                </w:tcPr>
                <w:p w14:paraId="57C3A29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砂壁生产线</w:t>
                  </w:r>
                </w:p>
              </w:tc>
              <w:tc>
                <w:tcPr>
                  <w:tcW w:w="449" w:type="pct"/>
                  <w:vAlign w:val="center"/>
                </w:tcPr>
                <w:p w14:paraId="7552ACE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1093" w:type="pct"/>
                  <w:vAlign w:val="center"/>
                </w:tcPr>
                <w:p w14:paraId="3A16F08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搅拌机</w:t>
                  </w:r>
                </w:p>
              </w:tc>
              <w:tc>
                <w:tcPr>
                  <w:tcW w:w="1069" w:type="pct"/>
                  <w:vAlign w:val="center"/>
                </w:tcPr>
                <w:p w14:paraId="2D59C3A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2000L 缸</w:t>
                  </w:r>
                </w:p>
              </w:tc>
              <w:tc>
                <w:tcPr>
                  <w:tcW w:w="598" w:type="pct"/>
                  <w:vAlign w:val="center"/>
                </w:tcPr>
                <w:p w14:paraId="24A442F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75kw</w:t>
                  </w:r>
                </w:p>
              </w:tc>
              <w:tc>
                <w:tcPr>
                  <w:tcW w:w="422" w:type="pct"/>
                  <w:vAlign w:val="center"/>
                </w:tcPr>
                <w:p w14:paraId="3E50D5B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1EB872B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restart"/>
                  <w:vAlign w:val="center"/>
                </w:tcPr>
                <w:p w14:paraId="51FE5AB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eastAsia="zh-CN"/>
                    </w:rPr>
                  </w:pPr>
                  <w:r>
                    <w:rPr>
                      <w:rFonts w:hint="default" w:ascii="Times New Roman" w:hAnsi="Times New Roman" w:eastAsia="宋体" w:cs="Times New Roman"/>
                      <w:color w:val="auto"/>
                      <w:w w:val="100"/>
                      <w:sz w:val="21"/>
                      <w:szCs w:val="21"/>
                      <w:lang w:eastAsia="zh-CN"/>
                    </w:rPr>
                    <w:t>原项目已建成</w:t>
                  </w:r>
                </w:p>
              </w:tc>
            </w:tr>
            <w:tr w14:paraId="46EA2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01367FF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4A17373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1093" w:type="pct"/>
                  <w:vAlign w:val="center"/>
                </w:tcPr>
                <w:p w14:paraId="1D621B2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搅拌机</w:t>
                  </w:r>
                </w:p>
              </w:tc>
              <w:tc>
                <w:tcPr>
                  <w:tcW w:w="1069" w:type="pct"/>
                  <w:vAlign w:val="center"/>
                </w:tcPr>
                <w:p w14:paraId="5E97745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3000L 缸</w:t>
                  </w:r>
                </w:p>
              </w:tc>
              <w:tc>
                <w:tcPr>
                  <w:tcW w:w="598" w:type="pct"/>
                  <w:vAlign w:val="center"/>
                </w:tcPr>
                <w:p w14:paraId="18304E4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83kw</w:t>
                  </w:r>
                </w:p>
              </w:tc>
              <w:tc>
                <w:tcPr>
                  <w:tcW w:w="422" w:type="pct"/>
                  <w:vAlign w:val="center"/>
                </w:tcPr>
                <w:p w14:paraId="4816B13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34E1ABD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5FC8C97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644D8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95" w:type="pct"/>
                  <w:vMerge w:val="continue"/>
                  <w:vAlign w:val="center"/>
                </w:tcPr>
                <w:p w14:paraId="23CCF0F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5DFB0EC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3</w:t>
                  </w:r>
                </w:p>
              </w:tc>
              <w:tc>
                <w:tcPr>
                  <w:tcW w:w="1093" w:type="pct"/>
                  <w:vAlign w:val="center"/>
                </w:tcPr>
                <w:p w14:paraId="3017A2D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搅拌机</w:t>
                  </w:r>
                </w:p>
              </w:tc>
              <w:tc>
                <w:tcPr>
                  <w:tcW w:w="1069" w:type="pct"/>
                  <w:vAlign w:val="center"/>
                </w:tcPr>
                <w:p w14:paraId="2BF20D0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5000L 缸</w:t>
                  </w:r>
                </w:p>
              </w:tc>
              <w:tc>
                <w:tcPr>
                  <w:tcW w:w="598" w:type="pct"/>
                  <w:vAlign w:val="center"/>
                </w:tcPr>
                <w:p w14:paraId="7A45F98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66kw</w:t>
                  </w:r>
                </w:p>
              </w:tc>
              <w:tc>
                <w:tcPr>
                  <w:tcW w:w="422" w:type="pct"/>
                  <w:vAlign w:val="center"/>
                </w:tcPr>
                <w:p w14:paraId="3F0FA96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6C3762F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436" w:type="pct"/>
                  <w:vMerge w:val="continue"/>
                  <w:vAlign w:val="center"/>
                </w:tcPr>
                <w:p w14:paraId="15895A6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77D23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178D6BD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79CE7E5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4</w:t>
                  </w:r>
                </w:p>
              </w:tc>
              <w:tc>
                <w:tcPr>
                  <w:tcW w:w="1093" w:type="pct"/>
                  <w:vAlign w:val="center"/>
                </w:tcPr>
                <w:p w14:paraId="5B3200C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搅拌机</w:t>
                  </w:r>
                </w:p>
              </w:tc>
              <w:tc>
                <w:tcPr>
                  <w:tcW w:w="1069" w:type="pct"/>
                  <w:vAlign w:val="center"/>
                </w:tcPr>
                <w:p w14:paraId="0CC596C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10000L 缸</w:t>
                  </w:r>
                </w:p>
              </w:tc>
              <w:tc>
                <w:tcPr>
                  <w:tcW w:w="598" w:type="pct"/>
                  <w:vAlign w:val="center"/>
                </w:tcPr>
                <w:p w14:paraId="33CADE6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140kw</w:t>
                  </w:r>
                </w:p>
              </w:tc>
              <w:tc>
                <w:tcPr>
                  <w:tcW w:w="422" w:type="pct"/>
                  <w:vAlign w:val="center"/>
                </w:tcPr>
                <w:p w14:paraId="703A0B4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13B56DE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436" w:type="pct"/>
                  <w:vMerge w:val="continue"/>
                  <w:vAlign w:val="center"/>
                </w:tcPr>
                <w:p w14:paraId="67C6F0E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7989C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4A3696B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1541EF0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5</w:t>
                  </w:r>
                </w:p>
              </w:tc>
              <w:tc>
                <w:tcPr>
                  <w:tcW w:w="1093" w:type="pct"/>
                  <w:vAlign w:val="center"/>
                </w:tcPr>
                <w:p w14:paraId="3B51395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高压清洗装置</w:t>
                  </w:r>
                </w:p>
              </w:tc>
              <w:tc>
                <w:tcPr>
                  <w:tcW w:w="1069" w:type="pct"/>
                  <w:vAlign w:val="center"/>
                </w:tcPr>
                <w:p w14:paraId="626E895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7BF4927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25kw</w:t>
                  </w:r>
                </w:p>
              </w:tc>
              <w:tc>
                <w:tcPr>
                  <w:tcW w:w="422" w:type="pct"/>
                  <w:vAlign w:val="center"/>
                </w:tcPr>
                <w:p w14:paraId="1A1594E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078FA28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6752EC2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69B14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17BC25C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37837CC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6</w:t>
                  </w:r>
                </w:p>
              </w:tc>
              <w:tc>
                <w:tcPr>
                  <w:tcW w:w="1093" w:type="pct"/>
                  <w:vAlign w:val="center"/>
                </w:tcPr>
                <w:p w14:paraId="3CED98E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空压机及储罐</w:t>
                  </w:r>
                </w:p>
              </w:tc>
              <w:tc>
                <w:tcPr>
                  <w:tcW w:w="1069" w:type="pct"/>
                  <w:vAlign w:val="center"/>
                </w:tcPr>
                <w:p w14:paraId="6F42BE6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GA-55</w:t>
                  </w:r>
                </w:p>
              </w:tc>
              <w:tc>
                <w:tcPr>
                  <w:tcW w:w="598" w:type="pct"/>
                  <w:vAlign w:val="center"/>
                </w:tcPr>
                <w:p w14:paraId="2226CAB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55kw</w:t>
                  </w:r>
                </w:p>
              </w:tc>
              <w:tc>
                <w:tcPr>
                  <w:tcW w:w="422" w:type="pct"/>
                  <w:vAlign w:val="center"/>
                </w:tcPr>
                <w:p w14:paraId="3B5DF24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6CC5865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436" w:type="pct"/>
                  <w:vMerge w:val="continue"/>
                  <w:vAlign w:val="center"/>
                </w:tcPr>
                <w:p w14:paraId="285B068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16AD68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1775689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1CF1647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7</w:t>
                  </w:r>
                </w:p>
              </w:tc>
              <w:tc>
                <w:tcPr>
                  <w:tcW w:w="1093" w:type="pct"/>
                  <w:vAlign w:val="center"/>
                </w:tcPr>
                <w:p w14:paraId="20450FE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电动葫芦</w:t>
                  </w:r>
                </w:p>
              </w:tc>
              <w:tc>
                <w:tcPr>
                  <w:tcW w:w="1069" w:type="pct"/>
                  <w:vAlign w:val="center"/>
                </w:tcPr>
                <w:p w14:paraId="5E4B181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17A3BD7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3kw</w:t>
                  </w:r>
                </w:p>
              </w:tc>
              <w:tc>
                <w:tcPr>
                  <w:tcW w:w="422" w:type="pct"/>
                  <w:vAlign w:val="center"/>
                </w:tcPr>
                <w:p w14:paraId="573290C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台</w:t>
                  </w:r>
                </w:p>
              </w:tc>
              <w:tc>
                <w:tcPr>
                  <w:tcW w:w="436" w:type="pct"/>
                  <w:vAlign w:val="center"/>
                </w:tcPr>
                <w:p w14:paraId="1EA74E6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3</w:t>
                  </w:r>
                </w:p>
              </w:tc>
              <w:tc>
                <w:tcPr>
                  <w:tcW w:w="436" w:type="pct"/>
                  <w:vMerge w:val="continue"/>
                  <w:vAlign w:val="center"/>
                </w:tcPr>
                <w:p w14:paraId="6C436F3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4C67E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95" w:type="pct"/>
                  <w:vMerge w:val="continue"/>
                  <w:vAlign w:val="center"/>
                </w:tcPr>
                <w:p w14:paraId="73D6EBC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1D671A6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9</w:t>
                  </w:r>
                </w:p>
              </w:tc>
              <w:tc>
                <w:tcPr>
                  <w:tcW w:w="1093" w:type="pct"/>
                  <w:vAlign w:val="center"/>
                </w:tcPr>
                <w:p w14:paraId="20E780D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收尘及处理装置</w:t>
                  </w:r>
                </w:p>
              </w:tc>
              <w:tc>
                <w:tcPr>
                  <w:tcW w:w="1069" w:type="pct"/>
                  <w:vAlign w:val="center"/>
                </w:tcPr>
                <w:p w14:paraId="05E585A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1AEE8F5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35kw</w:t>
                  </w:r>
                </w:p>
              </w:tc>
              <w:tc>
                <w:tcPr>
                  <w:tcW w:w="422" w:type="pct"/>
                  <w:vAlign w:val="center"/>
                </w:tcPr>
                <w:p w14:paraId="5D5B606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08BE597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1441F50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45AEB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517DFF1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6A9E965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093" w:type="pct"/>
                  <w:vAlign w:val="center"/>
                </w:tcPr>
                <w:p w14:paraId="651ECFF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高压水泵</w:t>
                  </w:r>
                </w:p>
              </w:tc>
              <w:tc>
                <w:tcPr>
                  <w:tcW w:w="1069" w:type="pct"/>
                  <w:vAlign w:val="center"/>
                </w:tcPr>
                <w:p w14:paraId="4B67E46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4702527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10kw</w:t>
                  </w:r>
                </w:p>
              </w:tc>
              <w:tc>
                <w:tcPr>
                  <w:tcW w:w="422" w:type="pct"/>
                  <w:vAlign w:val="center"/>
                </w:tcPr>
                <w:p w14:paraId="3DABEF2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793B906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69382EC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1C2E5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654AED9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56F5FC7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093" w:type="pct"/>
                  <w:vAlign w:val="center"/>
                </w:tcPr>
                <w:p w14:paraId="7DE1A0B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砂壁高粘包装机</w:t>
                  </w:r>
                </w:p>
              </w:tc>
              <w:tc>
                <w:tcPr>
                  <w:tcW w:w="1069" w:type="pct"/>
                  <w:vAlign w:val="center"/>
                </w:tcPr>
                <w:p w14:paraId="3327FED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59614B2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3kw</w:t>
                  </w:r>
                </w:p>
              </w:tc>
              <w:tc>
                <w:tcPr>
                  <w:tcW w:w="422" w:type="pct"/>
                  <w:vAlign w:val="center"/>
                </w:tcPr>
                <w:p w14:paraId="5C3D750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05D5279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4</w:t>
                  </w:r>
                </w:p>
              </w:tc>
              <w:tc>
                <w:tcPr>
                  <w:tcW w:w="436" w:type="pct"/>
                  <w:vMerge w:val="continue"/>
                  <w:vAlign w:val="center"/>
                </w:tcPr>
                <w:p w14:paraId="0A221A7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3130F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4A56ECD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5018365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1093" w:type="pct"/>
                  <w:vAlign w:val="center"/>
                </w:tcPr>
                <w:p w14:paraId="317594C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砂壁包装机</w:t>
                  </w:r>
                </w:p>
              </w:tc>
              <w:tc>
                <w:tcPr>
                  <w:tcW w:w="1069" w:type="pct"/>
                  <w:vAlign w:val="center"/>
                </w:tcPr>
                <w:p w14:paraId="48EC436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68E568F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3kw</w:t>
                  </w:r>
                </w:p>
              </w:tc>
              <w:tc>
                <w:tcPr>
                  <w:tcW w:w="422" w:type="pct"/>
                  <w:vAlign w:val="center"/>
                </w:tcPr>
                <w:p w14:paraId="0D008B3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w w:val="100"/>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27FC1DD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w w:val="100"/>
                      <w:sz w:val="21"/>
                      <w:szCs w:val="21"/>
                      <w:lang w:eastAsia="zh-CN"/>
                    </w:rPr>
                  </w:pPr>
                  <w:r>
                    <w:rPr>
                      <w:rFonts w:hint="default" w:ascii="Times New Roman" w:hAnsi="Times New Roman" w:eastAsia="宋体" w:cs="Times New Roman"/>
                      <w:color w:val="auto"/>
                      <w:w w:val="100"/>
                      <w:sz w:val="21"/>
                      <w:szCs w:val="21"/>
                      <w:lang w:val="en-US" w:eastAsia="zh-CN"/>
                    </w:rPr>
                    <w:t>2</w:t>
                  </w:r>
                </w:p>
              </w:tc>
              <w:tc>
                <w:tcPr>
                  <w:tcW w:w="436" w:type="pct"/>
                  <w:vAlign w:val="center"/>
                </w:tcPr>
                <w:p w14:paraId="487BBB9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eastAsia="zh-CN"/>
                    </w:rPr>
                  </w:pPr>
                  <w:r>
                    <w:rPr>
                      <w:rFonts w:hint="default" w:ascii="Times New Roman" w:hAnsi="Times New Roman" w:eastAsia="宋体" w:cs="Times New Roman"/>
                      <w:color w:val="auto"/>
                      <w:w w:val="100"/>
                      <w:sz w:val="21"/>
                      <w:szCs w:val="21"/>
                      <w:lang w:eastAsia="zh-CN"/>
                    </w:rPr>
                    <w:t>新增</w:t>
                  </w:r>
                </w:p>
              </w:tc>
            </w:tr>
            <w:tr w14:paraId="34010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restart"/>
                  <w:vAlign w:val="center"/>
                </w:tcPr>
                <w:p w14:paraId="603C8B4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腻子粉生产线</w:t>
                  </w:r>
                </w:p>
              </w:tc>
              <w:tc>
                <w:tcPr>
                  <w:tcW w:w="449" w:type="pct"/>
                  <w:vAlign w:val="center"/>
                </w:tcPr>
                <w:p w14:paraId="6778E33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1093" w:type="pct"/>
                  <w:vAlign w:val="center"/>
                </w:tcPr>
                <w:p w14:paraId="159A898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空气储罐</w:t>
                  </w:r>
                </w:p>
              </w:tc>
              <w:tc>
                <w:tcPr>
                  <w:tcW w:w="1069" w:type="pct"/>
                  <w:vAlign w:val="center"/>
                </w:tcPr>
                <w:p w14:paraId="13CAACF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3m</w:t>
                  </w:r>
                  <w:r>
                    <w:rPr>
                      <w:rFonts w:hint="default" w:ascii="Times New Roman" w:hAnsi="Times New Roman" w:eastAsia="宋体" w:cs="Times New Roman"/>
                      <w:color w:val="auto"/>
                      <w:sz w:val="21"/>
                      <w:szCs w:val="21"/>
                      <w:vertAlign w:val="superscript"/>
                      <w:lang w:val="en-US" w:eastAsia="zh-CN"/>
                    </w:rPr>
                    <w:t>3</w:t>
                  </w:r>
                </w:p>
              </w:tc>
              <w:tc>
                <w:tcPr>
                  <w:tcW w:w="598" w:type="pct"/>
                  <w:vAlign w:val="center"/>
                </w:tcPr>
                <w:p w14:paraId="4131D60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63418C8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台</w:t>
                  </w:r>
                </w:p>
              </w:tc>
              <w:tc>
                <w:tcPr>
                  <w:tcW w:w="436" w:type="pct"/>
                  <w:vAlign w:val="center"/>
                </w:tcPr>
                <w:p w14:paraId="1E534B8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restart"/>
                  <w:vAlign w:val="center"/>
                </w:tcPr>
                <w:p w14:paraId="7B64538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r>
                    <w:rPr>
                      <w:rFonts w:hint="default" w:ascii="Times New Roman" w:hAnsi="Times New Roman" w:eastAsia="宋体" w:cs="Times New Roman"/>
                      <w:color w:val="auto"/>
                      <w:w w:val="100"/>
                      <w:sz w:val="21"/>
                      <w:szCs w:val="21"/>
                      <w:lang w:eastAsia="zh-CN"/>
                    </w:rPr>
                    <w:t>原项目已建成</w:t>
                  </w:r>
                </w:p>
              </w:tc>
            </w:tr>
            <w:tr w14:paraId="657FD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15A5003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721B446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1093" w:type="pct"/>
                  <w:vAlign w:val="center"/>
                </w:tcPr>
                <w:p w14:paraId="08148A3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腻子粉生产设备</w:t>
                  </w:r>
                </w:p>
              </w:tc>
              <w:tc>
                <w:tcPr>
                  <w:tcW w:w="1069" w:type="pct"/>
                  <w:vAlign w:val="center"/>
                </w:tcPr>
                <w:p w14:paraId="258EBC3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5t/h</w:t>
                  </w:r>
                </w:p>
              </w:tc>
              <w:tc>
                <w:tcPr>
                  <w:tcW w:w="598" w:type="pct"/>
                  <w:vAlign w:val="center"/>
                </w:tcPr>
                <w:p w14:paraId="7911C4C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7FA1B56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03A1214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6818239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0F043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95" w:type="pct"/>
                  <w:vMerge w:val="continue"/>
                  <w:vAlign w:val="center"/>
                </w:tcPr>
                <w:p w14:paraId="2449676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3FEBD53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3</w:t>
                  </w:r>
                </w:p>
              </w:tc>
              <w:tc>
                <w:tcPr>
                  <w:tcW w:w="1093" w:type="pct"/>
                  <w:vAlign w:val="center"/>
                </w:tcPr>
                <w:p w14:paraId="613FA23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腻子粉控制室</w:t>
                  </w:r>
                </w:p>
              </w:tc>
              <w:tc>
                <w:tcPr>
                  <w:tcW w:w="1069" w:type="pct"/>
                  <w:vAlign w:val="center"/>
                </w:tcPr>
                <w:p w14:paraId="0A06C3F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555F6AB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084962D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1F00551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7A99F2D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7AFF4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95" w:type="pct"/>
                  <w:vMerge w:val="continue"/>
                  <w:vAlign w:val="center"/>
                </w:tcPr>
                <w:p w14:paraId="47F743F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527B3CD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4</w:t>
                  </w:r>
                </w:p>
              </w:tc>
              <w:tc>
                <w:tcPr>
                  <w:tcW w:w="1093" w:type="pct"/>
                  <w:vAlign w:val="center"/>
                </w:tcPr>
                <w:p w14:paraId="66FF071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腻子粉生产设备</w:t>
                  </w:r>
                </w:p>
              </w:tc>
              <w:tc>
                <w:tcPr>
                  <w:tcW w:w="1069" w:type="pct"/>
                  <w:vAlign w:val="center"/>
                </w:tcPr>
                <w:p w14:paraId="46A660C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5t/h</w:t>
                  </w:r>
                </w:p>
              </w:tc>
              <w:tc>
                <w:tcPr>
                  <w:tcW w:w="598" w:type="pct"/>
                  <w:vAlign w:val="center"/>
                </w:tcPr>
                <w:p w14:paraId="672E5AA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75kw</w:t>
                  </w:r>
                </w:p>
              </w:tc>
              <w:tc>
                <w:tcPr>
                  <w:tcW w:w="422" w:type="pct"/>
                  <w:vAlign w:val="center"/>
                </w:tcPr>
                <w:p w14:paraId="23F4D70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3BE2CED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51AD682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1B6B4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95" w:type="pct"/>
                  <w:vMerge w:val="continue"/>
                  <w:vAlign w:val="center"/>
                </w:tcPr>
                <w:p w14:paraId="62E13AC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2176B8C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5</w:t>
                  </w:r>
                </w:p>
              </w:tc>
              <w:tc>
                <w:tcPr>
                  <w:tcW w:w="1093" w:type="pct"/>
                  <w:vAlign w:val="center"/>
                </w:tcPr>
                <w:p w14:paraId="2A28F8B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腻子粉控制室</w:t>
                  </w:r>
                </w:p>
              </w:tc>
              <w:tc>
                <w:tcPr>
                  <w:tcW w:w="1069" w:type="pct"/>
                  <w:vAlign w:val="center"/>
                </w:tcPr>
                <w:p w14:paraId="036DA6C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29F59C9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5689059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1B45D2C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5C895BF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54B0E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 w:hRule="atLeast"/>
                <w:jc w:val="center"/>
              </w:trPr>
              <w:tc>
                <w:tcPr>
                  <w:tcW w:w="495" w:type="pct"/>
                  <w:vMerge w:val="continue"/>
                  <w:vAlign w:val="center"/>
                </w:tcPr>
                <w:p w14:paraId="0019623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76B71BD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6</w:t>
                  </w:r>
                </w:p>
              </w:tc>
              <w:tc>
                <w:tcPr>
                  <w:tcW w:w="1093" w:type="pct"/>
                  <w:vAlign w:val="center"/>
                </w:tcPr>
                <w:p w14:paraId="187BA15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收尘及处理装置</w:t>
                  </w:r>
                </w:p>
              </w:tc>
              <w:tc>
                <w:tcPr>
                  <w:tcW w:w="1069" w:type="pct"/>
                  <w:vAlign w:val="center"/>
                </w:tcPr>
                <w:p w14:paraId="3AF94E0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风量 3517m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/h</w:t>
                  </w:r>
                </w:p>
              </w:tc>
              <w:tc>
                <w:tcPr>
                  <w:tcW w:w="598" w:type="pct"/>
                  <w:vAlign w:val="center"/>
                </w:tcPr>
                <w:p w14:paraId="7D97567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73ACCC9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7140950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69A01BA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665C9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jc w:val="center"/>
              </w:trPr>
              <w:tc>
                <w:tcPr>
                  <w:tcW w:w="495" w:type="pct"/>
                  <w:vMerge w:val="continue"/>
                  <w:vAlign w:val="center"/>
                </w:tcPr>
                <w:p w14:paraId="20AE870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46D52BD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7</w:t>
                  </w:r>
                </w:p>
              </w:tc>
              <w:tc>
                <w:tcPr>
                  <w:tcW w:w="1093" w:type="pct"/>
                  <w:vAlign w:val="center"/>
                </w:tcPr>
                <w:p w14:paraId="4E1DCC7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空气储罐</w:t>
                  </w:r>
                </w:p>
              </w:tc>
              <w:tc>
                <w:tcPr>
                  <w:tcW w:w="1069" w:type="pct"/>
                  <w:vAlign w:val="center"/>
                </w:tcPr>
                <w:p w14:paraId="70A198F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3m</w:t>
                  </w:r>
                  <w:r>
                    <w:rPr>
                      <w:rFonts w:hint="default" w:ascii="Times New Roman" w:hAnsi="Times New Roman" w:eastAsia="宋体" w:cs="Times New Roman"/>
                      <w:color w:val="auto"/>
                      <w:sz w:val="21"/>
                      <w:szCs w:val="21"/>
                      <w:vertAlign w:val="superscript"/>
                      <w:lang w:val="en-US" w:eastAsia="zh-CN"/>
                    </w:rPr>
                    <w:t>3</w:t>
                  </w:r>
                </w:p>
              </w:tc>
              <w:tc>
                <w:tcPr>
                  <w:tcW w:w="598" w:type="pct"/>
                  <w:vAlign w:val="center"/>
                </w:tcPr>
                <w:p w14:paraId="5F893B5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6ADA25D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台</w:t>
                  </w:r>
                </w:p>
              </w:tc>
              <w:tc>
                <w:tcPr>
                  <w:tcW w:w="436" w:type="pct"/>
                  <w:vAlign w:val="center"/>
                </w:tcPr>
                <w:p w14:paraId="0C3BA19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6499E44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5B3F9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16074C9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6D53B30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val="en-US" w:eastAsia="zh-CN"/>
                    </w:rPr>
                  </w:pPr>
                  <w:r>
                    <w:rPr>
                      <w:rFonts w:hint="eastAsia" w:cs="Times New Roman"/>
                      <w:color w:val="auto"/>
                      <w:w w:val="100"/>
                      <w:sz w:val="21"/>
                      <w:szCs w:val="21"/>
                      <w:lang w:val="en-US" w:eastAsia="zh-CN"/>
                    </w:rPr>
                    <w:t>8</w:t>
                  </w:r>
                </w:p>
              </w:tc>
              <w:tc>
                <w:tcPr>
                  <w:tcW w:w="1093" w:type="pct"/>
                  <w:vAlign w:val="center"/>
                </w:tcPr>
                <w:p w14:paraId="35CCB90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粉料存储罐</w:t>
                  </w:r>
                </w:p>
              </w:tc>
              <w:tc>
                <w:tcPr>
                  <w:tcW w:w="1069" w:type="pct"/>
                  <w:vAlign w:val="center"/>
                </w:tcPr>
                <w:p w14:paraId="35A11E6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lang w:val="en-US" w:eastAsia="zh-CN"/>
                    </w:rPr>
                    <w:t>3</w:t>
                  </w:r>
                </w:p>
              </w:tc>
              <w:tc>
                <w:tcPr>
                  <w:tcW w:w="598" w:type="pct"/>
                  <w:vAlign w:val="center"/>
                </w:tcPr>
                <w:p w14:paraId="7C55CB9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7F10AD6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w w:val="100"/>
                      <w:sz w:val="21"/>
                      <w:szCs w:val="21"/>
                      <w:lang w:val="en-US" w:eastAsia="zh-CN"/>
                    </w:rPr>
                  </w:pPr>
                  <w:r>
                    <w:rPr>
                      <w:rFonts w:hint="eastAsia" w:cs="Times New Roman"/>
                      <w:color w:val="auto"/>
                      <w:w w:val="100"/>
                      <w:sz w:val="21"/>
                      <w:szCs w:val="21"/>
                      <w:lang w:val="en-US" w:eastAsia="zh-CN"/>
                    </w:rPr>
                    <w:t>个</w:t>
                  </w:r>
                </w:p>
              </w:tc>
              <w:tc>
                <w:tcPr>
                  <w:tcW w:w="436" w:type="pct"/>
                  <w:vAlign w:val="center"/>
                </w:tcPr>
                <w:p w14:paraId="775F80B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w w:val="100"/>
                      <w:sz w:val="21"/>
                      <w:szCs w:val="21"/>
                      <w:lang w:val="en-US" w:eastAsia="zh-CN"/>
                    </w:rPr>
                  </w:pPr>
                  <w:r>
                    <w:rPr>
                      <w:rFonts w:hint="eastAsia" w:cs="Times New Roman"/>
                      <w:color w:val="auto"/>
                      <w:w w:val="100"/>
                      <w:sz w:val="21"/>
                      <w:szCs w:val="21"/>
                      <w:lang w:val="en-US" w:eastAsia="zh-CN"/>
                    </w:rPr>
                    <w:t>3</w:t>
                  </w:r>
                </w:p>
              </w:tc>
              <w:tc>
                <w:tcPr>
                  <w:tcW w:w="436" w:type="pct"/>
                  <w:vMerge w:val="continue"/>
                  <w:vAlign w:val="center"/>
                </w:tcPr>
                <w:p w14:paraId="557A78A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3D2C2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95" w:type="pct"/>
                  <w:vMerge w:val="continue"/>
                  <w:vAlign w:val="center"/>
                </w:tcPr>
                <w:p w14:paraId="28B5E1A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7744B68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8</w:t>
                  </w:r>
                </w:p>
              </w:tc>
              <w:tc>
                <w:tcPr>
                  <w:tcW w:w="1093" w:type="pct"/>
                  <w:vAlign w:val="center"/>
                </w:tcPr>
                <w:p w14:paraId="22015EA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机械手码垛线</w:t>
                  </w:r>
                </w:p>
              </w:tc>
              <w:tc>
                <w:tcPr>
                  <w:tcW w:w="1069" w:type="pct"/>
                  <w:vAlign w:val="center"/>
                </w:tcPr>
                <w:p w14:paraId="63E963F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2331D98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51E4CEF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w w:val="100"/>
                      <w:sz w:val="21"/>
                      <w:szCs w:val="21"/>
                      <w:lang w:eastAsia="zh-CN"/>
                    </w:rPr>
                  </w:pPr>
                  <w:r>
                    <w:rPr>
                      <w:rFonts w:hint="eastAsia" w:cs="Times New Roman"/>
                      <w:color w:val="auto"/>
                      <w:w w:val="100"/>
                      <w:sz w:val="21"/>
                      <w:szCs w:val="21"/>
                      <w:lang w:eastAsia="zh-CN"/>
                    </w:rPr>
                    <w:t>台</w:t>
                  </w:r>
                </w:p>
              </w:tc>
              <w:tc>
                <w:tcPr>
                  <w:tcW w:w="436" w:type="pct"/>
                  <w:vAlign w:val="center"/>
                </w:tcPr>
                <w:p w14:paraId="7C1D97D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r>
                    <w:rPr>
                      <w:rFonts w:hint="default" w:ascii="Times New Roman" w:hAnsi="Times New Roman" w:eastAsia="宋体" w:cs="Times New Roman"/>
                      <w:color w:val="auto"/>
                      <w:kern w:val="0"/>
                      <w:sz w:val="22"/>
                    </w:rPr>
                    <w:t>1</w:t>
                  </w:r>
                </w:p>
              </w:tc>
              <w:tc>
                <w:tcPr>
                  <w:tcW w:w="436" w:type="pct"/>
                  <w:vMerge w:val="restart"/>
                  <w:vAlign w:val="center"/>
                </w:tcPr>
                <w:p w14:paraId="29CF419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eastAsia="zh-CN"/>
                    </w:rPr>
                  </w:pPr>
                  <w:r>
                    <w:rPr>
                      <w:rFonts w:hint="default" w:ascii="Times New Roman" w:hAnsi="Times New Roman" w:eastAsia="宋体" w:cs="Times New Roman"/>
                      <w:color w:val="auto"/>
                      <w:w w:val="100"/>
                      <w:sz w:val="21"/>
                      <w:szCs w:val="21"/>
                      <w:lang w:eastAsia="zh-CN"/>
                    </w:rPr>
                    <w:t>本次扩建新增</w:t>
                  </w:r>
                </w:p>
              </w:tc>
            </w:tr>
            <w:tr w14:paraId="44282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05175C0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1C5C134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9</w:t>
                  </w:r>
                </w:p>
              </w:tc>
              <w:tc>
                <w:tcPr>
                  <w:tcW w:w="1093" w:type="pct"/>
                  <w:vAlign w:val="center"/>
                </w:tcPr>
                <w:p w14:paraId="57B06A0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包装机</w:t>
                  </w:r>
                </w:p>
              </w:tc>
              <w:tc>
                <w:tcPr>
                  <w:tcW w:w="1069" w:type="pct"/>
                  <w:vAlign w:val="center"/>
                </w:tcPr>
                <w:p w14:paraId="0139F62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03BCFDF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2ABDFC9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eastAsia="zh-CN"/>
                    </w:rPr>
                  </w:pPr>
                  <w:r>
                    <w:rPr>
                      <w:rFonts w:hint="default" w:ascii="Times New Roman" w:hAnsi="Times New Roman" w:eastAsia="宋体" w:cs="Times New Roman"/>
                      <w:color w:val="auto"/>
                      <w:w w:val="100"/>
                      <w:sz w:val="21"/>
                      <w:szCs w:val="21"/>
                      <w:lang w:eastAsia="zh-CN"/>
                    </w:rPr>
                    <w:t>台</w:t>
                  </w:r>
                </w:p>
              </w:tc>
              <w:tc>
                <w:tcPr>
                  <w:tcW w:w="436" w:type="pct"/>
                  <w:vAlign w:val="center"/>
                </w:tcPr>
                <w:p w14:paraId="5DCC228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r>
                    <w:rPr>
                      <w:rFonts w:hint="default" w:ascii="Times New Roman" w:hAnsi="Times New Roman" w:eastAsia="宋体" w:cs="Times New Roman"/>
                      <w:color w:val="auto"/>
                      <w:kern w:val="0"/>
                      <w:sz w:val="22"/>
                    </w:rPr>
                    <w:t>1</w:t>
                  </w:r>
                </w:p>
              </w:tc>
              <w:tc>
                <w:tcPr>
                  <w:tcW w:w="436" w:type="pct"/>
                  <w:vMerge w:val="continue"/>
                  <w:vAlign w:val="center"/>
                </w:tcPr>
                <w:p w14:paraId="6B39FB6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586C1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3BB7856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017D614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10</w:t>
                  </w:r>
                </w:p>
              </w:tc>
              <w:tc>
                <w:tcPr>
                  <w:tcW w:w="1093" w:type="pct"/>
                  <w:vAlign w:val="center"/>
                </w:tcPr>
                <w:p w14:paraId="47D938E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脉冲</w:t>
                  </w:r>
                  <w:r>
                    <w:rPr>
                      <w:rFonts w:hint="default" w:ascii="Times New Roman" w:hAnsi="Times New Roman" w:eastAsia="宋体" w:cs="Times New Roman"/>
                      <w:color w:val="auto"/>
                      <w:sz w:val="21"/>
                      <w:szCs w:val="21"/>
                    </w:rPr>
                    <w:t>除尘器</w:t>
                  </w:r>
                </w:p>
              </w:tc>
              <w:tc>
                <w:tcPr>
                  <w:tcW w:w="1069" w:type="pct"/>
                  <w:vAlign w:val="center"/>
                </w:tcPr>
                <w:p w14:paraId="6EE1527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VAM44平方</w:t>
                  </w:r>
                </w:p>
              </w:tc>
              <w:tc>
                <w:tcPr>
                  <w:tcW w:w="598" w:type="pct"/>
                  <w:vAlign w:val="center"/>
                </w:tcPr>
                <w:p w14:paraId="44BBA28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p>
              </w:tc>
              <w:tc>
                <w:tcPr>
                  <w:tcW w:w="422" w:type="pct"/>
                  <w:vAlign w:val="center"/>
                </w:tcPr>
                <w:p w14:paraId="13E0D19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eastAsia="zh-CN"/>
                    </w:rPr>
                  </w:pPr>
                  <w:r>
                    <w:rPr>
                      <w:rFonts w:hint="default" w:ascii="Times New Roman" w:hAnsi="Times New Roman" w:eastAsia="宋体" w:cs="Times New Roman"/>
                      <w:color w:val="auto"/>
                      <w:w w:val="100"/>
                      <w:sz w:val="21"/>
                      <w:szCs w:val="21"/>
                      <w:lang w:eastAsia="zh-CN"/>
                    </w:rPr>
                    <w:t>套</w:t>
                  </w:r>
                </w:p>
              </w:tc>
              <w:tc>
                <w:tcPr>
                  <w:tcW w:w="436" w:type="pct"/>
                  <w:vAlign w:val="center"/>
                </w:tcPr>
                <w:p w14:paraId="2CEE744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1</w:t>
                  </w:r>
                </w:p>
              </w:tc>
              <w:tc>
                <w:tcPr>
                  <w:tcW w:w="436" w:type="pct"/>
                  <w:vMerge w:val="continue"/>
                  <w:vAlign w:val="center"/>
                </w:tcPr>
                <w:p w14:paraId="2C62F51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74D59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2A2B540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371A48B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11</w:t>
                  </w:r>
                </w:p>
              </w:tc>
              <w:tc>
                <w:tcPr>
                  <w:tcW w:w="1093" w:type="pct"/>
                  <w:vAlign w:val="center"/>
                </w:tcPr>
                <w:p w14:paraId="52CC5D1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MES自动生产系统</w:t>
                  </w:r>
                </w:p>
              </w:tc>
              <w:tc>
                <w:tcPr>
                  <w:tcW w:w="1069" w:type="pct"/>
                  <w:vAlign w:val="center"/>
                </w:tcPr>
                <w:p w14:paraId="5571195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0"/>
                      <w:sz w:val="24"/>
                      <w:szCs w:val="24"/>
                    </w:rPr>
                  </w:pPr>
                </w:p>
              </w:tc>
              <w:tc>
                <w:tcPr>
                  <w:tcW w:w="598" w:type="pct"/>
                  <w:vAlign w:val="center"/>
                </w:tcPr>
                <w:p w14:paraId="7D3C0AF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p>
              </w:tc>
              <w:tc>
                <w:tcPr>
                  <w:tcW w:w="422" w:type="pct"/>
                  <w:vAlign w:val="center"/>
                </w:tcPr>
                <w:p w14:paraId="75C4263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eastAsia="zh-CN"/>
                    </w:rPr>
                  </w:pPr>
                  <w:r>
                    <w:rPr>
                      <w:rFonts w:hint="default" w:ascii="Times New Roman" w:hAnsi="Times New Roman" w:eastAsia="宋体" w:cs="Times New Roman"/>
                      <w:color w:val="auto"/>
                      <w:w w:val="100"/>
                      <w:sz w:val="21"/>
                      <w:szCs w:val="21"/>
                      <w:lang w:eastAsia="zh-CN"/>
                    </w:rPr>
                    <w:t>套</w:t>
                  </w:r>
                </w:p>
              </w:tc>
              <w:tc>
                <w:tcPr>
                  <w:tcW w:w="436" w:type="pct"/>
                  <w:vAlign w:val="center"/>
                </w:tcPr>
                <w:p w14:paraId="13DDBA6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1</w:t>
                  </w:r>
                </w:p>
              </w:tc>
              <w:tc>
                <w:tcPr>
                  <w:tcW w:w="436" w:type="pct"/>
                  <w:vMerge w:val="continue"/>
                  <w:vAlign w:val="center"/>
                </w:tcPr>
                <w:p w14:paraId="3BB8067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2BA0B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vAlign w:val="center"/>
                </w:tcPr>
                <w:p w14:paraId="2FD7EB5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5B71D15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12</w:t>
                  </w:r>
                </w:p>
              </w:tc>
              <w:tc>
                <w:tcPr>
                  <w:tcW w:w="1093" w:type="pct"/>
                  <w:vAlign w:val="center"/>
                </w:tcPr>
                <w:p w14:paraId="436ECBB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旋风除尘器</w:t>
                  </w:r>
                </w:p>
              </w:tc>
              <w:tc>
                <w:tcPr>
                  <w:tcW w:w="1069" w:type="pct"/>
                  <w:vAlign w:val="center"/>
                </w:tcPr>
                <w:p w14:paraId="5A653EC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0"/>
                      <w:sz w:val="24"/>
                      <w:szCs w:val="24"/>
                      <w:lang w:val="en-US" w:eastAsia="zh-CN"/>
                    </w:rPr>
                  </w:pPr>
                </w:p>
              </w:tc>
              <w:tc>
                <w:tcPr>
                  <w:tcW w:w="598" w:type="pct"/>
                  <w:vAlign w:val="center"/>
                </w:tcPr>
                <w:p w14:paraId="2FFA66C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p>
              </w:tc>
              <w:tc>
                <w:tcPr>
                  <w:tcW w:w="422" w:type="pct"/>
                  <w:vAlign w:val="center"/>
                </w:tcPr>
                <w:p w14:paraId="56758CC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eastAsia="zh-CN"/>
                    </w:rPr>
                  </w:pPr>
                  <w:r>
                    <w:rPr>
                      <w:rFonts w:hint="default" w:ascii="Times New Roman" w:hAnsi="Times New Roman" w:eastAsia="宋体" w:cs="Times New Roman"/>
                      <w:color w:val="auto"/>
                      <w:w w:val="100"/>
                      <w:sz w:val="21"/>
                      <w:szCs w:val="21"/>
                      <w:lang w:eastAsia="zh-CN"/>
                    </w:rPr>
                    <w:t>套</w:t>
                  </w:r>
                </w:p>
              </w:tc>
              <w:tc>
                <w:tcPr>
                  <w:tcW w:w="436" w:type="pct"/>
                  <w:vAlign w:val="center"/>
                </w:tcPr>
                <w:p w14:paraId="05DBBC5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2</w:t>
                  </w:r>
                </w:p>
              </w:tc>
              <w:tc>
                <w:tcPr>
                  <w:tcW w:w="436" w:type="pct"/>
                  <w:vMerge w:val="continue"/>
                  <w:vAlign w:val="center"/>
                </w:tcPr>
                <w:p w14:paraId="1A4D202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6D488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95" w:type="pct"/>
                  <w:vMerge w:val="restart"/>
                  <w:vAlign w:val="center"/>
                </w:tcPr>
                <w:p w14:paraId="1CDA0DB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公</w:t>
                  </w:r>
                  <w:r>
                    <w:rPr>
                      <w:rFonts w:hint="default" w:ascii="Times New Roman" w:hAnsi="Times New Roman" w:eastAsia="宋体" w:cs="Times New Roman"/>
                      <w:color w:val="auto"/>
                      <w:sz w:val="21"/>
                      <w:szCs w:val="21"/>
                    </w:rPr>
                    <w:t>用工程</w:t>
                  </w:r>
                </w:p>
              </w:tc>
              <w:tc>
                <w:tcPr>
                  <w:tcW w:w="449" w:type="pct"/>
                  <w:vAlign w:val="center"/>
                </w:tcPr>
                <w:p w14:paraId="1A417BD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1093" w:type="pct"/>
                  <w:vAlign w:val="center"/>
                </w:tcPr>
                <w:p w14:paraId="12D4391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w:t>
                  </w:r>
                  <w:r>
                    <w:rPr>
                      <w:rFonts w:hint="default" w:ascii="Times New Roman" w:hAnsi="Times New Roman" w:eastAsia="宋体" w:cs="Times New Roman"/>
                      <w:color w:val="auto"/>
                      <w:sz w:val="21"/>
                      <w:szCs w:val="21"/>
                      <w:lang w:eastAsia="zh-CN"/>
                    </w:rPr>
                    <w:t>处理系统</w:t>
                  </w:r>
                </w:p>
              </w:tc>
              <w:tc>
                <w:tcPr>
                  <w:tcW w:w="1069" w:type="pct"/>
                  <w:vAlign w:val="center"/>
                </w:tcPr>
                <w:p w14:paraId="6B493F1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22B0430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50t/d</w:t>
                  </w:r>
                </w:p>
              </w:tc>
              <w:tc>
                <w:tcPr>
                  <w:tcW w:w="422" w:type="pct"/>
                  <w:vAlign w:val="center"/>
                </w:tcPr>
                <w:p w14:paraId="416675D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436" w:type="pct"/>
                  <w:vAlign w:val="center"/>
                </w:tcPr>
                <w:p w14:paraId="72AF065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restart"/>
                  <w:vAlign w:val="center"/>
                </w:tcPr>
                <w:p w14:paraId="3EDDEF6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lang w:val="en-US" w:eastAsia="zh-CN"/>
                    </w:rPr>
                  </w:pPr>
                  <w:r>
                    <w:rPr>
                      <w:rFonts w:hint="default" w:ascii="Times New Roman" w:hAnsi="Times New Roman" w:eastAsia="宋体" w:cs="Times New Roman"/>
                      <w:color w:val="auto"/>
                      <w:w w:val="100"/>
                      <w:sz w:val="21"/>
                      <w:szCs w:val="21"/>
                      <w:lang w:val="en-US" w:eastAsia="zh-CN"/>
                    </w:rPr>
                    <w:t>原项目已建成</w:t>
                  </w:r>
                </w:p>
              </w:tc>
            </w:tr>
            <w:tr w14:paraId="1C29B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95" w:type="pct"/>
                  <w:vMerge w:val="continue"/>
                  <w:tcBorders>
                    <w:top w:val="nil"/>
                  </w:tcBorders>
                  <w:vAlign w:val="center"/>
                </w:tcPr>
                <w:p w14:paraId="3A244C6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335C1FD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w w:val="100"/>
                      <w:sz w:val="21"/>
                      <w:szCs w:val="21"/>
                      <w:lang w:val="en-US" w:eastAsia="zh-CN"/>
                    </w:rPr>
                    <w:t>2</w:t>
                  </w:r>
                </w:p>
              </w:tc>
              <w:tc>
                <w:tcPr>
                  <w:tcW w:w="1093" w:type="pct"/>
                  <w:vAlign w:val="center"/>
                </w:tcPr>
                <w:p w14:paraId="228DF36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叉车</w:t>
                  </w:r>
                </w:p>
              </w:tc>
              <w:tc>
                <w:tcPr>
                  <w:tcW w:w="1069" w:type="pct"/>
                  <w:vAlign w:val="center"/>
                </w:tcPr>
                <w:p w14:paraId="4C747BF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非防爆</w:t>
                  </w:r>
                </w:p>
              </w:tc>
              <w:tc>
                <w:tcPr>
                  <w:tcW w:w="598" w:type="pct"/>
                  <w:vAlign w:val="center"/>
                </w:tcPr>
                <w:p w14:paraId="6F934C1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736AF29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台</w:t>
                  </w:r>
                </w:p>
              </w:tc>
              <w:tc>
                <w:tcPr>
                  <w:tcW w:w="436" w:type="pct"/>
                  <w:vAlign w:val="center"/>
                </w:tcPr>
                <w:p w14:paraId="282E337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4CF4D3E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5899E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tcBorders>
                    <w:top w:val="nil"/>
                  </w:tcBorders>
                  <w:vAlign w:val="center"/>
                </w:tcPr>
                <w:p w14:paraId="5478B3C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7C46657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3</w:t>
                  </w:r>
                </w:p>
              </w:tc>
              <w:tc>
                <w:tcPr>
                  <w:tcW w:w="1093" w:type="pct"/>
                  <w:vAlign w:val="center"/>
                </w:tcPr>
                <w:p w14:paraId="0048E5D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叉车</w:t>
                  </w:r>
                </w:p>
              </w:tc>
              <w:tc>
                <w:tcPr>
                  <w:tcW w:w="1069" w:type="pct"/>
                  <w:vAlign w:val="center"/>
                </w:tcPr>
                <w:p w14:paraId="44CE52C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防爆型</w:t>
                  </w:r>
                </w:p>
              </w:tc>
              <w:tc>
                <w:tcPr>
                  <w:tcW w:w="598" w:type="pct"/>
                  <w:vAlign w:val="center"/>
                </w:tcPr>
                <w:p w14:paraId="7AFA94F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5ECF88C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台</w:t>
                  </w:r>
                </w:p>
              </w:tc>
              <w:tc>
                <w:tcPr>
                  <w:tcW w:w="436" w:type="pct"/>
                  <w:vAlign w:val="center"/>
                </w:tcPr>
                <w:p w14:paraId="37D862A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25EB8CB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6CB33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495" w:type="pct"/>
                  <w:vMerge w:val="continue"/>
                  <w:tcBorders>
                    <w:top w:val="nil"/>
                  </w:tcBorders>
                  <w:vAlign w:val="center"/>
                </w:tcPr>
                <w:p w14:paraId="5E24064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6ACE4C5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4</w:t>
                  </w:r>
                </w:p>
              </w:tc>
              <w:tc>
                <w:tcPr>
                  <w:tcW w:w="1093" w:type="pct"/>
                  <w:vAlign w:val="center"/>
                </w:tcPr>
                <w:p w14:paraId="00E6C63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液压车</w:t>
                  </w:r>
                </w:p>
              </w:tc>
              <w:tc>
                <w:tcPr>
                  <w:tcW w:w="1069" w:type="pct"/>
                  <w:vAlign w:val="center"/>
                </w:tcPr>
                <w:p w14:paraId="00EB047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598" w:type="pct"/>
                  <w:vAlign w:val="center"/>
                </w:tcPr>
                <w:p w14:paraId="6544FF2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014DAC8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台</w:t>
                  </w:r>
                </w:p>
              </w:tc>
              <w:tc>
                <w:tcPr>
                  <w:tcW w:w="436" w:type="pct"/>
                  <w:vAlign w:val="center"/>
                </w:tcPr>
                <w:p w14:paraId="70021F7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436" w:type="pct"/>
                  <w:vMerge w:val="continue"/>
                  <w:vAlign w:val="center"/>
                </w:tcPr>
                <w:p w14:paraId="1E5F12C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r w14:paraId="7909C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95" w:type="pct"/>
                  <w:vMerge w:val="continue"/>
                  <w:tcBorders>
                    <w:top w:val="nil"/>
                  </w:tcBorders>
                  <w:vAlign w:val="center"/>
                </w:tcPr>
                <w:p w14:paraId="7CA2F39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49" w:type="pct"/>
                  <w:vAlign w:val="center"/>
                </w:tcPr>
                <w:p w14:paraId="1B0C19A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5</w:t>
                  </w:r>
                </w:p>
              </w:tc>
              <w:tc>
                <w:tcPr>
                  <w:tcW w:w="1093" w:type="pct"/>
                  <w:vAlign w:val="center"/>
                </w:tcPr>
                <w:p w14:paraId="199AB9E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汽车地上衡</w:t>
                  </w:r>
                </w:p>
              </w:tc>
              <w:tc>
                <w:tcPr>
                  <w:tcW w:w="1069" w:type="pct"/>
                  <w:vAlign w:val="center"/>
                </w:tcPr>
                <w:p w14:paraId="667F852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60T</w:t>
                  </w:r>
                </w:p>
              </w:tc>
              <w:tc>
                <w:tcPr>
                  <w:tcW w:w="598" w:type="pct"/>
                  <w:vAlign w:val="center"/>
                </w:tcPr>
                <w:p w14:paraId="3FD0A32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22" w:type="pct"/>
                  <w:vAlign w:val="center"/>
                </w:tcPr>
                <w:p w14:paraId="29021C3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台</w:t>
                  </w:r>
                </w:p>
              </w:tc>
              <w:tc>
                <w:tcPr>
                  <w:tcW w:w="436" w:type="pct"/>
                  <w:vAlign w:val="center"/>
                </w:tcPr>
                <w:p w14:paraId="5FCC7B9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436" w:type="pct"/>
                  <w:vMerge w:val="continue"/>
                  <w:vAlign w:val="center"/>
                </w:tcPr>
                <w:p w14:paraId="7E99538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w w:val="100"/>
                      <w:sz w:val="21"/>
                      <w:szCs w:val="21"/>
                    </w:rPr>
                  </w:pPr>
                </w:p>
              </w:tc>
            </w:tr>
          </w:tbl>
          <w:p w14:paraId="42DCB6EA">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8、全厂原、辅材料消耗情况</w:t>
            </w:r>
          </w:p>
          <w:p w14:paraId="254F00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本项目扩建完成后，全厂原、辅材料用量见表2-5。</w:t>
            </w:r>
          </w:p>
          <w:p w14:paraId="70E7C2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ab/>
            </w:r>
            <w:r>
              <w:rPr>
                <w:rFonts w:hint="default" w:ascii="Times New Roman" w:hAnsi="Times New Roman" w:eastAsia="宋体" w:cs="Times New Roman"/>
                <w:b/>
                <w:bCs/>
                <w:color w:val="auto"/>
                <w:sz w:val="21"/>
                <w:szCs w:val="21"/>
                <w:lang w:val="en-US" w:eastAsia="zh-CN"/>
              </w:rPr>
              <w:t>水性乳胶涂料系列产品原辅材料消耗表</w:t>
            </w:r>
          </w:p>
          <w:tbl>
            <w:tblPr>
              <w:tblStyle w:val="28"/>
              <w:tblW w:w="4996"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autofit"/>
              <w:tblCellMar>
                <w:top w:w="0" w:type="dxa"/>
                <w:left w:w="0" w:type="dxa"/>
                <w:bottom w:w="0" w:type="dxa"/>
                <w:right w:w="0" w:type="dxa"/>
              </w:tblCellMar>
            </w:tblPr>
            <w:tblGrid>
              <w:gridCol w:w="550"/>
              <w:gridCol w:w="551"/>
              <w:gridCol w:w="1679"/>
              <w:gridCol w:w="1252"/>
              <w:gridCol w:w="1264"/>
              <w:gridCol w:w="3070"/>
            </w:tblGrid>
            <w:tr w14:paraId="00094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97" w:hRule="atLeast"/>
              </w:trPr>
              <w:tc>
                <w:tcPr>
                  <w:tcW w:w="329" w:type="pct"/>
                  <w:shd w:val="clear" w:color="auto" w:fill="auto"/>
                  <w:vAlign w:val="center"/>
                </w:tcPr>
                <w:p w14:paraId="0B627BB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种类</w:t>
                  </w:r>
                </w:p>
              </w:tc>
              <w:tc>
                <w:tcPr>
                  <w:tcW w:w="329" w:type="pct"/>
                  <w:tcBorders>
                    <w:right w:val="single" w:color="000000" w:sz="4" w:space="0"/>
                  </w:tcBorders>
                  <w:shd w:val="clear" w:color="auto" w:fill="auto"/>
                  <w:vAlign w:val="center"/>
                </w:tcPr>
                <w:p w14:paraId="677B874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003" w:type="pct"/>
                  <w:tcBorders>
                    <w:left w:val="single" w:color="000000" w:sz="4" w:space="0"/>
                  </w:tcBorders>
                  <w:shd w:val="clear" w:color="auto" w:fill="auto"/>
                  <w:vAlign w:val="center"/>
                </w:tcPr>
                <w:p w14:paraId="1C2D55B8">
                  <w:pPr>
                    <w:pStyle w:val="41"/>
                    <w:keepNext w:val="0"/>
                    <w:keepLines w:val="0"/>
                    <w:pageBreakBefore w:val="0"/>
                    <w:widowControl w:val="0"/>
                    <w:suppressLineNumbers w:val="0"/>
                    <w:tabs>
                      <w:tab w:val="left" w:pos="437"/>
                    </w:tabs>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名</w:t>
                  </w:r>
                  <w:r>
                    <w:rPr>
                      <w:rFonts w:hint="default" w:ascii="Times New Roman" w:hAnsi="Times New Roman" w:eastAsia="宋体" w:cs="Times New Roman"/>
                      <w:b/>
                      <w:color w:val="auto"/>
                      <w:sz w:val="21"/>
                      <w:szCs w:val="21"/>
                    </w:rPr>
                    <w:tab/>
                  </w:r>
                  <w:r>
                    <w:rPr>
                      <w:rFonts w:hint="default" w:ascii="Times New Roman" w:hAnsi="Times New Roman" w:eastAsia="宋体" w:cs="Times New Roman"/>
                      <w:b/>
                      <w:color w:val="auto"/>
                      <w:sz w:val="21"/>
                      <w:szCs w:val="21"/>
                    </w:rPr>
                    <w:t>称</w:t>
                  </w:r>
                </w:p>
              </w:tc>
              <w:tc>
                <w:tcPr>
                  <w:tcW w:w="748" w:type="pct"/>
                  <w:shd w:val="clear" w:color="auto" w:fill="auto"/>
                  <w:vAlign w:val="center"/>
                </w:tcPr>
                <w:p w14:paraId="3967C65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年消耗</w:t>
                  </w:r>
                  <w:r>
                    <w:rPr>
                      <w:rFonts w:hint="default" w:ascii="Times New Roman" w:hAnsi="Times New Roman" w:eastAsia="宋体" w:cs="Times New Roman"/>
                      <w:b/>
                      <w:color w:val="auto"/>
                      <w:sz w:val="21"/>
                      <w:szCs w:val="21"/>
                    </w:rPr>
                    <w:t>量</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lang w:val="en-US" w:eastAsia="zh-CN"/>
                    </w:rPr>
                    <w:t>t/a</w:t>
                  </w:r>
                  <w:r>
                    <w:rPr>
                      <w:rFonts w:hint="default" w:ascii="Times New Roman" w:hAnsi="Times New Roman" w:eastAsia="宋体" w:cs="Times New Roman"/>
                      <w:b/>
                      <w:color w:val="auto"/>
                      <w:sz w:val="21"/>
                      <w:szCs w:val="21"/>
                      <w:lang w:eastAsia="zh-CN"/>
                    </w:rPr>
                    <w:t>）</w:t>
                  </w:r>
                </w:p>
              </w:tc>
              <w:tc>
                <w:tcPr>
                  <w:tcW w:w="755" w:type="pct"/>
                  <w:shd w:val="clear" w:color="auto" w:fill="auto"/>
                  <w:vAlign w:val="center"/>
                </w:tcPr>
                <w:p w14:paraId="0D0BDD2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厂区最大暂存量</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lang w:val="en-US" w:eastAsia="zh-CN"/>
                    </w:rPr>
                    <w:t>t</w:t>
                  </w:r>
                  <w:r>
                    <w:rPr>
                      <w:rFonts w:hint="default" w:ascii="Times New Roman" w:hAnsi="Times New Roman" w:eastAsia="宋体" w:cs="Times New Roman"/>
                      <w:b/>
                      <w:color w:val="auto"/>
                      <w:sz w:val="21"/>
                      <w:szCs w:val="21"/>
                      <w:lang w:eastAsia="zh-CN"/>
                    </w:rPr>
                    <w:t>）</w:t>
                  </w:r>
                </w:p>
              </w:tc>
              <w:tc>
                <w:tcPr>
                  <w:tcW w:w="1834" w:type="pct"/>
                  <w:shd w:val="clear" w:color="auto" w:fill="auto"/>
                  <w:vAlign w:val="center"/>
                </w:tcPr>
                <w:p w14:paraId="14B7FCA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来源</w:t>
                  </w:r>
                </w:p>
              </w:tc>
            </w:tr>
            <w:tr w14:paraId="3B4BE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29" w:type="pct"/>
                  <w:vMerge w:val="restart"/>
                  <w:shd w:val="clear" w:color="auto" w:fill="auto"/>
                  <w:vAlign w:val="center"/>
                </w:tcPr>
                <w:p w14:paraId="071FE50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p w14:paraId="6901DDB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p w14:paraId="614BE41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颜填料</w:t>
                  </w:r>
                </w:p>
              </w:tc>
              <w:tc>
                <w:tcPr>
                  <w:tcW w:w="329" w:type="pct"/>
                  <w:tcBorders>
                    <w:right w:val="single" w:color="000000" w:sz="4" w:space="0"/>
                  </w:tcBorders>
                  <w:shd w:val="clear" w:color="auto" w:fill="auto"/>
                  <w:vAlign w:val="center"/>
                </w:tcPr>
                <w:p w14:paraId="0E1205A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1003" w:type="pct"/>
                  <w:tcBorders>
                    <w:left w:val="single" w:color="000000" w:sz="4" w:space="0"/>
                  </w:tcBorders>
                  <w:shd w:val="clear" w:color="auto" w:fill="auto"/>
                  <w:vAlign w:val="center"/>
                </w:tcPr>
                <w:p w14:paraId="7E1ADB5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金红石钛白粉</w:t>
                  </w:r>
                </w:p>
              </w:tc>
              <w:tc>
                <w:tcPr>
                  <w:tcW w:w="1252" w:type="dxa"/>
                  <w:shd w:val="clear" w:color="auto" w:fill="auto"/>
                  <w:vAlign w:val="center"/>
                </w:tcPr>
                <w:p w14:paraId="76AD3B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3802.5</w:t>
                  </w:r>
                </w:p>
              </w:tc>
              <w:tc>
                <w:tcPr>
                  <w:tcW w:w="755" w:type="pct"/>
                  <w:tcBorders>
                    <w:bottom w:val="single" w:color="000000" w:sz="4" w:space="0"/>
                  </w:tcBorders>
                  <w:shd w:val="clear" w:color="auto" w:fill="auto"/>
                  <w:vAlign w:val="center"/>
                </w:tcPr>
                <w:p w14:paraId="7D3FBD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834" w:type="pct"/>
                  <w:tcBorders>
                    <w:bottom w:val="single" w:color="000000" w:sz="4" w:space="0"/>
                  </w:tcBorders>
                  <w:shd w:val="clear" w:color="auto" w:fill="auto"/>
                  <w:vAlign w:val="center"/>
                </w:tcPr>
                <w:p w14:paraId="1DC5D88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富民工业园区钛白粉生产企业</w:t>
                  </w:r>
                </w:p>
              </w:tc>
            </w:tr>
            <w:tr w14:paraId="5CEE3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29" w:type="pct"/>
                  <w:vMerge w:val="continue"/>
                  <w:tcBorders>
                    <w:top w:val="nil"/>
                  </w:tcBorders>
                  <w:shd w:val="clear" w:color="auto" w:fill="auto"/>
                  <w:vAlign w:val="center"/>
                </w:tcPr>
                <w:p w14:paraId="12FC0E4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329" w:type="pct"/>
                  <w:tcBorders>
                    <w:right w:val="single" w:color="000000" w:sz="4" w:space="0"/>
                  </w:tcBorders>
                  <w:shd w:val="clear" w:color="auto" w:fill="auto"/>
                  <w:vAlign w:val="center"/>
                </w:tcPr>
                <w:p w14:paraId="3D68DE7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1003" w:type="pct"/>
                  <w:tcBorders>
                    <w:left w:val="single" w:color="000000" w:sz="4" w:space="0"/>
                  </w:tcBorders>
                  <w:shd w:val="clear" w:color="auto" w:fill="auto"/>
                  <w:vAlign w:val="center"/>
                </w:tcPr>
                <w:p w14:paraId="7CD43C5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重质碳酸钙</w:t>
                  </w:r>
                </w:p>
              </w:tc>
              <w:tc>
                <w:tcPr>
                  <w:tcW w:w="1252" w:type="dxa"/>
                  <w:shd w:val="clear" w:color="auto" w:fill="auto"/>
                  <w:vAlign w:val="center"/>
                </w:tcPr>
                <w:p w14:paraId="1A6D44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24435.47</w:t>
                  </w:r>
                </w:p>
              </w:tc>
              <w:tc>
                <w:tcPr>
                  <w:tcW w:w="755" w:type="pct"/>
                  <w:tcBorders>
                    <w:top w:val="single" w:color="000000" w:sz="4" w:space="0"/>
                  </w:tcBorders>
                  <w:shd w:val="clear" w:color="auto" w:fill="auto"/>
                  <w:vAlign w:val="center"/>
                </w:tcPr>
                <w:p w14:paraId="1384EF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834" w:type="pct"/>
                  <w:tcBorders>
                    <w:top w:val="single" w:color="000000" w:sz="4" w:space="0"/>
                  </w:tcBorders>
                  <w:shd w:val="clear" w:color="auto" w:fill="auto"/>
                  <w:vAlign w:val="center"/>
                </w:tcPr>
                <w:p w14:paraId="70D4D0E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省内购买</w:t>
                  </w:r>
                </w:p>
              </w:tc>
            </w:tr>
            <w:tr w14:paraId="7761B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29" w:type="pct"/>
                  <w:vMerge w:val="continue"/>
                  <w:tcBorders>
                    <w:top w:val="nil"/>
                  </w:tcBorders>
                  <w:shd w:val="clear" w:color="auto" w:fill="auto"/>
                  <w:vAlign w:val="center"/>
                </w:tcPr>
                <w:p w14:paraId="19A0AAB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329" w:type="pct"/>
                  <w:tcBorders>
                    <w:right w:val="single" w:color="000000" w:sz="4" w:space="0"/>
                  </w:tcBorders>
                  <w:shd w:val="clear" w:color="auto" w:fill="auto"/>
                  <w:vAlign w:val="center"/>
                </w:tcPr>
                <w:p w14:paraId="361CABB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3</w:t>
                  </w:r>
                </w:p>
              </w:tc>
              <w:tc>
                <w:tcPr>
                  <w:tcW w:w="1003" w:type="pct"/>
                  <w:tcBorders>
                    <w:left w:val="single" w:color="000000" w:sz="4" w:space="0"/>
                  </w:tcBorders>
                  <w:shd w:val="clear" w:color="auto" w:fill="auto"/>
                  <w:vAlign w:val="center"/>
                </w:tcPr>
                <w:p w14:paraId="6ABCF53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高岭土</w:t>
                  </w:r>
                </w:p>
              </w:tc>
              <w:tc>
                <w:tcPr>
                  <w:tcW w:w="1252" w:type="dxa"/>
                  <w:shd w:val="clear" w:color="auto" w:fill="auto"/>
                  <w:vAlign w:val="center"/>
                </w:tcPr>
                <w:p w14:paraId="05A99B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7608.055</w:t>
                  </w:r>
                </w:p>
              </w:tc>
              <w:tc>
                <w:tcPr>
                  <w:tcW w:w="755" w:type="pct"/>
                  <w:shd w:val="clear" w:color="auto" w:fill="auto"/>
                  <w:vAlign w:val="center"/>
                </w:tcPr>
                <w:p w14:paraId="45BF8D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834" w:type="pct"/>
                  <w:shd w:val="clear" w:color="auto" w:fill="auto"/>
                  <w:vAlign w:val="center"/>
                </w:tcPr>
                <w:p w14:paraId="149BACB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省内购买</w:t>
                  </w:r>
                </w:p>
              </w:tc>
            </w:tr>
            <w:tr w14:paraId="6758F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329" w:type="pct"/>
                  <w:vMerge w:val="continue"/>
                  <w:tcBorders>
                    <w:top w:val="nil"/>
                  </w:tcBorders>
                  <w:shd w:val="clear" w:color="auto" w:fill="auto"/>
                  <w:vAlign w:val="center"/>
                </w:tcPr>
                <w:p w14:paraId="4D74069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329" w:type="pct"/>
                  <w:tcBorders>
                    <w:right w:val="single" w:color="000000" w:sz="4" w:space="0"/>
                  </w:tcBorders>
                  <w:shd w:val="clear" w:color="auto" w:fill="auto"/>
                  <w:vAlign w:val="center"/>
                </w:tcPr>
                <w:p w14:paraId="75FB486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4</w:t>
                  </w:r>
                </w:p>
              </w:tc>
              <w:tc>
                <w:tcPr>
                  <w:tcW w:w="1003" w:type="pct"/>
                  <w:tcBorders>
                    <w:left w:val="single" w:color="000000" w:sz="4" w:space="0"/>
                  </w:tcBorders>
                  <w:shd w:val="clear" w:color="auto" w:fill="auto"/>
                  <w:vAlign w:val="center"/>
                </w:tcPr>
                <w:p w14:paraId="39306C2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醋丙乳液</w:t>
                  </w:r>
                </w:p>
              </w:tc>
              <w:tc>
                <w:tcPr>
                  <w:tcW w:w="1252" w:type="dxa"/>
                  <w:shd w:val="clear" w:color="auto" w:fill="auto"/>
                  <w:vAlign w:val="center"/>
                </w:tcPr>
                <w:p w14:paraId="33DE5B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2936.25</w:t>
                  </w:r>
                </w:p>
              </w:tc>
              <w:tc>
                <w:tcPr>
                  <w:tcW w:w="755" w:type="pct"/>
                  <w:shd w:val="clear" w:color="auto" w:fill="auto"/>
                  <w:vAlign w:val="center"/>
                </w:tcPr>
                <w:p w14:paraId="28DDA4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834" w:type="pct"/>
                  <w:shd w:val="clear" w:color="auto" w:fill="auto"/>
                  <w:vAlign w:val="center"/>
                </w:tcPr>
                <w:p w14:paraId="4399859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战略合作企业及伙伴</w:t>
                  </w:r>
                </w:p>
              </w:tc>
            </w:tr>
            <w:tr w14:paraId="173B9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29" w:type="pct"/>
                  <w:vMerge w:val="continue"/>
                  <w:tcBorders>
                    <w:top w:val="nil"/>
                  </w:tcBorders>
                  <w:shd w:val="clear" w:color="auto" w:fill="auto"/>
                  <w:vAlign w:val="center"/>
                </w:tcPr>
                <w:p w14:paraId="43010AB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329" w:type="pct"/>
                  <w:tcBorders>
                    <w:right w:val="single" w:color="000000" w:sz="4" w:space="0"/>
                  </w:tcBorders>
                  <w:shd w:val="clear" w:color="auto" w:fill="auto"/>
                  <w:vAlign w:val="center"/>
                </w:tcPr>
                <w:p w14:paraId="55F6E73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5</w:t>
                  </w:r>
                </w:p>
              </w:tc>
              <w:tc>
                <w:tcPr>
                  <w:tcW w:w="1003" w:type="pct"/>
                  <w:tcBorders>
                    <w:left w:val="single" w:color="000000" w:sz="4" w:space="0"/>
                  </w:tcBorders>
                  <w:shd w:val="clear" w:color="auto" w:fill="auto"/>
                  <w:vAlign w:val="center"/>
                </w:tcPr>
                <w:p w14:paraId="3D22CE1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苯乙烯-丙烯酸聚合乳液</w:t>
                  </w:r>
                </w:p>
              </w:tc>
              <w:tc>
                <w:tcPr>
                  <w:tcW w:w="1252" w:type="dxa"/>
                  <w:shd w:val="clear" w:color="auto" w:fill="auto"/>
                  <w:vAlign w:val="center"/>
                </w:tcPr>
                <w:p w14:paraId="761240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7973.174</w:t>
                  </w:r>
                </w:p>
              </w:tc>
              <w:tc>
                <w:tcPr>
                  <w:tcW w:w="755" w:type="pct"/>
                  <w:shd w:val="clear" w:color="auto" w:fill="auto"/>
                  <w:vAlign w:val="center"/>
                </w:tcPr>
                <w:p w14:paraId="7DD5FA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834" w:type="pct"/>
                  <w:shd w:val="clear" w:color="auto" w:fill="auto"/>
                  <w:vAlign w:val="center"/>
                </w:tcPr>
                <w:p w14:paraId="65D433E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战略合作企业及伙伴</w:t>
                  </w:r>
                </w:p>
              </w:tc>
            </w:tr>
            <w:tr w14:paraId="077E2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29" w:type="pct"/>
                  <w:shd w:val="clear" w:color="auto" w:fill="auto"/>
                  <w:vAlign w:val="center"/>
                </w:tcPr>
                <w:p w14:paraId="3393F49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溶剂</w:t>
                  </w:r>
                </w:p>
              </w:tc>
              <w:tc>
                <w:tcPr>
                  <w:tcW w:w="329" w:type="pct"/>
                  <w:tcBorders>
                    <w:right w:val="single" w:color="000000" w:sz="4" w:space="0"/>
                  </w:tcBorders>
                  <w:shd w:val="clear" w:color="auto" w:fill="auto"/>
                  <w:vAlign w:val="center"/>
                </w:tcPr>
                <w:p w14:paraId="1B6EF25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6</w:t>
                  </w:r>
                </w:p>
              </w:tc>
              <w:tc>
                <w:tcPr>
                  <w:tcW w:w="1003" w:type="pct"/>
                  <w:tcBorders>
                    <w:left w:val="single" w:color="000000" w:sz="4" w:space="0"/>
                  </w:tcBorders>
                  <w:shd w:val="clear" w:color="auto" w:fill="auto"/>
                  <w:vAlign w:val="center"/>
                </w:tcPr>
                <w:p w14:paraId="5E64E51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过滤水</w:t>
                  </w:r>
                </w:p>
              </w:tc>
              <w:tc>
                <w:tcPr>
                  <w:tcW w:w="1252" w:type="dxa"/>
                  <w:shd w:val="clear" w:color="auto" w:fill="auto"/>
                  <w:vAlign w:val="center"/>
                </w:tcPr>
                <w:p w14:paraId="077743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26906.55</w:t>
                  </w:r>
                </w:p>
              </w:tc>
              <w:tc>
                <w:tcPr>
                  <w:tcW w:w="755" w:type="pct"/>
                  <w:shd w:val="clear" w:color="auto" w:fill="auto"/>
                  <w:vAlign w:val="center"/>
                </w:tcPr>
                <w:p w14:paraId="19322C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834" w:type="pct"/>
                  <w:shd w:val="clear" w:color="auto" w:fill="auto"/>
                  <w:vAlign w:val="center"/>
                </w:tcPr>
                <w:p w14:paraId="61717F0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工业园区</w:t>
                  </w:r>
                </w:p>
              </w:tc>
            </w:tr>
            <w:tr w14:paraId="7AD74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329" w:type="pct"/>
                  <w:vMerge w:val="restart"/>
                  <w:shd w:val="clear" w:color="auto" w:fill="auto"/>
                  <w:vAlign w:val="center"/>
                </w:tcPr>
                <w:p w14:paraId="3FB3FB6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p w14:paraId="6524D5E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p w14:paraId="2F42281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p w14:paraId="0E9629F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助剂</w:t>
                  </w:r>
                </w:p>
              </w:tc>
              <w:tc>
                <w:tcPr>
                  <w:tcW w:w="329" w:type="pct"/>
                  <w:tcBorders>
                    <w:right w:val="single" w:color="000000" w:sz="4" w:space="0"/>
                  </w:tcBorders>
                  <w:shd w:val="clear" w:color="auto" w:fill="auto"/>
                  <w:vAlign w:val="center"/>
                </w:tcPr>
                <w:p w14:paraId="6143F0F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7</w:t>
                  </w:r>
                </w:p>
              </w:tc>
              <w:tc>
                <w:tcPr>
                  <w:tcW w:w="1003" w:type="pct"/>
                  <w:tcBorders>
                    <w:left w:val="single" w:color="000000" w:sz="4" w:space="0"/>
                  </w:tcBorders>
                  <w:shd w:val="clear" w:color="auto" w:fill="auto"/>
                  <w:vAlign w:val="center"/>
                </w:tcPr>
                <w:p w14:paraId="52DD747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成膜助剂（十二碳酸酯）</w:t>
                  </w:r>
                </w:p>
              </w:tc>
              <w:tc>
                <w:tcPr>
                  <w:tcW w:w="1252" w:type="dxa"/>
                  <w:shd w:val="clear" w:color="auto" w:fill="auto"/>
                  <w:vAlign w:val="center"/>
                </w:tcPr>
                <w:p w14:paraId="72393E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596.75</w:t>
                  </w:r>
                </w:p>
              </w:tc>
              <w:tc>
                <w:tcPr>
                  <w:tcW w:w="755" w:type="pct"/>
                  <w:shd w:val="clear" w:color="auto" w:fill="auto"/>
                  <w:vAlign w:val="center"/>
                </w:tcPr>
                <w:p w14:paraId="54C5C9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1834" w:type="pct"/>
                  <w:shd w:val="clear" w:color="auto" w:fill="auto"/>
                  <w:vAlign w:val="center"/>
                </w:tcPr>
                <w:p w14:paraId="5603756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省内购买</w:t>
                  </w:r>
                </w:p>
              </w:tc>
            </w:tr>
            <w:tr w14:paraId="0968A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29" w:type="pct"/>
                  <w:vMerge w:val="continue"/>
                  <w:tcBorders>
                    <w:top w:val="nil"/>
                  </w:tcBorders>
                  <w:shd w:val="clear" w:color="auto" w:fill="auto"/>
                  <w:vAlign w:val="center"/>
                </w:tcPr>
                <w:p w14:paraId="5399F0F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329" w:type="pct"/>
                  <w:tcBorders>
                    <w:right w:val="single" w:color="000000" w:sz="4" w:space="0"/>
                  </w:tcBorders>
                  <w:shd w:val="clear" w:color="auto" w:fill="auto"/>
                  <w:vAlign w:val="center"/>
                </w:tcPr>
                <w:p w14:paraId="076021E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8</w:t>
                  </w:r>
                </w:p>
              </w:tc>
              <w:tc>
                <w:tcPr>
                  <w:tcW w:w="1003" w:type="pct"/>
                  <w:tcBorders>
                    <w:left w:val="single" w:color="000000" w:sz="4" w:space="0"/>
                  </w:tcBorders>
                  <w:shd w:val="clear" w:color="auto" w:fill="auto"/>
                  <w:vAlign w:val="center"/>
                </w:tcPr>
                <w:p w14:paraId="14142D7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增稠剂（羟乙基纤维素）</w:t>
                  </w:r>
                </w:p>
              </w:tc>
              <w:tc>
                <w:tcPr>
                  <w:tcW w:w="1252" w:type="dxa"/>
                  <w:shd w:val="clear" w:color="auto" w:fill="auto"/>
                  <w:vAlign w:val="center"/>
                </w:tcPr>
                <w:p w14:paraId="6BC09D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755" w:type="pct"/>
                  <w:shd w:val="clear" w:color="auto" w:fill="auto"/>
                  <w:vAlign w:val="center"/>
                </w:tcPr>
                <w:p w14:paraId="22FA7B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1834" w:type="pct"/>
                  <w:shd w:val="clear" w:color="auto" w:fill="auto"/>
                  <w:vAlign w:val="center"/>
                </w:tcPr>
                <w:p w14:paraId="031F25D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省内购买</w:t>
                  </w:r>
                </w:p>
              </w:tc>
            </w:tr>
            <w:tr w14:paraId="4EC28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29" w:type="pct"/>
                  <w:vMerge w:val="continue"/>
                  <w:tcBorders>
                    <w:top w:val="nil"/>
                  </w:tcBorders>
                  <w:shd w:val="clear" w:color="auto" w:fill="auto"/>
                  <w:vAlign w:val="center"/>
                </w:tcPr>
                <w:p w14:paraId="077C740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329" w:type="pct"/>
                  <w:tcBorders>
                    <w:right w:val="single" w:color="000000" w:sz="4" w:space="0"/>
                  </w:tcBorders>
                  <w:shd w:val="clear" w:color="auto" w:fill="auto"/>
                  <w:vAlign w:val="center"/>
                </w:tcPr>
                <w:p w14:paraId="186E5BA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9</w:t>
                  </w:r>
                </w:p>
              </w:tc>
              <w:tc>
                <w:tcPr>
                  <w:tcW w:w="1003" w:type="pct"/>
                  <w:tcBorders>
                    <w:left w:val="single" w:color="000000" w:sz="4" w:space="0"/>
                  </w:tcBorders>
                  <w:shd w:val="clear" w:color="auto" w:fill="auto"/>
                  <w:vAlign w:val="center"/>
                </w:tcPr>
                <w:p w14:paraId="1872F52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分散剂（聚丙烯酸钠盐）</w:t>
                  </w:r>
                </w:p>
              </w:tc>
              <w:tc>
                <w:tcPr>
                  <w:tcW w:w="1252" w:type="dxa"/>
                  <w:shd w:val="clear" w:color="auto" w:fill="auto"/>
                  <w:vAlign w:val="center"/>
                </w:tcPr>
                <w:p w14:paraId="1FAE65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755" w:type="pct"/>
                  <w:shd w:val="clear" w:color="auto" w:fill="auto"/>
                  <w:vAlign w:val="center"/>
                </w:tcPr>
                <w:p w14:paraId="2F1004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1834" w:type="pct"/>
                  <w:shd w:val="clear" w:color="auto" w:fill="auto"/>
                  <w:vAlign w:val="center"/>
                </w:tcPr>
                <w:p w14:paraId="4B5A31F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省内购买</w:t>
                  </w:r>
                </w:p>
              </w:tc>
            </w:tr>
            <w:tr w14:paraId="25357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29" w:type="pct"/>
                  <w:vMerge w:val="continue"/>
                  <w:tcBorders>
                    <w:top w:val="nil"/>
                  </w:tcBorders>
                  <w:shd w:val="clear" w:color="auto" w:fill="auto"/>
                  <w:vAlign w:val="center"/>
                </w:tcPr>
                <w:p w14:paraId="5AEADC5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329" w:type="pct"/>
                  <w:tcBorders>
                    <w:right w:val="single" w:color="000000" w:sz="4" w:space="0"/>
                  </w:tcBorders>
                  <w:shd w:val="clear" w:color="auto" w:fill="auto"/>
                  <w:vAlign w:val="center"/>
                </w:tcPr>
                <w:p w14:paraId="0234A63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003" w:type="pct"/>
                  <w:tcBorders>
                    <w:left w:val="single" w:color="000000" w:sz="4" w:space="0"/>
                  </w:tcBorders>
                  <w:shd w:val="clear" w:color="auto" w:fill="auto"/>
                  <w:vAlign w:val="center"/>
                </w:tcPr>
                <w:p w14:paraId="0DBF90F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消泡剂（矿物油）</w:t>
                  </w:r>
                </w:p>
              </w:tc>
              <w:tc>
                <w:tcPr>
                  <w:tcW w:w="1252" w:type="dxa"/>
                  <w:shd w:val="clear" w:color="auto" w:fill="auto"/>
                  <w:vAlign w:val="center"/>
                </w:tcPr>
                <w:p w14:paraId="331049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165.5</w:t>
                  </w:r>
                </w:p>
              </w:tc>
              <w:tc>
                <w:tcPr>
                  <w:tcW w:w="755" w:type="pct"/>
                  <w:shd w:val="clear" w:color="auto" w:fill="auto"/>
                  <w:vAlign w:val="center"/>
                </w:tcPr>
                <w:p w14:paraId="0553E8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834" w:type="pct"/>
                  <w:shd w:val="clear" w:color="auto" w:fill="auto"/>
                  <w:vAlign w:val="center"/>
                </w:tcPr>
                <w:p w14:paraId="1355166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省内购买</w:t>
                  </w:r>
                </w:p>
              </w:tc>
            </w:tr>
            <w:tr w14:paraId="459A6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29" w:type="pct"/>
                  <w:vMerge w:val="continue"/>
                  <w:tcBorders>
                    <w:top w:val="nil"/>
                  </w:tcBorders>
                  <w:shd w:val="clear" w:color="auto" w:fill="auto"/>
                  <w:vAlign w:val="center"/>
                </w:tcPr>
                <w:p w14:paraId="36289AF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329" w:type="pct"/>
                  <w:tcBorders>
                    <w:right w:val="single" w:color="000000" w:sz="4" w:space="0"/>
                  </w:tcBorders>
                  <w:shd w:val="clear" w:color="auto" w:fill="auto"/>
                  <w:vAlign w:val="center"/>
                </w:tcPr>
                <w:p w14:paraId="74507B9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003" w:type="pct"/>
                  <w:tcBorders>
                    <w:left w:val="single" w:color="000000" w:sz="4" w:space="0"/>
                  </w:tcBorders>
                  <w:shd w:val="clear" w:color="auto" w:fill="auto"/>
                  <w:vAlign w:val="center"/>
                </w:tcPr>
                <w:p w14:paraId="041B78C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防冻剂（丙二醇）</w:t>
                  </w:r>
                </w:p>
              </w:tc>
              <w:tc>
                <w:tcPr>
                  <w:tcW w:w="1252" w:type="dxa"/>
                  <w:shd w:val="clear" w:color="auto" w:fill="auto"/>
                  <w:vAlign w:val="center"/>
                </w:tcPr>
                <w:p w14:paraId="157226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86.25</w:t>
                  </w:r>
                </w:p>
              </w:tc>
              <w:tc>
                <w:tcPr>
                  <w:tcW w:w="755" w:type="pct"/>
                  <w:shd w:val="clear" w:color="auto" w:fill="auto"/>
                  <w:vAlign w:val="center"/>
                </w:tcPr>
                <w:p w14:paraId="4BCBC3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1834" w:type="pct"/>
                  <w:shd w:val="clear" w:color="auto" w:fill="auto"/>
                  <w:vAlign w:val="center"/>
                </w:tcPr>
                <w:p w14:paraId="25FFF39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省内购买</w:t>
                  </w:r>
                </w:p>
              </w:tc>
            </w:tr>
          </w:tbl>
          <w:p w14:paraId="6477E8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 xml:space="preserve">表 </w:t>
            </w:r>
            <w:r>
              <w:rPr>
                <w:rFonts w:hint="eastAsia" w:cs="Times New Roman"/>
                <w:b/>
                <w:bCs/>
                <w:color w:val="auto"/>
                <w:sz w:val="21"/>
                <w:szCs w:val="21"/>
                <w:lang w:val="en-US" w:eastAsia="zh-CN"/>
              </w:rPr>
              <w:t>2-6</w:t>
            </w:r>
            <w:r>
              <w:rPr>
                <w:rFonts w:hint="default" w:ascii="Times New Roman" w:hAnsi="Times New Roman" w:eastAsia="宋体" w:cs="Times New Roman"/>
                <w:b/>
                <w:bCs/>
                <w:color w:val="auto"/>
                <w:sz w:val="21"/>
                <w:szCs w:val="21"/>
                <w:lang w:val="en-US" w:eastAsia="zh-CN"/>
              </w:rPr>
              <w:t xml:space="preserve"> 砂壁产品原辅材料消耗表</w:t>
            </w:r>
          </w:p>
          <w:tbl>
            <w:tblPr>
              <w:tblStyle w:val="28"/>
              <w:tblW w:w="4994"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autofit"/>
              <w:tblCellMar>
                <w:top w:w="0" w:type="dxa"/>
                <w:left w:w="0" w:type="dxa"/>
                <w:bottom w:w="0" w:type="dxa"/>
                <w:right w:w="0" w:type="dxa"/>
              </w:tblCellMar>
            </w:tblPr>
            <w:tblGrid>
              <w:gridCol w:w="564"/>
              <w:gridCol w:w="571"/>
              <w:gridCol w:w="1993"/>
              <w:gridCol w:w="1675"/>
              <w:gridCol w:w="1245"/>
              <w:gridCol w:w="2315"/>
            </w:tblGrid>
            <w:tr w14:paraId="25687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97" w:hRule="atLeast"/>
              </w:trPr>
              <w:tc>
                <w:tcPr>
                  <w:tcW w:w="337" w:type="pct"/>
                  <w:shd w:val="clear" w:color="auto" w:fill="auto"/>
                  <w:vAlign w:val="center"/>
                </w:tcPr>
                <w:p w14:paraId="379D592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种类</w:t>
                  </w:r>
                </w:p>
              </w:tc>
              <w:tc>
                <w:tcPr>
                  <w:tcW w:w="341" w:type="pct"/>
                  <w:tcBorders>
                    <w:right w:val="single" w:color="000000" w:sz="4" w:space="0"/>
                  </w:tcBorders>
                  <w:shd w:val="clear" w:color="auto" w:fill="auto"/>
                  <w:vAlign w:val="center"/>
                </w:tcPr>
                <w:p w14:paraId="1836DAA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序号</w:t>
                  </w:r>
                </w:p>
              </w:tc>
              <w:tc>
                <w:tcPr>
                  <w:tcW w:w="1191" w:type="pct"/>
                  <w:tcBorders>
                    <w:left w:val="single" w:color="000000" w:sz="4" w:space="0"/>
                  </w:tcBorders>
                  <w:shd w:val="clear" w:color="auto" w:fill="auto"/>
                  <w:vAlign w:val="center"/>
                </w:tcPr>
                <w:p w14:paraId="5947BB0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名</w:t>
                  </w:r>
                  <w:r>
                    <w:rPr>
                      <w:rFonts w:hint="default" w:ascii="Times New Roman" w:hAnsi="Times New Roman" w:eastAsia="宋体" w:cs="Times New Roman"/>
                      <w:color w:val="auto"/>
                      <w:sz w:val="21"/>
                    </w:rPr>
                    <w:tab/>
                  </w:r>
                  <w:r>
                    <w:rPr>
                      <w:rFonts w:hint="default" w:ascii="Times New Roman" w:hAnsi="Times New Roman" w:eastAsia="宋体" w:cs="Times New Roman"/>
                      <w:color w:val="auto"/>
                      <w:sz w:val="21"/>
                    </w:rPr>
                    <w:t>称</w:t>
                  </w:r>
                </w:p>
              </w:tc>
              <w:tc>
                <w:tcPr>
                  <w:tcW w:w="1001" w:type="pct"/>
                  <w:shd w:val="clear" w:color="auto" w:fill="auto"/>
                  <w:vAlign w:val="center"/>
                </w:tcPr>
                <w:p w14:paraId="1129DEE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eastAsia="zh-CN"/>
                    </w:rPr>
                    <w:t>年消耗</w:t>
                  </w:r>
                  <w:r>
                    <w:rPr>
                      <w:rFonts w:hint="default" w:ascii="Times New Roman" w:hAnsi="Times New Roman" w:eastAsia="宋体" w:cs="Times New Roman"/>
                      <w:color w:val="auto"/>
                      <w:sz w:val="21"/>
                    </w:rPr>
                    <w:t>量</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lang w:val="en-US" w:eastAsia="zh-CN"/>
                    </w:rPr>
                    <w:t>t/a</w:t>
                  </w:r>
                  <w:r>
                    <w:rPr>
                      <w:rFonts w:hint="default" w:ascii="Times New Roman" w:hAnsi="Times New Roman" w:eastAsia="宋体" w:cs="Times New Roman"/>
                      <w:color w:val="auto"/>
                      <w:sz w:val="21"/>
                      <w:lang w:eastAsia="zh-CN"/>
                    </w:rPr>
                    <w:t>）</w:t>
                  </w:r>
                </w:p>
              </w:tc>
              <w:tc>
                <w:tcPr>
                  <w:tcW w:w="744" w:type="pct"/>
                  <w:shd w:val="clear" w:color="auto" w:fill="auto"/>
                  <w:vAlign w:val="center"/>
                </w:tcPr>
                <w:p w14:paraId="293EB7D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厂区最大暂存量</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lang w:val="en-US" w:eastAsia="zh-CN"/>
                    </w:rPr>
                    <w:t>t</w:t>
                  </w:r>
                  <w:r>
                    <w:rPr>
                      <w:rFonts w:hint="default" w:ascii="Times New Roman" w:hAnsi="Times New Roman" w:eastAsia="宋体" w:cs="Times New Roman"/>
                      <w:color w:val="auto"/>
                      <w:sz w:val="21"/>
                      <w:lang w:eastAsia="zh-CN"/>
                    </w:rPr>
                    <w:t>）</w:t>
                  </w:r>
                </w:p>
              </w:tc>
              <w:tc>
                <w:tcPr>
                  <w:tcW w:w="1383" w:type="pct"/>
                  <w:shd w:val="clear" w:color="auto" w:fill="auto"/>
                  <w:vAlign w:val="center"/>
                </w:tcPr>
                <w:p w14:paraId="16FEE2D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来源</w:t>
                  </w:r>
                </w:p>
              </w:tc>
            </w:tr>
            <w:tr w14:paraId="03178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37" w:type="pct"/>
                  <w:vMerge w:val="restart"/>
                  <w:shd w:val="clear" w:color="auto" w:fill="auto"/>
                  <w:vAlign w:val="center"/>
                </w:tcPr>
                <w:p w14:paraId="11D0DC2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p w14:paraId="1687A32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颜填料</w:t>
                  </w:r>
                </w:p>
              </w:tc>
              <w:tc>
                <w:tcPr>
                  <w:tcW w:w="341" w:type="pct"/>
                  <w:tcBorders>
                    <w:right w:val="single" w:color="000000" w:sz="4" w:space="0"/>
                  </w:tcBorders>
                  <w:shd w:val="clear" w:color="auto" w:fill="auto"/>
                  <w:vAlign w:val="center"/>
                </w:tcPr>
                <w:p w14:paraId="4B7A089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1191" w:type="pct"/>
                  <w:tcBorders>
                    <w:left w:val="single" w:color="000000" w:sz="4" w:space="0"/>
                  </w:tcBorders>
                  <w:shd w:val="clear" w:color="auto" w:fill="auto"/>
                  <w:vAlign w:val="center"/>
                </w:tcPr>
                <w:p w14:paraId="40F9C0D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白砂</w:t>
                  </w:r>
                </w:p>
              </w:tc>
              <w:tc>
                <w:tcPr>
                  <w:tcW w:w="1675" w:type="dxa"/>
                  <w:shd w:val="clear" w:color="auto" w:fill="auto"/>
                  <w:vAlign w:val="center"/>
                </w:tcPr>
                <w:p w14:paraId="346AF7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rPr>
                  </w:pPr>
                  <w:r>
                    <w:rPr>
                      <w:rFonts w:hint="default" w:ascii="Times New Roman" w:hAnsi="Times New Roman" w:eastAsia="宋体" w:cs="Times New Roman"/>
                      <w:i w:val="0"/>
                      <w:iCs w:val="0"/>
                      <w:color w:val="000000"/>
                      <w:kern w:val="0"/>
                      <w:sz w:val="21"/>
                      <w:szCs w:val="21"/>
                      <w:u w:val="none"/>
                      <w:lang w:val="en-US" w:eastAsia="zh-CN" w:bidi="ar"/>
                    </w:rPr>
                    <w:t>16103.75</w:t>
                  </w:r>
                </w:p>
              </w:tc>
              <w:tc>
                <w:tcPr>
                  <w:tcW w:w="744" w:type="pct"/>
                  <w:tcBorders>
                    <w:bottom w:val="single" w:color="000000" w:sz="4" w:space="0"/>
                  </w:tcBorders>
                  <w:shd w:val="clear" w:color="auto" w:fill="auto"/>
                  <w:vAlign w:val="center"/>
                </w:tcPr>
                <w:p w14:paraId="494197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10</w:t>
                  </w:r>
                </w:p>
              </w:tc>
              <w:tc>
                <w:tcPr>
                  <w:tcW w:w="1383" w:type="pct"/>
                  <w:tcBorders>
                    <w:bottom w:val="single" w:color="000000" w:sz="4" w:space="0"/>
                  </w:tcBorders>
                  <w:shd w:val="clear" w:color="auto" w:fill="auto"/>
                  <w:vAlign w:val="center"/>
                </w:tcPr>
                <w:p w14:paraId="6372136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r w14:paraId="0BAF6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37" w:type="pct"/>
                  <w:vMerge w:val="continue"/>
                  <w:tcBorders>
                    <w:top w:val="nil"/>
                  </w:tcBorders>
                  <w:shd w:val="clear" w:color="auto" w:fill="auto"/>
                  <w:vAlign w:val="center"/>
                </w:tcPr>
                <w:p w14:paraId="194926D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341" w:type="pct"/>
                  <w:tcBorders>
                    <w:right w:val="single" w:color="000000" w:sz="4" w:space="0"/>
                  </w:tcBorders>
                  <w:shd w:val="clear" w:color="auto" w:fill="auto"/>
                  <w:vAlign w:val="center"/>
                </w:tcPr>
                <w:p w14:paraId="5F63D13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p>
              </w:tc>
              <w:tc>
                <w:tcPr>
                  <w:tcW w:w="1191" w:type="pct"/>
                  <w:tcBorders>
                    <w:left w:val="single" w:color="000000" w:sz="4" w:space="0"/>
                  </w:tcBorders>
                  <w:shd w:val="clear" w:color="auto" w:fill="auto"/>
                  <w:vAlign w:val="center"/>
                </w:tcPr>
                <w:p w14:paraId="48E4601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苯乙烯-丙烯酸聚合乳液</w:t>
                  </w:r>
                </w:p>
              </w:tc>
              <w:tc>
                <w:tcPr>
                  <w:tcW w:w="1675" w:type="dxa"/>
                  <w:shd w:val="clear" w:color="auto" w:fill="auto"/>
                  <w:vAlign w:val="center"/>
                </w:tcPr>
                <w:p w14:paraId="5281C8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rPr>
                  </w:pPr>
                  <w:r>
                    <w:rPr>
                      <w:rFonts w:hint="default" w:ascii="Times New Roman" w:hAnsi="Times New Roman" w:eastAsia="宋体" w:cs="Times New Roman"/>
                      <w:i w:val="0"/>
                      <w:iCs w:val="0"/>
                      <w:color w:val="000000"/>
                      <w:kern w:val="0"/>
                      <w:sz w:val="21"/>
                      <w:szCs w:val="21"/>
                      <w:u w:val="none"/>
                      <w:lang w:val="en-US" w:eastAsia="zh-CN" w:bidi="ar"/>
                    </w:rPr>
                    <w:t>3591.7266</w:t>
                  </w:r>
                </w:p>
              </w:tc>
              <w:tc>
                <w:tcPr>
                  <w:tcW w:w="744" w:type="pct"/>
                  <w:tcBorders>
                    <w:top w:val="single" w:color="000000" w:sz="4" w:space="0"/>
                  </w:tcBorders>
                  <w:shd w:val="clear" w:color="auto" w:fill="auto"/>
                  <w:vAlign w:val="center"/>
                </w:tcPr>
                <w:p w14:paraId="58A009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10</w:t>
                  </w:r>
                </w:p>
              </w:tc>
              <w:tc>
                <w:tcPr>
                  <w:tcW w:w="1383" w:type="pct"/>
                  <w:tcBorders>
                    <w:top w:val="single" w:color="000000" w:sz="4" w:space="0"/>
                  </w:tcBorders>
                  <w:shd w:val="clear" w:color="auto" w:fill="auto"/>
                  <w:vAlign w:val="center"/>
                </w:tcPr>
                <w:p w14:paraId="00C410C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战略合作企业及伙伴</w:t>
                  </w:r>
                </w:p>
              </w:tc>
            </w:tr>
            <w:tr w14:paraId="41C50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37" w:type="pct"/>
                  <w:vMerge w:val="continue"/>
                  <w:tcBorders>
                    <w:top w:val="nil"/>
                  </w:tcBorders>
                  <w:shd w:val="clear" w:color="auto" w:fill="auto"/>
                  <w:vAlign w:val="center"/>
                </w:tcPr>
                <w:p w14:paraId="56C8829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341" w:type="pct"/>
                  <w:tcBorders>
                    <w:right w:val="single" w:color="000000" w:sz="4" w:space="0"/>
                  </w:tcBorders>
                  <w:shd w:val="clear" w:color="auto" w:fill="auto"/>
                  <w:vAlign w:val="center"/>
                </w:tcPr>
                <w:p w14:paraId="67F5152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w:t>
                  </w:r>
                </w:p>
              </w:tc>
              <w:tc>
                <w:tcPr>
                  <w:tcW w:w="1191" w:type="pct"/>
                  <w:tcBorders>
                    <w:left w:val="single" w:color="000000" w:sz="4" w:space="0"/>
                  </w:tcBorders>
                  <w:shd w:val="clear" w:color="auto" w:fill="auto"/>
                  <w:vAlign w:val="center"/>
                </w:tcPr>
                <w:p w14:paraId="56F3903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重质碳酸钙</w:t>
                  </w:r>
                </w:p>
              </w:tc>
              <w:tc>
                <w:tcPr>
                  <w:tcW w:w="1675" w:type="dxa"/>
                  <w:shd w:val="clear" w:color="auto" w:fill="auto"/>
                  <w:vAlign w:val="center"/>
                </w:tcPr>
                <w:p w14:paraId="03463D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rPr>
                  </w:pPr>
                  <w:r>
                    <w:rPr>
                      <w:rFonts w:hint="default" w:ascii="Times New Roman" w:hAnsi="Times New Roman" w:eastAsia="宋体" w:cs="Times New Roman"/>
                      <w:i w:val="0"/>
                      <w:iCs w:val="0"/>
                      <w:color w:val="000000"/>
                      <w:kern w:val="0"/>
                      <w:sz w:val="21"/>
                      <w:szCs w:val="21"/>
                      <w:u w:val="none"/>
                      <w:lang w:val="en-US" w:eastAsia="zh-CN" w:bidi="ar"/>
                    </w:rPr>
                    <w:t>2182.6564</w:t>
                  </w:r>
                </w:p>
              </w:tc>
              <w:tc>
                <w:tcPr>
                  <w:tcW w:w="744" w:type="pct"/>
                  <w:shd w:val="clear" w:color="auto" w:fill="auto"/>
                  <w:vAlign w:val="center"/>
                </w:tcPr>
                <w:p w14:paraId="3CCAE8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10</w:t>
                  </w:r>
                </w:p>
              </w:tc>
              <w:tc>
                <w:tcPr>
                  <w:tcW w:w="1383" w:type="pct"/>
                  <w:shd w:val="clear" w:color="auto" w:fill="auto"/>
                  <w:vAlign w:val="center"/>
                </w:tcPr>
                <w:p w14:paraId="104EE6C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r w14:paraId="71909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37" w:type="pct"/>
                  <w:vMerge w:val="continue"/>
                  <w:tcBorders>
                    <w:top w:val="nil"/>
                  </w:tcBorders>
                  <w:shd w:val="clear" w:color="auto" w:fill="auto"/>
                  <w:vAlign w:val="center"/>
                </w:tcPr>
                <w:p w14:paraId="07D196C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341" w:type="pct"/>
                  <w:tcBorders>
                    <w:right w:val="single" w:color="000000" w:sz="4" w:space="0"/>
                  </w:tcBorders>
                  <w:shd w:val="clear" w:color="auto" w:fill="auto"/>
                  <w:vAlign w:val="center"/>
                </w:tcPr>
                <w:p w14:paraId="5DCA101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w:t>
                  </w:r>
                </w:p>
              </w:tc>
              <w:tc>
                <w:tcPr>
                  <w:tcW w:w="1191" w:type="pct"/>
                  <w:tcBorders>
                    <w:left w:val="single" w:color="000000" w:sz="4" w:space="0"/>
                  </w:tcBorders>
                  <w:shd w:val="clear" w:color="auto" w:fill="auto"/>
                  <w:vAlign w:val="center"/>
                </w:tcPr>
                <w:p w14:paraId="7A6713F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钛白粉</w:t>
                  </w:r>
                </w:p>
              </w:tc>
              <w:tc>
                <w:tcPr>
                  <w:tcW w:w="1675" w:type="dxa"/>
                  <w:shd w:val="clear" w:color="auto" w:fill="auto"/>
                  <w:vAlign w:val="center"/>
                </w:tcPr>
                <w:p w14:paraId="426E99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rPr>
                  </w:pPr>
                  <w:r>
                    <w:rPr>
                      <w:rFonts w:hint="default" w:ascii="Times New Roman" w:hAnsi="Times New Roman" w:eastAsia="宋体" w:cs="Times New Roman"/>
                      <w:i w:val="0"/>
                      <w:iCs w:val="0"/>
                      <w:color w:val="000000"/>
                      <w:kern w:val="0"/>
                      <w:sz w:val="21"/>
                      <w:szCs w:val="21"/>
                      <w:u w:val="none"/>
                      <w:lang w:val="en-US" w:eastAsia="zh-CN" w:bidi="ar"/>
                    </w:rPr>
                    <w:t>184.75</w:t>
                  </w:r>
                </w:p>
              </w:tc>
              <w:tc>
                <w:tcPr>
                  <w:tcW w:w="744" w:type="pct"/>
                  <w:shd w:val="clear" w:color="auto" w:fill="auto"/>
                  <w:vAlign w:val="center"/>
                </w:tcPr>
                <w:p w14:paraId="201A10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10</w:t>
                  </w:r>
                </w:p>
              </w:tc>
              <w:tc>
                <w:tcPr>
                  <w:tcW w:w="1383" w:type="pct"/>
                  <w:shd w:val="clear" w:color="auto" w:fill="auto"/>
                  <w:vAlign w:val="center"/>
                </w:tcPr>
                <w:p w14:paraId="1FD6A9A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富民工业园区钛白粉生产企业</w:t>
                  </w:r>
                </w:p>
              </w:tc>
            </w:tr>
            <w:tr w14:paraId="30370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37" w:type="pct"/>
                  <w:shd w:val="clear" w:color="auto" w:fill="auto"/>
                  <w:vAlign w:val="center"/>
                </w:tcPr>
                <w:p w14:paraId="7B17390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溶剂</w:t>
                  </w:r>
                </w:p>
              </w:tc>
              <w:tc>
                <w:tcPr>
                  <w:tcW w:w="341" w:type="pct"/>
                  <w:tcBorders>
                    <w:right w:val="single" w:color="000000" w:sz="4" w:space="0"/>
                  </w:tcBorders>
                  <w:shd w:val="clear" w:color="auto" w:fill="auto"/>
                  <w:vAlign w:val="center"/>
                </w:tcPr>
                <w:p w14:paraId="53C6D40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5</w:t>
                  </w:r>
                </w:p>
              </w:tc>
              <w:tc>
                <w:tcPr>
                  <w:tcW w:w="1191" w:type="pct"/>
                  <w:tcBorders>
                    <w:left w:val="single" w:color="000000" w:sz="4" w:space="0"/>
                  </w:tcBorders>
                  <w:shd w:val="clear" w:color="auto" w:fill="auto"/>
                  <w:vAlign w:val="center"/>
                </w:tcPr>
                <w:p w14:paraId="54EBE89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过滤水</w:t>
                  </w:r>
                </w:p>
              </w:tc>
              <w:tc>
                <w:tcPr>
                  <w:tcW w:w="1675" w:type="dxa"/>
                  <w:shd w:val="clear" w:color="auto" w:fill="auto"/>
                  <w:vAlign w:val="center"/>
                </w:tcPr>
                <w:p w14:paraId="0561EF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rPr>
                  </w:pPr>
                  <w:r>
                    <w:rPr>
                      <w:rFonts w:hint="default" w:ascii="Times New Roman" w:hAnsi="Times New Roman" w:eastAsia="宋体" w:cs="Times New Roman"/>
                      <w:i w:val="0"/>
                      <w:iCs w:val="0"/>
                      <w:color w:val="000000"/>
                      <w:kern w:val="0"/>
                      <w:sz w:val="21"/>
                      <w:szCs w:val="21"/>
                      <w:u w:val="none"/>
                      <w:lang w:val="en-US" w:eastAsia="zh-CN" w:bidi="ar"/>
                    </w:rPr>
                    <w:t>2400.51</w:t>
                  </w:r>
                </w:p>
              </w:tc>
              <w:tc>
                <w:tcPr>
                  <w:tcW w:w="744" w:type="pct"/>
                  <w:shd w:val="clear" w:color="auto" w:fill="auto"/>
                  <w:vAlign w:val="center"/>
                </w:tcPr>
                <w:p w14:paraId="60FA47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w:t>
                  </w:r>
                </w:p>
              </w:tc>
              <w:tc>
                <w:tcPr>
                  <w:tcW w:w="1383" w:type="pct"/>
                  <w:shd w:val="clear" w:color="auto" w:fill="auto"/>
                  <w:vAlign w:val="center"/>
                </w:tcPr>
                <w:p w14:paraId="22C9878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工业园区</w:t>
                  </w:r>
                </w:p>
              </w:tc>
            </w:tr>
            <w:tr w14:paraId="3F99F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37" w:type="pct"/>
                  <w:vMerge w:val="restart"/>
                  <w:shd w:val="clear" w:color="auto" w:fill="auto"/>
                  <w:vAlign w:val="center"/>
                </w:tcPr>
                <w:p w14:paraId="1B216CD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p w14:paraId="1AFB784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p w14:paraId="3E5D9F9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p w14:paraId="0C39F24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助剂</w:t>
                  </w:r>
                </w:p>
              </w:tc>
              <w:tc>
                <w:tcPr>
                  <w:tcW w:w="341" w:type="pct"/>
                  <w:tcBorders>
                    <w:right w:val="single" w:color="000000" w:sz="4" w:space="0"/>
                  </w:tcBorders>
                  <w:shd w:val="clear" w:color="auto" w:fill="auto"/>
                  <w:vAlign w:val="center"/>
                </w:tcPr>
                <w:p w14:paraId="23D25A6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6</w:t>
                  </w:r>
                </w:p>
              </w:tc>
              <w:tc>
                <w:tcPr>
                  <w:tcW w:w="1191" w:type="pct"/>
                  <w:tcBorders>
                    <w:left w:val="single" w:color="000000" w:sz="4" w:space="0"/>
                  </w:tcBorders>
                  <w:shd w:val="clear" w:color="auto" w:fill="auto"/>
                  <w:vAlign w:val="center"/>
                </w:tcPr>
                <w:p w14:paraId="199CD28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成膜助剂（十二碳酸酯）</w:t>
                  </w:r>
                </w:p>
              </w:tc>
              <w:tc>
                <w:tcPr>
                  <w:tcW w:w="1675" w:type="dxa"/>
                  <w:shd w:val="clear" w:color="auto" w:fill="auto"/>
                  <w:vAlign w:val="center"/>
                </w:tcPr>
                <w:p w14:paraId="2EF5B9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rPr>
                  </w:pPr>
                  <w:r>
                    <w:rPr>
                      <w:rFonts w:hint="default" w:ascii="Times New Roman" w:hAnsi="Times New Roman" w:eastAsia="宋体" w:cs="Times New Roman"/>
                      <w:i w:val="0"/>
                      <w:iCs w:val="0"/>
                      <w:color w:val="000000"/>
                      <w:kern w:val="0"/>
                      <w:sz w:val="21"/>
                      <w:szCs w:val="21"/>
                      <w:u w:val="none"/>
                      <w:lang w:val="en-US" w:eastAsia="zh-CN" w:bidi="ar"/>
                    </w:rPr>
                    <w:t>182.5</w:t>
                  </w:r>
                </w:p>
              </w:tc>
              <w:tc>
                <w:tcPr>
                  <w:tcW w:w="744" w:type="pct"/>
                  <w:shd w:val="clear" w:color="auto" w:fill="auto"/>
                  <w:vAlign w:val="center"/>
                </w:tcPr>
                <w:p w14:paraId="2C34C5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5</w:t>
                  </w:r>
                </w:p>
              </w:tc>
              <w:tc>
                <w:tcPr>
                  <w:tcW w:w="1383" w:type="pct"/>
                  <w:shd w:val="clear" w:color="auto" w:fill="auto"/>
                  <w:vAlign w:val="center"/>
                </w:tcPr>
                <w:p w14:paraId="5109502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r w14:paraId="5F8D1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37" w:type="pct"/>
                  <w:vMerge w:val="continue"/>
                  <w:tcBorders>
                    <w:top w:val="nil"/>
                  </w:tcBorders>
                  <w:shd w:val="clear" w:color="auto" w:fill="auto"/>
                  <w:vAlign w:val="center"/>
                </w:tcPr>
                <w:p w14:paraId="27C0D57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341" w:type="pct"/>
                  <w:tcBorders>
                    <w:right w:val="single" w:color="000000" w:sz="4" w:space="0"/>
                  </w:tcBorders>
                  <w:shd w:val="clear" w:color="auto" w:fill="auto"/>
                  <w:vAlign w:val="center"/>
                </w:tcPr>
                <w:p w14:paraId="4DDA758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7</w:t>
                  </w:r>
                </w:p>
              </w:tc>
              <w:tc>
                <w:tcPr>
                  <w:tcW w:w="1191" w:type="pct"/>
                  <w:tcBorders>
                    <w:left w:val="single" w:color="000000" w:sz="4" w:space="0"/>
                  </w:tcBorders>
                  <w:shd w:val="clear" w:color="auto" w:fill="auto"/>
                  <w:vAlign w:val="center"/>
                </w:tcPr>
                <w:p w14:paraId="749535C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增稠剂（羟乙基纤维素）</w:t>
                  </w:r>
                </w:p>
              </w:tc>
              <w:tc>
                <w:tcPr>
                  <w:tcW w:w="1675" w:type="dxa"/>
                  <w:shd w:val="clear" w:color="auto" w:fill="auto"/>
                  <w:vAlign w:val="center"/>
                </w:tcPr>
                <w:p w14:paraId="08D7B4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rPr>
                  </w:pPr>
                  <w:r>
                    <w:rPr>
                      <w:rFonts w:hint="default" w:ascii="Times New Roman" w:hAnsi="Times New Roman" w:eastAsia="宋体" w:cs="Times New Roman"/>
                      <w:i w:val="0"/>
                      <w:iCs w:val="0"/>
                      <w:color w:val="000000"/>
                      <w:kern w:val="0"/>
                      <w:sz w:val="21"/>
                      <w:szCs w:val="21"/>
                      <w:u w:val="none"/>
                      <w:lang w:val="en-US" w:eastAsia="zh-CN" w:bidi="ar"/>
                    </w:rPr>
                    <w:t>33.76</w:t>
                  </w:r>
                </w:p>
              </w:tc>
              <w:tc>
                <w:tcPr>
                  <w:tcW w:w="744" w:type="pct"/>
                  <w:shd w:val="clear" w:color="auto" w:fill="auto"/>
                  <w:vAlign w:val="center"/>
                </w:tcPr>
                <w:p w14:paraId="69B7A9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5</w:t>
                  </w:r>
                </w:p>
              </w:tc>
              <w:tc>
                <w:tcPr>
                  <w:tcW w:w="1383" w:type="pct"/>
                  <w:shd w:val="clear" w:color="auto" w:fill="auto"/>
                  <w:vAlign w:val="center"/>
                </w:tcPr>
                <w:p w14:paraId="607C092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r w14:paraId="2FD12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37" w:type="pct"/>
                  <w:vMerge w:val="continue"/>
                  <w:tcBorders>
                    <w:top w:val="nil"/>
                  </w:tcBorders>
                  <w:shd w:val="clear" w:color="auto" w:fill="auto"/>
                  <w:vAlign w:val="center"/>
                </w:tcPr>
                <w:p w14:paraId="136E250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341" w:type="pct"/>
                  <w:tcBorders>
                    <w:right w:val="single" w:color="000000" w:sz="4" w:space="0"/>
                  </w:tcBorders>
                  <w:shd w:val="clear" w:color="auto" w:fill="auto"/>
                  <w:vAlign w:val="center"/>
                </w:tcPr>
                <w:p w14:paraId="11BB6B1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8</w:t>
                  </w:r>
                </w:p>
              </w:tc>
              <w:tc>
                <w:tcPr>
                  <w:tcW w:w="1191" w:type="pct"/>
                  <w:tcBorders>
                    <w:left w:val="single" w:color="000000" w:sz="4" w:space="0"/>
                  </w:tcBorders>
                  <w:shd w:val="clear" w:color="auto" w:fill="auto"/>
                  <w:vAlign w:val="center"/>
                </w:tcPr>
                <w:p w14:paraId="7F6D309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阻聚剂（氨水 25%）</w:t>
                  </w:r>
                </w:p>
              </w:tc>
              <w:tc>
                <w:tcPr>
                  <w:tcW w:w="1675" w:type="dxa"/>
                  <w:shd w:val="clear" w:color="auto" w:fill="auto"/>
                  <w:vAlign w:val="center"/>
                </w:tcPr>
                <w:p w14:paraId="5D84AF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rPr>
                  </w:pPr>
                  <w:r>
                    <w:rPr>
                      <w:rFonts w:hint="default" w:ascii="Times New Roman" w:hAnsi="Times New Roman" w:eastAsia="宋体" w:cs="Times New Roman"/>
                      <w:i w:val="0"/>
                      <w:iCs w:val="0"/>
                      <w:color w:val="000000"/>
                      <w:kern w:val="0"/>
                      <w:sz w:val="21"/>
                      <w:szCs w:val="21"/>
                      <w:u w:val="none"/>
                      <w:lang w:val="en-US" w:eastAsia="zh-CN" w:bidi="ar"/>
                    </w:rPr>
                    <w:t>17.5</w:t>
                  </w:r>
                </w:p>
              </w:tc>
              <w:tc>
                <w:tcPr>
                  <w:tcW w:w="744" w:type="pct"/>
                  <w:shd w:val="clear" w:color="auto" w:fill="auto"/>
                  <w:vAlign w:val="center"/>
                </w:tcPr>
                <w:p w14:paraId="1E1736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0.5</w:t>
                  </w:r>
                </w:p>
              </w:tc>
              <w:tc>
                <w:tcPr>
                  <w:tcW w:w="1383" w:type="pct"/>
                  <w:shd w:val="clear" w:color="auto" w:fill="auto"/>
                  <w:vAlign w:val="center"/>
                </w:tcPr>
                <w:p w14:paraId="02C2A6B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r w14:paraId="17E53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37" w:type="pct"/>
                  <w:vMerge w:val="continue"/>
                  <w:tcBorders>
                    <w:top w:val="nil"/>
                  </w:tcBorders>
                  <w:shd w:val="clear" w:color="auto" w:fill="auto"/>
                  <w:vAlign w:val="center"/>
                </w:tcPr>
                <w:p w14:paraId="7659CD2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341" w:type="pct"/>
                  <w:tcBorders>
                    <w:right w:val="single" w:color="000000" w:sz="4" w:space="0"/>
                  </w:tcBorders>
                  <w:shd w:val="clear" w:color="auto" w:fill="auto"/>
                  <w:vAlign w:val="center"/>
                </w:tcPr>
                <w:p w14:paraId="464C14F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9</w:t>
                  </w:r>
                </w:p>
              </w:tc>
              <w:tc>
                <w:tcPr>
                  <w:tcW w:w="1191" w:type="pct"/>
                  <w:tcBorders>
                    <w:left w:val="single" w:color="000000" w:sz="4" w:space="0"/>
                  </w:tcBorders>
                  <w:shd w:val="clear" w:color="auto" w:fill="auto"/>
                  <w:vAlign w:val="center"/>
                </w:tcPr>
                <w:p w14:paraId="0430A4E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防冻剂（丙二醇）</w:t>
                  </w:r>
                </w:p>
              </w:tc>
              <w:tc>
                <w:tcPr>
                  <w:tcW w:w="1675" w:type="dxa"/>
                  <w:shd w:val="clear" w:color="auto" w:fill="auto"/>
                  <w:vAlign w:val="center"/>
                </w:tcPr>
                <w:p w14:paraId="33E866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rPr>
                  </w:pPr>
                  <w:r>
                    <w:rPr>
                      <w:rFonts w:hint="default" w:ascii="Times New Roman" w:hAnsi="Times New Roman" w:eastAsia="宋体" w:cs="Times New Roman"/>
                      <w:i w:val="0"/>
                      <w:iCs w:val="0"/>
                      <w:color w:val="000000"/>
                      <w:kern w:val="0"/>
                      <w:sz w:val="21"/>
                      <w:szCs w:val="21"/>
                      <w:u w:val="none"/>
                      <w:lang w:val="en-US" w:eastAsia="zh-CN" w:bidi="ar"/>
                    </w:rPr>
                    <w:t>182.9</w:t>
                  </w:r>
                </w:p>
              </w:tc>
              <w:tc>
                <w:tcPr>
                  <w:tcW w:w="744" w:type="pct"/>
                  <w:shd w:val="clear" w:color="auto" w:fill="auto"/>
                  <w:vAlign w:val="center"/>
                </w:tcPr>
                <w:p w14:paraId="77F1AF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5</w:t>
                  </w:r>
                </w:p>
              </w:tc>
              <w:tc>
                <w:tcPr>
                  <w:tcW w:w="1383" w:type="pct"/>
                  <w:shd w:val="clear" w:color="auto" w:fill="auto"/>
                  <w:vAlign w:val="center"/>
                </w:tcPr>
                <w:p w14:paraId="5C06FFD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r w14:paraId="6FED9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37" w:type="pct"/>
                  <w:vMerge w:val="continue"/>
                  <w:tcBorders>
                    <w:top w:val="nil"/>
                  </w:tcBorders>
                  <w:shd w:val="clear" w:color="auto" w:fill="auto"/>
                  <w:vAlign w:val="center"/>
                </w:tcPr>
                <w:p w14:paraId="7391DC5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341" w:type="pct"/>
                  <w:tcBorders>
                    <w:right w:val="single" w:color="000000" w:sz="4" w:space="0"/>
                  </w:tcBorders>
                  <w:shd w:val="clear" w:color="auto" w:fill="auto"/>
                  <w:vAlign w:val="center"/>
                </w:tcPr>
                <w:p w14:paraId="1E2C380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10</w:t>
                  </w:r>
                </w:p>
              </w:tc>
              <w:tc>
                <w:tcPr>
                  <w:tcW w:w="1191" w:type="pct"/>
                  <w:tcBorders>
                    <w:left w:val="single" w:color="000000" w:sz="4" w:space="0"/>
                  </w:tcBorders>
                  <w:shd w:val="clear" w:color="auto" w:fill="auto"/>
                  <w:vAlign w:val="center"/>
                </w:tcPr>
                <w:p w14:paraId="4093548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分散剂（聚丙烯酸钠盐）</w:t>
                  </w:r>
                </w:p>
              </w:tc>
              <w:tc>
                <w:tcPr>
                  <w:tcW w:w="1675" w:type="dxa"/>
                  <w:shd w:val="clear" w:color="auto" w:fill="auto"/>
                  <w:vAlign w:val="center"/>
                </w:tcPr>
                <w:p w14:paraId="057573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44" w:type="pct"/>
                  <w:shd w:val="clear" w:color="auto" w:fill="auto"/>
                  <w:vAlign w:val="center"/>
                </w:tcPr>
                <w:p w14:paraId="35A8EB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1</w:t>
                  </w:r>
                </w:p>
              </w:tc>
              <w:tc>
                <w:tcPr>
                  <w:tcW w:w="1383" w:type="pct"/>
                  <w:shd w:val="clear" w:color="auto" w:fill="auto"/>
                  <w:vAlign w:val="center"/>
                </w:tcPr>
                <w:p w14:paraId="183AC5B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r w14:paraId="2DC74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37" w:type="pct"/>
                  <w:vMerge w:val="restart"/>
                  <w:shd w:val="clear" w:color="auto" w:fill="auto"/>
                  <w:vAlign w:val="center"/>
                </w:tcPr>
                <w:p w14:paraId="060DEC7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p w14:paraId="6985A28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色浆</w:t>
                  </w:r>
                </w:p>
              </w:tc>
              <w:tc>
                <w:tcPr>
                  <w:tcW w:w="341" w:type="pct"/>
                  <w:tcBorders>
                    <w:right w:val="single" w:color="000000" w:sz="4" w:space="0"/>
                  </w:tcBorders>
                  <w:shd w:val="clear" w:color="auto" w:fill="auto"/>
                  <w:vAlign w:val="center"/>
                </w:tcPr>
                <w:p w14:paraId="50EAFE7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11</w:t>
                  </w:r>
                </w:p>
              </w:tc>
              <w:tc>
                <w:tcPr>
                  <w:tcW w:w="1191" w:type="pct"/>
                  <w:tcBorders>
                    <w:left w:val="single" w:color="000000" w:sz="4" w:space="0"/>
                  </w:tcBorders>
                  <w:shd w:val="clear" w:color="auto" w:fill="auto"/>
                  <w:vAlign w:val="center"/>
                </w:tcPr>
                <w:p w14:paraId="0021C65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铁红</w:t>
                  </w:r>
                </w:p>
              </w:tc>
              <w:tc>
                <w:tcPr>
                  <w:tcW w:w="1675" w:type="dxa"/>
                  <w:shd w:val="clear" w:color="auto" w:fill="auto"/>
                  <w:vAlign w:val="center"/>
                </w:tcPr>
                <w:p w14:paraId="3F1010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744" w:type="pct"/>
                  <w:shd w:val="clear" w:color="auto" w:fill="auto"/>
                  <w:vAlign w:val="center"/>
                </w:tcPr>
                <w:p w14:paraId="20BD2B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0.2</w:t>
                  </w:r>
                </w:p>
              </w:tc>
              <w:tc>
                <w:tcPr>
                  <w:tcW w:w="1383" w:type="pct"/>
                  <w:shd w:val="clear" w:color="auto" w:fill="auto"/>
                  <w:vAlign w:val="center"/>
                </w:tcPr>
                <w:p w14:paraId="219384D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成都厂提供</w:t>
                  </w:r>
                </w:p>
              </w:tc>
            </w:tr>
            <w:tr w14:paraId="20D18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37" w:type="pct"/>
                  <w:vMerge w:val="continue"/>
                  <w:tcBorders>
                    <w:top w:val="nil"/>
                  </w:tcBorders>
                  <w:shd w:val="clear" w:color="auto" w:fill="auto"/>
                  <w:vAlign w:val="center"/>
                </w:tcPr>
                <w:p w14:paraId="7132D09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341" w:type="pct"/>
                  <w:tcBorders>
                    <w:right w:val="single" w:color="000000" w:sz="4" w:space="0"/>
                  </w:tcBorders>
                  <w:shd w:val="clear" w:color="auto" w:fill="auto"/>
                  <w:vAlign w:val="center"/>
                </w:tcPr>
                <w:p w14:paraId="3E60BF2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12</w:t>
                  </w:r>
                </w:p>
              </w:tc>
              <w:tc>
                <w:tcPr>
                  <w:tcW w:w="1191" w:type="pct"/>
                  <w:tcBorders>
                    <w:left w:val="single" w:color="000000" w:sz="4" w:space="0"/>
                  </w:tcBorders>
                  <w:shd w:val="clear" w:color="auto" w:fill="auto"/>
                  <w:vAlign w:val="center"/>
                </w:tcPr>
                <w:p w14:paraId="46D88AB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铁黄</w:t>
                  </w:r>
                </w:p>
              </w:tc>
              <w:tc>
                <w:tcPr>
                  <w:tcW w:w="1675" w:type="dxa"/>
                  <w:shd w:val="clear" w:color="auto" w:fill="auto"/>
                  <w:vAlign w:val="center"/>
                </w:tcPr>
                <w:p w14:paraId="070418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744" w:type="pct"/>
                  <w:shd w:val="clear" w:color="auto" w:fill="auto"/>
                  <w:vAlign w:val="center"/>
                </w:tcPr>
                <w:p w14:paraId="684D0A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0.5</w:t>
                  </w:r>
                </w:p>
              </w:tc>
              <w:tc>
                <w:tcPr>
                  <w:tcW w:w="1383" w:type="pct"/>
                  <w:shd w:val="clear" w:color="auto" w:fill="auto"/>
                  <w:vAlign w:val="center"/>
                </w:tcPr>
                <w:p w14:paraId="63B22B0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成都厂提供</w:t>
                  </w:r>
                </w:p>
              </w:tc>
            </w:tr>
            <w:tr w14:paraId="55401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37" w:type="pct"/>
                  <w:vMerge w:val="continue"/>
                  <w:tcBorders>
                    <w:top w:val="nil"/>
                  </w:tcBorders>
                  <w:shd w:val="clear" w:color="auto" w:fill="auto"/>
                  <w:vAlign w:val="center"/>
                </w:tcPr>
                <w:p w14:paraId="3812C3A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341" w:type="pct"/>
                  <w:tcBorders>
                    <w:right w:val="single" w:color="000000" w:sz="4" w:space="0"/>
                  </w:tcBorders>
                  <w:shd w:val="clear" w:color="auto" w:fill="auto"/>
                  <w:vAlign w:val="center"/>
                </w:tcPr>
                <w:p w14:paraId="435FE22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13</w:t>
                  </w:r>
                </w:p>
              </w:tc>
              <w:tc>
                <w:tcPr>
                  <w:tcW w:w="1191" w:type="pct"/>
                  <w:tcBorders>
                    <w:left w:val="single" w:color="000000" w:sz="4" w:space="0"/>
                  </w:tcBorders>
                  <w:shd w:val="clear" w:color="auto" w:fill="auto"/>
                  <w:vAlign w:val="center"/>
                </w:tcPr>
                <w:p w14:paraId="31CB725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黑</w:t>
                  </w:r>
                </w:p>
              </w:tc>
              <w:tc>
                <w:tcPr>
                  <w:tcW w:w="1675" w:type="dxa"/>
                  <w:shd w:val="clear" w:color="auto" w:fill="auto"/>
                  <w:vAlign w:val="center"/>
                </w:tcPr>
                <w:p w14:paraId="1E3082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744" w:type="pct"/>
                  <w:shd w:val="clear" w:color="auto" w:fill="auto"/>
                  <w:vAlign w:val="center"/>
                </w:tcPr>
                <w:p w14:paraId="4B7E41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0.5</w:t>
                  </w:r>
                </w:p>
              </w:tc>
              <w:tc>
                <w:tcPr>
                  <w:tcW w:w="1383" w:type="pct"/>
                  <w:shd w:val="clear" w:color="auto" w:fill="auto"/>
                  <w:vAlign w:val="center"/>
                </w:tcPr>
                <w:p w14:paraId="51FBC8C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成都厂提供</w:t>
                  </w:r>
                </w:p>
              </w:tc>
            </w:tr>
          </w:tbl>
          <w:p w14:paraId="3D5FC2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eastAsia="宋体" w:cs="Times New Roman"/>
                <w:color w:val="auto"/>
                <w:sz w:val="6"/>
              </w:rPr>
            </w:pPr>
            <w:r>
              <w:rPr>
                <w:rFonts w:hint="default" w:ascii="Times New Roman" w:hAnsi="Times New Roman" w:eastAsia="宋体" w:cs="Times New Roman"/>
                <w:b/>
                <w:bCs/>
                <w:color w:val="auto"/>
                <w:sz w:val="21"/>
                <w:szCs w:val="21"/>
                <w:lang w:val="en-US" w:eastAsia="zh-CN"/>
              </w:rPr>
              <w:t>表</w:t>
            </w:r>
            <w:r>
              <w:rPr>
                <w:rFonts w:hint="eastAsia" w:cs="Times New Roman"/>
                <w:b/>
                <w:bCs/>
                <w:color w:val="auto"/>
                <w:sz w:val="21"/>
                <w:szCs w:val="21"/>
                <w:lang w:val="en-US" w:eastAsia="zh-CN"/>
              </w:rPr>
              <w:t>2-7</w:t>
            </w:r>
            <w:r>
              <w:rPr>
                <w:rFonts w:hint="default" w:ascii="Times New Roman" w:hAnsi="Times New Roman" w:eastAsia="宋体" w:cs="Times New Roman"/>
                <w:b/>
                <w:bCs/>
                <w:color w:val="auto"/>
                <w:sz w:val="21"/>
                <w:szCs w:val="21"/>
                <w:lang w:val="en-US" w:eastAsia="zh-CN"/>
              </w:rPr>
              <w:tab/>
            </w:r>
            <w:r>
              <w:rPr>
                <w:rFonts w:hint="default" w:ascii="Times New Roman" w:hAnsi="Times New Roman" w:eastAsia="宋体" w:cs="Times New Roman"/>
                <w:b/>
                <w:bCs/>
                <w:color w:val="auto"/>
                <w:sz w:val="21"/>
                <w:szCs w:val="21"/>
                <w:lang w:val="en-US" w:eastAsia="zh-CN"/>
              </w:rPr>
              <w:t>腻子粉系列产品原辅材料消耗表</w:t>
            </w:r>
          </w:p>
          <w:tbl>
            <w:tblPr>
              <w:tblStyle w:val="28"/>
              <w:tblW w:w="4996"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autofit"/>
              <w:tblCellMar>
                <w:top w:w="0" w:type="dxa"/>
                <w:left w:w="0" w:type="dxa"/>
                <w:bottom w:w="0" w:type="dxa"/>
                <w:right w:w="0" w:type="dxa"/>
              </w:tblCellMar>
            </w:tblPr>
            <w:tblGrid>
              <w:gridCol w:w="572"/>
              <w:gridCol w:w="576"/>
              <w:gridCol w:w="1356"/>
              <w:gridCol w:w="2240"/>
              <w:gridCol w:w="1785"/>
              <w:gridCol w:w="1837"/>
            </w:tblGrid>
            <w:tr w14:paraId="488F0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42" w:type="pct"/>
                  <w:shd w:val="clear" w:color="auto" w:fill="auto"/>
                  <w:vAlign w:val="center"/>
                </w:tcPr>
                <w:p w14:paraId="47757CD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种类</w:t>
                  </w:r>
                </w:p>
              </w:tc>
              <w:tc>
                <w:tcPr>
                  <w:tcW w:w="344" w:type="pct"/>
                  <w:tcBorders>
                    <w:right w:val="single" w:color="000000" w:sz="4" w:space="0"/>
                  </w:tcBorders>
                  <w:shd w:val="clear" w:color="auto" w:fill="auto"/>
                  <w:vAlign w:val="center"/>
                </w:tcPr>
                <w:p w14:paraId="707AD3C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序号</w:t>
                  </w:r>
                </w:p>
              </w:tc>
              <w:tc>
                <w:tcPr>
                  <w:tcW w:w="810" w:type="pct"/>
                  <w:tcBorders>
                    <w:left w:val="single" w:color="000000" w:sz="4" w:space="0"/>
                  </w:tcBorders>
                  <w:shd w:val="clear" w:color="auto" w:fill="auto"/>
                  <w:vAlign w:val="center"/>
                </w:tcPr>
                <w:p w14:paraId="028C6F4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名</w:t>
                  </w:r>
                  <w:r>
                    <w:rPr>
                      <w:rFonts w:hint="default" w:ascii="Times New Roman" w:hAnsi="Times New Roman" w:eastAsia="宋体" w:cs="Times New Roman"/>
                      <w:b/>
                      <w:bCs/>
                      <w:color w:val="auto"/>
                      <w:sz w:val="21"/>
                    </w:rPr>
                    <w:tab/>
                  </w:r>
                  <w:r>
                    <w:rPr>
                      <w:rFonts w:hint="default" w:ascii="Times New Roman" w:hAnsi="Times New Roman" w:eastAsia="宋体" w:cs="Times New Roman"/>
                      <w:b/>
                      <w:bCs/>
                      <w:color w:val="auto"/>
                      <w:sz w:val="21"/>
                    </w:rPr>
                    <w:t>称</w:t>
                  </w:r>
                </w:p>
              </w:tc>
              <w:tc>
                <w:tcPr>
                  <w:tcW w:w="1338" w:type="pct"/>
                  <w:shd w:val="clear" w:color="auto" w:fill="auto"/>
                  <w:vAlign w:val="center"/>
                </w:tcPr>
                <w:p w14:paraId="0779EDB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lang w:eastAsia="zh-CN"/>
                    </w:rPr>
                    <w:t>年消耗</w:t>
                  </w:r>
                  <w:r>
                    <w:rPr>
                      <w:rFonts w:hint="default" w:ascii="Times New Roman" w:hAnsi="Times New Roman" w:eastAsia="宋体" w:cs="Times New Roman"/>
                      <w:b/>
                      <w:bCs/>
                      <w:color w:val="auto"/>
                      <w:sz w:val="21"/>
                    </w:rPr>
                    <w:t>量</w:t>
                  </w:r>
                  <w:r>
                    <w:rPr>
                      <w:rFonts w:hint="default" w:ascii="Times New Roman" w:hAnsi="Times New Roman" w:eastAsia="宋体" w:cs="Times New Roman"/>
                      <w:b/>
                      <w:bCs/>
                      <w:color w:val="auto"/>
                      <w:sz w:val="21"/>
                      <w:lang w:eastAsia="zh-CN"/>
                    </w:rPr>
                    <w:t>（</w:t>
                  </w:r>
                  <w:r>
                    <w:rPr>
                      <w:rFonts w:hint="default" w:ascii="Times New Roman" w:hAnsi="Times New Roman" w:eastAsia="宋体" w:cs="Times New Roman"/>
                      <w:b/>
                      <w:bCs/>
                      <w:color w:val="auto"/>
                      <w:sz w:val="21"/>
                      <w:lang w:val="en-US" w:eastAsia="zh-CN"/>
                    </w:rPr>
                    <w:t>t/a</w:t>
                  </w:r>
                  <w:r>
                    <w:rPr>
                      <w:rFonts w:hint="default" w:ascii="Times New Roman" w:hAnsi="Times New Roman" w:eastAsia="宋体" w:cs="Times New Roman"/>
                      <w:b/>
                      <w:bCs/>
                      <w:color w:val="auto"/>
                      <w:sz w:val="21"/>
                      <w:lang w:eastAsia="zh-CN"/>
                    </w:rPr>
                    <w:t>）</w:t>
                  </w:r>
                </w:p>
              </w:tc>
              <w:tc>
                <w:tcPr>
                  <w:tcW w:w="1066" w:type="pct"/>
                  <w:shd w:val="clear" w:color="auto" w:fill="auto"/>
                  <w:vAlign w:val="center"/>
                </w:tcPr>
                <w:p w14:paraId="67EF7FF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lang w:val="en-US" w:eastAsia="zh-CN"/>
                    </w:rPr>
                    <w:t>厂区最大暂存量</w:t>
                  </w:r>
                  <w:r>
                    <w:rPr>
                      <w:rFonts w:hint="default" w:ascii="Times New Roman" w:hAnsi="Times New Roman" w:eastAsia="宋体" w:cs="Times New Roman"/>
                      <w:b/>
                      <w:bCs/>
                      <w:color w:val="auto"/>
                      <w:sz w:val="21"/>
                      <w:lang w:eastAsia="zh-CN"/>
                    </w:rPr>
                    <w:t>（</w:t>
                  </w:r>
                  <w:r>
                    <w:rPr>
                      <w:rFonts w:hint="default" w:ascii="Times New Roman" w:hAnsi="Times New Roman" w:eastAsia="宋体" w:cs="Times New Roman"/>
                      <w:b/>
                      <w:bCs/>
                      <w:color w:val="auto"/>
                      <w:sz w:val="21"/>
                      <w:lang w:val="en-US" w:eastAsia="zh-CN"/>
                    </w:rPr>
                    <w:t>t</w:t>
                  </w:r>
                  <w:r>
                    <w:rPr>
                      <w:rFonts w:hint="default" w:ascii="Times New Roman" w:hAnsi="Times New Roman" w:eastAsia="宋体" w:cs="Times New Roman"/>
                      <w:b/>
                      <w:bCs/>
                      <w:color w:val="auto"/>
                      <w:sz w:val="21"/>
                      <w:lang w:eastAsia="zh-CN"/>
                    </w:rPr>
                    <w:t>）</w:t>
                  </w:r>
                </w:p>
              </w:tc>
              <w:tc>
                <w:tcPr>
                  <w:tcW w:w="1097" w:type="pct"/>
                  <w:shd w:val="clear" w:color="auto" w:fill="auto"/>
                  <w:vAlign w:val="center"/>
                </w:tcPr>
                <w:p w14:paraId="63579F2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来源</w:t>
                  </w:r>
                </w:p>
              </w:tc>
            </w:tr>
            <w:tr w14:paraId="2384B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42" w:type="pct"/>
                  <w:vMerge w:val="restart"/>
                  <w:shd w:val="clear" w:color="auto" w:fill="auto"/>
                  <w:vAlign w:val="center"/>
                </w:tcPr>
                <w:p w14:paraId="6676E29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p w14:paraId="244D5E7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p w14:paraId="1B00F5D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原料</w:t>
                  </w:r>
                </w:p>
              </w:tc>
              <w:tc>
                <w:tcPr>
                  <w:tcW w:w="344" w:type="pct"/>
                  <w:tcBorders>
                    <w:right w:val="single" w:color="000000" w:sz="4" w:space="0"/>
                  </w:tcBorders>
                  <w:shd w:val="clear" w:color="auto" w:fill="auto"/>
                  <w:vAlign w:val="center"/>
                </w:tcPr>
                <w:p w14:paraId="5D2F759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810" w:type="pct"/>
                  <w:tcBorders>
                    <w:left w:val="single" w:color="000000" w:sz="4" w:space="0"/>
                  </w:tcBorders>
                  <w:shd w:val="clear" w:color="auto" w:fill="auto"/>
                  <w:vAlign w:val="center"/>
                </w:tcPr>
                <w:p w14:paraId="4E012BD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水泥</w:t>
                  </w:r>
                </w:p>
              </w:tc>
              <w:tc>
                <w:tcPr>
                  <w:tcW w:w="2241" w:type="dxa"/>
                  <w:shd w:val="clear" w:color="auto" w:fill="auto"/>
                  <w:vAlign w:val="center"/>
                </w:tcPr>
                <w:p w14:paraId="7E6022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rPr>
                  </w:pPr>
                  <w:r>
                    <w:rPr>
                      <w:rFonts w:hint="default" w:ascii="Times New Roman" w:hAnsi="Times New Roman" w:eastAsia="宋体" w:cs="Times New Roman"/>
                      <w:i w:val="0"/>
                      <w:iCs w:val="0"/>
                      <w:color w:val="000000"/>
                      <w:kern w:val="0"/>
                      <w:sz w:val="21"/>
                      <w:szCs w:val="21"/>
                      <w:u w:val="none"/>
                      <w:lang w:val="en-US" w:eastAsia="zh-CN" w:bidi="ar"/>
                    </w:rPr>
                    <w:t>34627.457</w:t>
                  </w:r>
                </w:p>
              </w:tc>
              <w:tc>
                <w:tcPr>
                  <w:tcW w:w="1066" w:type="pct"/>
                  <w:shd w:val="clear" w:color="auto" w:fill="auto"/>
                  <w:vAlign w:val="center"/>
                </w:tcPr>
                <w:p w14:paraId="6562459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cs="Times New Roman"/>
                      <w:color w:val="auto"/>
                      <w:sz w:val="21"/>
                      <w:lang w:val="en-US" w:eastAsia="zh-CN"/>
                    </w:rPr>
                  </w:pPr>
                  <w:r>
                    <w:rPr>
                      <w:rFonts w:hint="default" w:cs="Times New Roman"/>
                      <w:color w:val="auto"/>
                      <w:sz w:val="21"/>
                      <w:lang w:val="en-US" w:eastAsia="zh-CN"/>
                    </w:rPr>
                    <w:t>60m</w:t>
                  </w:r>
                  <w:r>
                    <w:rPr>
                      <w:rFonts w:hint="default" w:cs="Times New Roman"/>
                      <w:color w:val="auto"/>
                      <w:sz w:val="21"/>
                      <w:vertAlign w:val="superscript"/>
                      <w:lang w:val="en-US" w:eastAsia="zh-CN"/>
                    </w:rPr>
                    <w:t>3</w:t>
                  </w:r>
                </w:p>
              </w:tc>
              <w:tc>
                <w:tcPr>
                  <w:tcW w:w="1097" w:type="pct"/>
                  <w:shd w:val="clear" w:color="auto" w:fill="auto"/>
                  <w:vAlign w:val="center"/>
                </w:tcPr>
                <w:p w14:paraId="17F7A10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r w14:paraId="18385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42" w:type="pct"/>
                  <w:vMerge w:val="continue"/>
                  <w:tcBorders>
                    <w:top w:val="nil"/>
                  </w:tcBorders>
                  <w:shd w:val="clear" w:color="auto" w:fill="auto"/>
                  <w:vAlign w:val="center"/>
                </w:tcPr>
                <w:p w14:paraId="3B8B3DF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344" w:type="pct"/>
                  <w:tcBorders>
                    <w:right w:val="single" w:color="000000" w:sz="4" w:space="0"/>
                  </w:tcBorders>
                  <w:shd w:val="clear" w:color="auto" w:fill="auto"/>
                  <w:vAlign w:val="center"/>
                </w:tcPr>
                <w:p w14:paraId="1F6E27E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p>
              </w:tc>
              <w:tc>
                <w:tcPr>
                  <w:tcW w:w="810" w:type="pct"/>
                  <w:tcBorders>
                    <w:left w:val="single" w:color="000000" w:sz="4" w:space="0"/>
                  </w:tcBorders>
                  <w:shd w:val="clear" w:color="auto" w:fill="auto"/>
                  <w:vAlign w:val="center"/>
                </w:tcPr>
                <w:p w14:paraId="32D8F2C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白砂</w:t>
                  </w:r>
                </w:p>
              </w:tc>
              <w:tc>
                <w:tcPr>
                  <w:tcW w:w="2241" w:type="dxa"/>
                  <w:shd w:val="clear" w:color="auto" w:fill="auto"/>
                  <w:vAlign w:val="center"/>
                </w:tcPr>
                <w:p w14:paraId="369E72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59800.3</w:t>
                  </w:r>
                </w:p>
              </w:tc>
              <w:tc>
                <w:tcPr>
                  <w:tcW w:w="1066" w:type="pct"/>
                  <w:shd w:val="clear" w:color="auto" w:fill="auto"/>
                  <w:vAlign w:val="center"/>
                </w:tcPr>
                <w:p w14:paraId="4EA5BB6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cs="Times New Roman"/>
                      <w:color w:val="auto"/>
                      <w:sz w:val="21"/>
                      <w:lang w:val="en-US" w:eastAsia="zh-CN"/>
                    </w:rPr>
                  </w:pPr>
                  <w:r>
                    <w:rPr>
                      <w:rFonts w:hint="default" w:cs="Times New Roman"/>
                      <w:color w:val="auto"/>
                      <w:sz w:val="21"/>
                      <w:lang w:val="en-US" w:eastAsia="zh-CN"/>
                    </w:rPr>
                    <w:t>60m</w:t>
                  </w:r>
                  <w:r>
                    <w:rPr>
                      <w:rFonts w:hint="default" w:cs="Times New Roman"/>
                      <w:color w:val="auto"/>
                      <w:sz w:val="21"/>
                      <w:vertAlign w:val="superscript"/>
                      <w:lang w:val="en-US" w:eastAsia="zh-CN"/>
                    </w:rPr>
                    <w:t>3</w:t>
                  </w:r>
                </w:p>
              </w:tc>
              <w:tc>
                <w:tcPr>
                  <w:tcW w:w="1097" w:type="pct"/>
                  <w:shd w:val="clear" w:color="auto" w:fill="auto"/>
                  <w:vAlign w:val="center"/>
                </w:tcPr>
                <w:p w14:paraId="5DE2C99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r w14:paraId="28423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42" w:type="pct"/>
                  <w:vMerge w:val="continue"/>
                  <w:tcBorders>
                    <w:top w:val="nil"/>
                  </w:tcBorders>
                  <w:shd w:val="clear" w:color="auto" w:fill="auto"/>
                  <w:vAlign w:val="center"/>
                </w:tcPr>
                <w:p w14:paraId="090002D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344" w:type="pct"/>
                  <w:tcBorders>
                    <w:right w:val="single" w:color="000000" w:sz="4" w:space="0"/>
                  </w:tcBorders>
                  <w:shd w:val="clear" w:color="auto" w:fill="auto"/>
                  <w:vAlign w:val="center"/>
                </w:tcPr>
                <w:p w14:paraId="478EB55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w:t>
                  </w:r>
                </w:p>
              </w:tc>
              <w:tc>
                <w:tcPr>
                  <w:tcW w:w="810" w:type="pct"/>
                  <w:tcBorders>
                    <w:left w:val="single" w:color="000000" w:sz="4" w:space="0"/>
                  </w:tcBorders>
                  <w:shd w:val="clear" w:color="auto" w:fill="auto"/>
                  <w:vAlign w:val="center"/>
                </w:tcPr>
                <w:p w14:paraId="421AD9A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碳酸钙</w:t>
                  </w:r>
                </w:p>
              </w:tc>
              <w:tc>
                <w:tcPr>
                  <w:tcW w:w="2241" w:type="dxa"/>
                  <w:shd w:val="clear" w:color="auto" w:fill="auto"/>
                  <w:vAlign w:val="center"/>
                </w:tcPr>
                <w:p w14:paraId="7DC80E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24047.61</w:t>
                  </w:r>
                </w:p>
              </w:tc>
              <w:tc>
                <w:tcPr>
                  <w:tcW w:w="1066" w:type="pct"/>
                  <w:shd w:val="clear" w:color="auto" w:fill="auto"/>
                  <w:vAlign w:val="center"/>
                </w:tcPr>
                <w:p w14:paraId="062F616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cs="Times New Roman"/>
                      <w:color w:val="auto"/>
                      <w:sz w:val="21"/>
                      <w:lang w:val="en-US" w:eastAsia="zh-CN"/>
                    </w:rPr>
                  </w:pPr>
                  <w:r>
                    <w:rPr>
                      <w:rFonts w:hint="default" w:cs="Times New Roman"/>
                      <w:color w:val="auto"/>
                      <w:sz w:val="21"/>
                      <w:lang w:val="en-US" w:eastAsia="zh-CN"/>
                    </w:rPr>
                    <w:t>60m</w:t>
                  </w:r>
                  <w:r>
                    <w:rPr>
                      <w:rFonts w:hint="default" w:cs="Times New Roman"/>
                      <w:color w:val="auto"/>
                      <w:sz w:val="21"/>
                      <w:vertAlign w:val="superscript"/>
                      <w:lang w:val="en-US" w:eastAsia="zh-CN"/>
                    </w:rPr>
                    <w:t>3</w:t>
                  </w:r>
                </w:p>
              </w:tc>
              <w:tc>
                <w:tcPr>
                  <w:tcW w:w="1097" w:type="pct"/>
                  <w:shd w:val="clear" w:color="auto" w:fill="auto"/>
                  <w:vAlign w:val="center"/>
                </w:tcPr>
                <w:p w14:paraId="02BAB02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r w14:paraId="1C141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42" w:type="pct"/>
                  <w:vMerge w:val="continue"/>
                  <w:tcBorders>
                    <w:top w:val="nil"/>
                  </w:tcBorders>
                  <w:shd w:val="clear" w:color="auto" w:fill="auto"/>
                  <w:vAlign w:val="center"/>
                </w:tcPr>
                <w:p w14:paraId="6983937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344" w:type="pct"/>
                  <w:tcBorders>
                    <w:right w:val="single" w:color="000000" w:sz="4" w:space="0"/>
                  </w:tcBorders>
                  <w:shd w:val="clear" w:color="auto" w:fill="auto"/>
                  <w:vAlign w:val="center"/>
                </w:tcPr>
                <w:p w14:paraId="5C82B41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w:t>
                  </w:r>
                </w:p>
              </w:tc>
              <w:tc>
                <w:tcPr>
                  <w:tcW w:w="810" w:type="pct"/>
                  <w:tcBorders>
                    <w:left w:val="single" w:color="000000" w:sz="4" w:space="0"/>
                  </w:tcBorders>
                  <w:shd w:val="clear" w:color="auto" w:fill="auto"/>
                  <w:vAlign w:val="center"/>
                </w:tcPr>
                <w:p w14:paraId="67B5349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纤维素</w:t>
                  </w:r>
                </w:p>
              </w:tc>
              <w:tc>
                <w:tcPr>
                  <w:tcW w:w="2241" w:type="dxa"/>
                  <w:shd w:val="clear" w:color="auto" w:fill="auto"/>
                  <w:vAlign w:val="center"/>
                </w:tcPr>
                <w:p w14:paraId="3E26BD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2029.36</w:t>
                  </w:r>
                </w:p>
              </w:tc>
              <w:tc>
                <w:tcPr>
                  <w:tcW w:w="1066" w:type="pct"/>
                  <w:shd w:val="clear" w:color="auto" w:fill="auto"/>
                  <w:vAlign w:val="center"/>
                </w:tcPr>
                <w:p w14:paraId="655718D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15</w:t>
                  </w:r>
                </w:p>
              </w:tc>
              <w:tc>
                <w:tcPr>
                  <w:tcW w:w="1097" w:type="pct"/>
                  <w:shd w:val="clear" w:color="auto" w:fill="auto"/>
                  <w:vAlign w:val="center"/>
                </w:tcPr>
                <w:p w14:paraId="4337BBE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bl>
          <w:p w14:paraId="0A14DD4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砂壁产品通过使用的白砂或色浆进行调色，使用的为水性色浆，不同色浆的主要成份见表</w:t>
            </w:r>
            <w:r>
              <w:rPr>
                <w:rFonts w:hint="eastAsia" w:cs="Times New Roman"/>
                <w:color w:val="auto"/>
                <w:sz w:val="24"/>
                <w:szCs w:val="24"/>
                <w:lang w:val="en-US" w:eastAsia="zh-CN"/>
              </w:rPr>
              <w:t>2-8</w:t>
            </w:r>
            <w:r>
              <w:rPr>
                <w:rFonts w:hint="default" w:ascii="Times New Roman" w:hAnsi="Times New Roman" w:eastAsia="宋体" w:cs="Times New Roman"/>
                <w:color w:val="auto"/>
                <w:sz w:val="24"/>
                <w:szCs w:val="24"/>
              </w:rPr>
              <w:t>。</w:t>
            </w:r>
          </w:p>
          <w:p w14:paraId="51A6D0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cs="Times New Roman"/>
                <w:b/>
                <w:bCs/>
                <w:color w:val="auto"/>
                <w:sz w:val="21"/>
                <w:szCs w:val="21"/>
                <w:lang w:val="en-US" w:eastAsia="zh-CN"/>
              </w:rPr>
              <w:t>2-8</w:t>
            </w:r>
            <w:r>
              <w:rPr>
                <w:rFonts w:hint="default" w:ascii="Times New Roman" w:hAnsi="Times New Roman" w:eastAsia="宋体" w:cs="Times New Roman"/>
                <w:b/>
                <w:bCs/>
                <w:color w:val="auto"/>
                <w:sz w:val="21"/>
                <w:szCs w:val="21"/>
                <w:lang w:val="en-US" w:eastAsia="zh-CN"/>
              </w:rPr>
              <w:tab/>
            </w:r>
            <w:r>
              <w:rPr>
                <w:rFonts w:hint="default" w:ascii="Times New Roman" w:hAnsi="Times New Roman" w:eastAsia="宋体" w:cs="Times New Roman"/>
                <w:b/>
                <w:bCs/>
                <w:color w:val="auto"/>
                <w:sz w:val="21"/>
                <w:szCs w:val="21"/>
                <w:lang w:val="en-US" w:eastAsia="zh-CN"/>
              </w:rPr>
              <w:t>砂壁产品使用的色浆成份</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76"/>
              <w:gridCol w:w="1089"/>
              <w:gridCol w:w="4207"/>
              <w:gridCol w:w="1403"/>
            </w:tblGrid>
            <w:tr w14:paraId="63260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00" w:type="pct"/>
                  <w:vAlign w:val="center"/>
                </w:tcPr>
                <w:p w14:paraId="166CFF1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色浆种类</w:t>
                  </w:r>
                </w:p>
              </w:tc>
              <w:tc>
                <w:tcPr>
                  <w:tcW w:w="650" w:type="pct"/>
                  <w:vAlign w:val="center"/>
                </w:tcPr>
                <w:p w14:paraId="4A1C7B7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序号</w:t>
                  </w:r>
                </w:p>
              </w:tc>
              <w:tc>
                <w:tcPr>
                  <w:tcW w:w="2511" w:type="pct"/>
                  <w:vAlign w:val="center"/>
                </w:tcPr>
                <w:p w14:paraId="4CADC11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成份</w:t>
                  </w:r>
                </w:p>
              </w:tc>
              <w:tc>
                <w:tcPr>
                  <w:tcW w:w="837" w:type="pct"/>
                  <w:vAlign w:val="center"/>
                </w:tcPr>
                <w:p w14:paraId="7A1E3CA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比例（%）</w:t>
                  </w:r>
                </w:p>
              </w:tc>
            </w:tr>
            <w:tr w14:paraId="22499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00" w:type="pct"/>
                  <w:vMerge w:val="restart"/>
                  <w:vAlign w:val="center"/>
                </w:tcPr>
                <w:p w14:paraId="7C03CE4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铁黄、铁红</w:t>
                  </w:r>
                </w:p>
              </w:tc>
              <w:tc>
                <w:tcPr>
                  <w:tcW w:w="650" w:type="pct"/>
                  <w:vAlign w:val="center"/>
                </w:tcPr>
                <w:p w14:paraId="30D1A0A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2511" w:type="pct"/>
                  <w:vAlign w:val="center"/>
                </w:tcPr>
                <w:p w14:paraId="561C084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丙烯酸乳液</w:t>
                  </w:r>
                </w:p>
              </w:tc>
              <w:tc>
                <w:tcPr>
                  <w:tcW w:w="837" w:type="pct"/>
                  <w:vAlign w:val="center"/>
                </w:tcPr>
                <w:p w14:paraId="539E295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25</w:t>
                  </w:r>
                </w:p>
              </w:tc>
            </w:tr>
            <w:tr w14:paraId="3FEC3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00" w:type="pct"/>
                  <w:vMerge w:val="continue"/>
                  <w:tcBorders>
                    <w:top w:val="nil"/>
                  </w:tcBorders>
                  <w:vAlign w:val="center"/>
                </w:tcPr>
                <w:p w14:paraId="6B7E1B4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650" w:type="pct"/>
                  <w:vAlign w:val="center"/>
                </w:tcPr>
                <w:p w14:paraId="285EB56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p>
              </w:tc>
              <w:tc>
                <w:tcPr>
                  <w:tcW w:w="2511" w:type="pct"/>
                  <w:vAlign w:val="center"/>
                </w:tcPr>
                <w:p w14:paraId="19B2FC0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合成氧化铁</w:t>
                  </w:r>
                </w:p>
              </w:tc>
              <w:tc>
                <w:tcPr>
                  <w:tcW w:w="837" w:type="pct"/>
                  <w:vAlign w:val="center"/>
                </w:tcPr>
                <w:p w14:paraId="0A174A2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50</w:t>
                  </w:r>
                </w:p>
              </w:tc>
            </w:tr>
            <w:tr w14:paraId="4FDFD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00" w:type="pct"/>
                  <w:vMerge w:val="continue"/>
                  <w:tcBorders>
                    <w:top w:val="nil"/>
                  </w:tcBorders>
                  <w:vAlign w:val="center"/>
                </w:tcPr>
                <w:p w14:paraId="050EB09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650" w:type="pct"/>
                  <w:vAlign w:val="center"/>
                </w:tcPr>
                <w:p w14:paraId="5B60DD3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w:t>
                  </w:r>
                </w:p>
              </w:tc>
              <w:tc>
                <w:tcPr>
                  <w:tcW w:w="2511" w:type="pct"/>
                  <w:vAlign w:val="center"/>
                </w:tcPr>
                <w:p w14:paraId="6D31F36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水</w:t>
                  </w:r>
                </w:p>
              </w:tc>
              <w:tc>
                <w:tcPr>
                  <w:tcW w:w="837" w:type="pct"/>
                  <w:vAlign w:val="center"/>
                </w:tcPr>
                <w:p w14:paraId="01DF674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20</w:t>
                  </w:r>
                </w:p>
              </w:tc>
            </w:tr>
            <w:tr w14:paraId="79271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00" w:type="pct"/>
                  <w:vMerge w:val="continue"/>
                  <w:tcBorders>
                    <w:top w:val="nil"/>
                  </w:tcBorders>
                  <w:vAlign w:val="center"/>
                </w:tcPr>
                <w:p w14:paraId="3C4459C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650" w:type="pct"/>
                  <w:vAlign w:val="center"/>
                </w:tcPr>
                <w:p w14:paraId="34B09EE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w:t>
                  </w:r>
                </w:p>
              </w:tc>
              <w:tc>
                <w:tcPr>
                  <w:tcW w:w="2511" w:type="pct"/>
                  <w:vAlign w:val="center"/>
                </w:tcPr>
                <w:p w14:paraId="31B00EA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助剂（消泡剂、分散剂、增稠剂）</w:t>
                  </w:r>
                </w:p>
              </w:tc>
              <w:tc>
                <w:tcPr>
                  <w:tcW w:w="837" w:type="pct"/>
                  <w:vAlign w:val="center"/>
                </w:tcPr>
                <w:p w14:paraId="60B3B1B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5（1：2：2）</w:t>
                  </w:r>
                </w:p>
              </w:tc>
            </w:tr>
            <w:tr w14:paraId="0F154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00" w:type="pct"/>
                  <w:vMerge w:val="restart"/>
                  <w:vAlign w:val="center"/>
                </w:tcPr>
                <w:p w14:paraId="02EB21D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黑色</w:t>
                  </w:r>
                </w:p>
              </w:tc>
              <w:tc>
                <w:tcPr>
                  <w:tcW w:w="650" w:type="pct"/>
                  <w:vAlign w:val="center"/>
                </w:tcPr>
                <w:p w14:paraId="1A9AF48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2511" w:type="pct"/>
                  <w:vAlign w:val="center"/>
                </w:tcPr>
                <w:p w14:paraId="0B5FD6A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丙烯酸乳液</w:t>
                  </w:r>
                </w:p>
              </w:tc>
              <w:tc>
                <w:tcPr>
                  <w:tcW w:w="837" w:type="pct"/>
                  <w:vAlign w:val="center"/>
                </w:tcPr>
                <w:p w14:paraId="1C21F0C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40</w:t>
                  </w:r>
                </w:p>
              </w:tc>
            </w:tr>
            <w:tr w14:paraId="4050F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00" w:type="pct"/>
                  <w:vMerge w:val="continue"/>
                  <w:tcBorders>
                    <w:top w:val="nil"/>
                  </w:tcBorders>
                  <w:vAlign w:val="center"/>
                </w:tcPr>
                <w:p w14:paraId="06653F3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650" w:type="pct"/>
                  <w:vAlign w:val="center"/>
                </w:tcPr>
                <w:p w14:paraId="169D609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p>
              </w:tc>
              <w:tc>
                <w:tcPr>
                  <w:tcW w:w="2511" w:type="pct"/>
                  <w:vAlign w:val="center"/>
                </w:tcPr>
                <w:p w14:paraId="29796CA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合成氧化铁</w:t>
                  </w:r>
                </w:p>
              </w:tc>
              <w:tc>
                <w:tcPr>
                  <w:tcW w:w="837" w:type="pct"/>
                  <w:vAlign w:val="center"/>
                </w:tcPr>
                <w:p w14:paraId="28267E1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20</w:t>
                  </w:r>
                </w:p>
              </w:tc>
            </w:tr>
            <w:tr w14:paraId="03696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00" w:type="pct"/>
                  <w:vMerge w:val="continue"/>
                  <w:tcBorders>
                    <w:top w:val="nil"/>
                  </w:tcBorders>
                  <w:vAlign w:val="center"/>
                </w:tcPr>
                <w:p w14:paraId="204FAA6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650" w:type="pct"/>
                  <w:vAlign w:val="center"/>
                </w:tcPr>
                <w:p w14:paraId="49EEFB6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w:t>
                  </w:r>
                </w:p>
              </w:tc>
              <w:tc>
                <w:tcPr>
                  <w:tcW w:w="2511" w:type="pct"/>
                  <w:vAlign w:val="center"/>
                </w:tcPr>
                <w:p w14:paraId="2EAAC81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水</w:t>
                  </w:r>
                </w:p>
              </w:tc>
              <w:tc>
                <w:tcPr>
                  <w:tcW w:w="837" w:type="pct"/>
                  <w:vAlign w:val="center"/>
                </w:tcPr>
                <w:p w14:paraId="539A237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30</w:t>
                  </w:r>
                </w:p>
              </w:tc>
            </w:tr>
            <w:tr w14:paraId="5B1A2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00" w:type="pct"/>
                  <w:vMerge w:val="continue"/>
                  <w:tcBorders>
                    <w:top w:val="nil"/>
                  </w:tcBorders>
                  <w:vAlign w:val="center"/>
                </w:tcPr>
                <w:p w14:paraId="014AE36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p>
              </w:tc>
              <w:tc>
                <w:tcPr>
                  <w:tcW w:w="650" w:type="pct"/>
                  <w:vAlign w:val="center"/>
                </w:tcPr>
                <w:p w14:paraId="6D74E49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w:t>
                  </w:r>
                </w:p>
              </w:tc>
              <w:tc>
                <w:tcPr>
                  <w:tcW w:w="2511" w:type="pct"/>
                  <w:vAlign w:val="center"/>
                </w:tcPr>
                <w:p w14:paraId="0ACD2FA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助剂（消泡剂、分散剂、增稠剂）</w:t>
                  </w:r>
                </w:p>
              </w:tc>
              <w:tc>
                <w:tcPr>
                  <w:tcW w:w="837" w:type="pct"/>
                  <w:vAlign w:val="center"/>
                </w:tcPr>
                <w:p w14:paraId="3B877D1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10（2：4：4）</w:t>
                  </w:r>
                </w:p>
              </w:tc>
            </w:tr>
          </w:tbl>
          <w:p w14:paraId="525FEAFA">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2"/>
                <w:sz w:val="24"/>
                <w:szCs w:val="24"/>
                <w:lang w:val="en-US" w:eastAsia="zh-CN" w:bidi="ar-SA"/>
              </w:rPr>
              <w:t>产品生产出来后，采用铁制桶和纸袋进行包装，均由相关协作单位提供，</w:t>
            </w:r>
            <w:r>
              <w:rPr>
                <w:rFonts w:hint="eastAsia" w:cs="Times New Roman"/>
                <w:color w:val="auto"/>
                <w:kern w:val="2"/>
                <w:sz w:val="24"/>
                <w:szCs w:val="24"/>
                <w:lang w:val="en-US" w:eastAsia="zh-CN" w:bidi="ar-SA"/>
              </w:rPr>
              <w:t>项目扩建完成后，</w:t>
            </w:r>
            <w:r>
              <w:rPr>
                <w:rFonts w:hint="default" w:ascii="Times New Roman" w:hAnsi="Times New Roman" w:eastAsia="宋体" w:cs="Times New Roman"/>
                <w:color w:val="auto"/>
                <w:kern w:val="2"/>
                <w:sz w:val="24"/>
                <w:szCs w:val="24"/>
                <w:lang w:val="en-US" w:eastAsia="zh-CN" w:bidi="ar-SA"/>
              </w:rPr>
              <w:t xml:space="preserve">每年使用的包装物情况见表 </w:t>
            </w:r>
            <w:r>
              <w:rPr>
                <w:rFonts w:hint="eastAsia" w:cs="Times New Roman"/>
                <w:color w:val="auto"/>
                <w:sz w:val="24"/>
                <w:szCs w:val="24"/>
                <w:lang w:val="en-US" w:eastAsia="zh-CN"/>
              </w:rPr>
              <w:t>2-9</w:t>
            </w:r>
            <w:r>
              <w:rPr>
                <w:rFonts w:hint="default" w:ascii="Times New Roman" w:hAnsi="Times New Roman" w:eastAsia="宋体" w:cs="Times New Roman"/>
                <w:color w:val="auto"/>
                <w:sz w:val="24"/>
                <w:szCs w:val="24"/>
              </w:rPr>
              <w:t>。</w:t>
            </w:r>
          </w:p>
          <w:p w14:paraId="5D739B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cs="Times New Roman"/>
                <w:b/>
                <w:bCs/>
                <w:color w:val="auto"/>
                <w:sz w:val="21"/>
                <w:szCs w:val="21"/>
                <w:lang w:val="en-US" w:eastAsia="zh-CN"/>
              </w:rPr>
              <w:t>2-9</w:t>
            </w:r>
            <w:r>
              <w:rPr>
                <w:rFonts w:hint="default" w:ascii="Times New Roman" w:hAnsi="Times New Roman" w:eastAsia="宋体" w:cs="Times New Roman"/>
                <w:b/>
                <w:bCs/>
                <w:color w:val="auto"/>
                <w:sz w:val="21"/>
                <w:szCs w:val="21"/>
                <w:lang w:val="en-US" w:eastAsia="zh-CN"/>
              </w:rPr>
              <w:tab/>
            </w:r>
            <w:r>
              <w:rPr>
                <w:rFonts w:hint="eastAsia" w:cs="Times New Roman"/>
                <w:b/>
                <w:bCs/>
                <w:color w:val="auto"/>
                <w:sz w:val="21"/>
                <w:szCs w:val="21"/>
                <w:lang w:val="en-US" w:eastAsia="zh-CN"/>
              </w:rPr>
              <w:t>扩建完成后全厂</w:t>
            </w:r>
            <w:r>
              <w:rPr>
                <w:rFonts w:hint="default" w:ascii="Times New Roman" w:hAnsi="Times New Roman" w:eastAsia="宋体" w:cs="Times New Roman"/>
                <w:b/>
                <w:bCs/>
                <w:color w:val="auto"/>
                <w:sz w:val="21"/>
                <w:szCs w:val="21"/>
                <w:lang w:val="en-US" w:eastAsia="zh-CN"/>
              </w:rPr>
              <w:t>包装物</w:t>
            </w:r>
            <w:r>
              <w:rPr>
                <w:rFonts w:hint="eastAsia" w:cs="Times New Roman"/>
                <w:b/>
                <w:bCs/>
                <w:color w:val="auto"/>
                <w:sz w:val="21"/>
                <w:szCs w:val="21"/>
                <w:lang w:val="en-US" w:eastAsia="zh-CN"/>
              </w:rPr>
              <w:t>消耗量</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775"/>
              <w:gridCol w:w="2795"/>
              <w:gridCol w:w="2805"/>
            </w:tblGrid>
            <w:tr w14:paraId="4ED6C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57" w:type="pct"/>
                  <w:vAlign w:val="center"/>
                </w:tcPr>
                <w:p w14:paraId="02E5A87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序号</w:t>
                  </w:r>
                </w:p>
              </w:tc>
              <w:tc>
                <w:tcPr>
                  <w:tcW w:w="1668" w:type="pct"/>
                  <w:vAlign w:val="center"/>
                </w:tcPr>
                <w:p w14:paraId="3D2E3D3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种类</w:t>
                  </w:r>
                </w:p>
              </w:tc>
              <w:tc>
                <w:tcPr>
                  <w:tcW w:w="1674" w:type="pct"/>
                  <w:vAlign w:val="center"/>
                </w:tcPr>
                <w:p w14:paraId="2FB3AB4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用量（万个/年）</w:t>
                  </w:r>
                </w:p>
              </w:tc>
            </w:tr>
            <w:tr w14:paraId="1F415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57" w:type="pct"/>
                  <w:vAlign w:val="center"/>
                </w:tcPr>
                <w:p w14:paraId="11B9A71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1668" w:type="pct"/>
                  <w:vAlign w:val="center"/>
                </w:tcPr>
                <w:p w14:paraId="1632AFB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18L铁桶</w:t>
                  </w:r>
                </w:p>
              </w:tc>
              <w:tc>
                <w:tcPr>
                  <w:tcW w:w="1674" w:type="pct"/>
                  <w:vAlign w:val="center"/>
                </w:tcPr>
                <w:p w14:paraId="146A189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3800000</w:t>
                  </w:r>
                </w:p>
              </w:tc>
            </w:tr>
            <w:tr w14:paraId="668F2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57" w:type="pct"/>
                  <w:vAlign w:val="center"/>
                </w:tcPr>
                <w:p w14:paraId="26F66A0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p>
              </w:tc>
              <w:tc>
                <w:tcPr>
                  <w:tcW w:w="1668" w:type="pct"/>
                  <w:vAlign w:val="center"/>
                </w:tcPr>
                <w:p w14:paraId="79F7FFA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包装纸袋</w:t>
                  </w:r>
                </w:p>
              </w:tc>
              <w:tc>
                <w:tcPr>
                  <w:tcW w:w="1674" w:type="pct"/>
                  <w:vAlign w:val="center"/>
                </w:tcPr>
                <w:p w14:paraId="46E7947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6000000</w:t>
                  </w:r>
                </w:p>
              </w:tc>
            </w:tr>
          </w:tbl>
          <w:p w14:paraId="3AB5BADD">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污水处理系统</w:t>
            </w:r>
            <w:r>
              <w:rPr>
                <w:rFonts w:hint="eastAsia" w:ascii="Times New Roman" w:hAnsi="Times New Roman" w:eastAsia="宋体" w:cs="Times New Roman"/>
                <w:color w:val="auto"/>
                <w:kern w:val="2"/>
                <w:sz w:val="24"/>
                <w:szCs w:val="24"/>
                <w:lang w:val="en-US" w:eastAsia="zh-CN" w:bidi="ar-SA"/>
              </w:rPr>
              <w:t>运营期间</w:t>
            </w:r>
            <w:r>
              <w:rPr>
                <w:rFonts w:hint="default" w:ascii="Times New Roman" w:hAnsi="Times New Roman" w:eastAsia="宋体" w:cs="Times New Roman"/>
                <w:color w:val="auto"/>
                <w:kern w:val="2"/>
                <w:sz w:val="24"/>
                <w:szCs w:val="24"/>
                <w:lang w:val="en-US" w:eastAsia="zh-CN" w:bidi="ar-SA"/>
              </w:rPr>
              <w:t>使用</w:t>
            </w:r>
            <w:r>
              <w:rPr>
                <w:rFonts w:hint="eastAsia" w:ascii="Times New Roman" w:hAnsi="Times New Roman" w:eastAsia="宋体" w:cs="Times New Roman"/>
                <w:color w:val="auto"/>
                <w:kern w:val="2"/>
                <w:sz w:val="24"/>
                <w:szCs w:val="24"/>
                <w:lang w:val="en-US" w:eastAsia="zh-CN" w:bidi="ar-SA"/>
              </w:rPr>
              <w:t>化学试剂</w:t>
            </w:r>
            <w:r>
              <w:rPr>
                <w:rFonts w:hint="default" w:ascii="Times New Roman" w:hAnsi="Times New Roman" w:eastAsia="宋体" w:cs="Times New Roman"/>
                <w:color w:val="auto"/>
                <w:kern w:val="2"/>
                <w:sz w:val="24"/>
                <w:szCs w:val="24"/>
                <w:lang w:val="en-US" w:eastAsia="zh-CN" w:bidi="ar-SA"/>
              </w:rPr>
              <w:t xml:space="preserve"> NaOH，使用量约为40kg/月</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0.96t/a。</w:t>
            </w:r>
            <w:r>
              <w:rPr>
                <w:rFonts w:hint="default" w:ascii="Times New Roman" w:hAnsi="Times New Roman" w:eastAsia="宋体" w:cs="Times New Roman"/>
                <w:color w:val="auto"/>
                <w:kern w:val="2"/>
                <w:sz w:val="24"/>
                <w:szCs w:val="24"/>
                <w:lang w:val="en-US" w:eastAsia="zh-CN" w:bidi="ar-SA"/>
              </w:rPr>
              <w:t xml:space="preserve">生产中使用的原、辅料特性见表 </w:t>
            </w:r>
            <w:r>
              <w:rPr>
                <w:rFonts w:hint="eastAsia" w:cs="Times New Roman"/>
                <w:color w:val="auto"/>
                <w:kern w:val="2"/>
                <w:sz w:val="24"/>
                <w:szCs w:val="24"/>
                <w:lang w:val="en-US" w:eastAsia="zh-CN" w:bidi="ar-SA"/>
              </w:rPr>
              <w:t>2-10</w:t>
            </w:r>
            <w:r>
              <w:rPr>
                <w:rFonts w:hint="default" w:ascii="Times New Roman" w:hAnsi="Times New Roman" w:eastAsia="宋体" w:cs="Times New Roman"/>
                <w:color w:val="auto"/>
                <w:kern w:val="2"/>
                <w:sz w:val="24"/>
                <w:szCs w:val="24"/>
                <w:lang w:val="en-US" w:eastAsia="zh-CN" w:bidi="ar-SA"/>
              </w:rPr>
              <w:t>。</w:t>
            </w:r>
          </w:p>
          <w:p w14:paraId="1F2725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 xml:space="preserve">表 </w:t>
            </w:r>
            <w:r>
              <w:rPr>
                <w:rFonts w:hint="eastAsia" w:cs="Times New Roman"/>
                <w:b/>
                <w:bCs/>
                <w:color w:val="auto"/>
                <w:sz w:val="21"/>
                <w:szCs w:val="21"/>
                <w:lang w:val="en-US" w:eastAsia="zh-CN"/>
              </w:rPr>
              <w:t>2-10</w:t>
            </w:r>
            <w:r>
              <w:rPr>
                <w:rFonts w:hint="default" w:ascii="Times New Roman" w:hAnsi="Times New Roman" w:eastAsia="宋体" w:cs="Times New Roman"/>
                <w:b/>
                <w:bCs/>
                <w:color w:val="auto"/>
                <w:sz w:val="21"/>
                <w:szCs w:val="21"/>
                <w:lang w:val="en-US" w:eastAsia="zh-CN"/>
              </w:rPr>
              <w:tab/>
            </w:r>
            <w:r>
              <w:rPr>
                <w:rFonts w:hint="default" w:ascii="Times New Roman" w:hAnsi="Times New Roman" w:eastAsia="宋体" w:cs="Times New Roman"/>
                <w:b/>
                <w:bCs/>
                <w:color w:val="auto"/>
                <w:sz w:val="21"/>
                <w:szCs w:val="21"/>
                <w:lang w:val="en-US" w:eastAsia="zh-CN"/>
              </w:rPr>
              <w:t>生产使用主要原料、辅料消耗量及特性一览表</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26"/>
              <w:gridCol w:w="671"/>
              <w:gridCol w:w="738"/>
              <w:gridCol w:w="810"/>
              <w:gridCol w:w="1008"/>
              <w:gridCol w:w="4522"/>
            </w:tblGrid>
            <w:tr w14:paraId="11ADE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Align w:val="center"/>
                </w:tcPr>
                <w:p w14:paraId="0BB002E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产品</w:t>
                  </w:r>
                </w:p>
              </w:tc>
              <w:tc>
                <w:tcPr>
                  <w:tcW w:w="413" w:type="pct"/>
                  <w:vAlign w:val="center"/>
                </w:tcPr>
                <w:p w14:paraId="7DD2B80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453" w:type="pct"/>
                  <w:vAlign w:val="center"/>
                </w:tcPr>
                <w:p w14:paraId="048C888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原材料名称</w:t>
                  </w:r>
                </w:p>
              </w:tc>
              <w:tc>
                <w:tcPr>
                  <w:tcW w:w="496" w:type="pct"/>
                  <w:vAlign w:val="center"/>
                </w:tcPr>
                <w:p w14:paraId="51D91D90">
                  <w:pPr>
                    <w:pStyle w:val="41"/>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sz w:val="21"/>
                      <w:szCs w:val="21"/>
                      <w:lang w:val="en-US" w:eastAsia="zh-CN"/>
                    </w:rPr>
                    <w:t>原项目用量</w:t>
                  </w:r>
                  <w:r>
                    <w:rPr>
                      <w:rFonts w:hint="default" w:ascii="Times New Roman" w:hAnsi="Times New Roman" w:eastAsia="宋体" w:cs="Times New Roman"/>
                      <w:b/>
                      <w:bCs/>
                      <w:sz w:val="21"/>
                      <w:szCs w:val="21"/>
                    </w:rPr>
                    <w:t>（t/a）</w:t>
                  </w:r>
                </w:p>
              </w:tc>
              <w:tc>
                <w:tcPr>
                  <w:tcW w:w="539" w:type="pct"/>
                  <w:vAlign w:val="center"/>
                </w:tcPr>
                <w:p w14:paraId="45163501">
                  <w:pPr>
                    <w:pStyle w:val="41"/>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扩建后</w:t>
                  </w:r>
                  <w:r>
                    <w:rPr>
                      <w:rFonts w:hint="default" w:ascii="Times New Roman" w:hAnsi="Times New Roman" w:eastAsia="宋体" w:cs="Times New Roman"/>
                      <w:b/>
                      <w:bCs/>
                      <w:sz w:val="21"/>
                      <w:szCs w:val="21"/>
                    </w:rPr>
                    <w:t>用量</w:t>
                  </w:r>
                </w:p>
                <w:p w14:paraId="7B2C5F8D">
                  <w:pPr>
                    <w:pStyle w:val="41"/>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sz w:val="21"/>
                      <w:szCs w:val="21"/>
                    </w:rPr>
                    <w:t>（t/a）</w:t>
                  </w:r>
                </w:p>
              </w:tc>
              <w:tc>
                <w:tcPr>
                  <w:tcW w:w="2711" w:type="pct"/>
                  <w:vAlign w:val="center"/>
                </w:tcPr>
                <w:p w14:paraId="38D1B96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特性</w:t>
                  </w:r>
                </w:p>
              </w:tc>
            </w:tr>
            <w:tr w14:paraId="77CA2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Merge w:val="restart"/>
                  <w:vAlign w:val="center"/>
                </w:tcPr>
                <w:p w14:paraId="42604AF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p w14:paraId="00773B9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p w14:paraId="60373EF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p w14:paraId="1E7CB01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p w14:paraId="3E3A544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p w14:paraId="724C29E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水性涂料和砂壁产品</w:t>
                  </w:r>
                </w:p>
              </w:tc>
              <w:tc>
                <w:tcPr>
                  <w:tcW w:w="413" w:type="pct"/>
                  <w:vAlign w:val="center"/>
                </w:tcPr>
                <w:p w14:paraId="5CECFE2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53" w:type="pct"/>
                  <w:vAlign w:val="center"/>
                </w:tcPr>
                <w:p w14:paraId="5FE9F09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金红石钛白粉</w:t>
                  </w:r>
                </w:p>
              </w:tc>
              <w:tc>
                <w:tcPr>
                  <w:tcW w:w="496" w:type="pct"/>
                  <w:vAlign w:val="center"/>
                </w:tcPr>
                <w:p w14:paraId="66F52778">
                  <w:pPr>
                    <w:pStyle w:val="41"/>
                    <w:keepNext w:val="0"/>
                    <w:keepLines w:val="0"/>
                    <w:suppressLineNumbers w:val="0"/>
                    <w:spacing w:before="23" w:beforeAutospacing="0" w:after="0" w:afterAutospacing="0"/>
                    <w:ind w:left="237"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3189</w:t>
                  </w:r>
                </w:p>
              </w:tc>
              <w:tc>
                <w:tcPr>
                  <w:tcW w:w="539" w:type="pct"/>
                  <w:vAlign w:val="center"/>
                </w:tcPr>
                <w:p w14:paraId="5C156E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3802.5</w:t>
                  </w:r>
                </w:p>
              </w:tc>
              <w:tc>
                <w:tcPr>
                  <w:tcW w:w="2711" w:type="pct"/>
                  <w:vAlign w:val="center"/>
                </w:tcPr>
                <w:p w14:paraId="7288D05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白色颜料，学名二氧化钛，白色固体粉末，化学性质稳定， 无气味，PH 值 6.5-8.0,比重 3.8-4.1kg/L，不溶解于水，熔点 1830℃，在一般情况下与大部分物质不发生反应，可增强涂料的稳定性和附着力。</w:t>
                  </w:r>
                </w:p>
              </w:tc>
            </w:tr>
            <w:tr w14:paraId="6B60C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Merge w:val="continue"/>
                  <w:vAlign w:val="center"/>
                </w:tcPr>
                <w:p w14:paraId="19F86BA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13" w:type="pct"/>
                  <w:vAlign w:val="center"/>
                </w:tcPr>
                <w:p w14:paraId="1E82BFB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453" w:type="pct"/>
                  <w:vAlign w:val="center"/>
                </w:tcPr>
                <w:p w14:paraId="36D4C6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碳酸钙</w:t>
                  </w:r>
                </w:p>
              </w:tc>
              <w:tc>
                <w:tcPr>
                  <w:tcW w:w="496" w:type="pct"/>
                  <w:vAlign w:val="center"/>
                </w:tcPr>
                <w:p w14:paraId="52D6503F">
                  <w:pPr>
                    <w:pStyle w:val="41"/>
                    <w:keepNext w:val="0"/>
                    <w:keepLines w:val="0"/>
                    <w:suppressLineNumbers w:val="0"/>
                    <w:spacing w:before="23" w:beforeAutospacing="0" w:after="0" w:afterAutospacing="0"/>
                    <w:ind w:left="108" w:leftChars="0" w:right="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sz w:val="21"/>
                      <w:szCs w:val="21"/>
                    </w:rPr>
                    <w:t>25039</w:t>
                  </w:r>
                </w:p>
              </w:tc>
              <w:tc>
                <w:tcPr>
                  <w:tcW w:w="539" w:type="pct"/>
                  <w:vAlign w:val="center"/>
                </w:tcPr>
                <w:p w14:paraId="7D29BF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50665.7346</w:t>
                  </w:r>
                </w:p>
              </w:tc>
              <w:tc>
                <w:tcPr>
                  <w:tcW w:w="2711" w:type="pct"/>
                  <w:vAlign w:val="center"/>
                </w:tcPr>
                <w:p w14:paraId="40E72A6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粉末状无机填料，白色粉末，无色、无味。在空气中稳定， 无气味，几乎不溶于水，PH8.0-10.0,比重 3.0kg/L，熔点1700℃，具有化学纯度高，惰性大，不易化学反应，热稳定性好；在高温下不会分解，分散性好等优点。</w:t>
                  </w:r>
                </w:p>
              </w:tc>
            </w:tr>
            <w:tr w14:paraId="4EB60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Merge w:val="continue"/>
                  <w:vAlign w:val="center"/>
                </w:tcPr>
                <w:p w14:paraId="0A34807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13" w:type="pct"/>
                  <w:vAlign w:val="center"/>
                </w:tcPr>
                <w:p w14:paraId="32FF957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453" w:type="pct"/>
                  <w:vAlign w:val="center"/>
                </w:tcPr>
                <w:p w14:paraId="0C0F9FE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高岭土</w:t>
                  </w:r>
                </w:p>
              </w:tc>
              <w:tc>
                <w:tcPr>
                  <w:tcW w:w="496" w:type="pct"/>
                  <w:vAlign w:val="center"/>
                </w:tcPr>
                <w:p w14:paraId="439EEA5F">
                  <w:pPr>
                    <w:pStyle w:val="41"/>
                    <w:keepNext w:val="0"/>
                    <w:keepLines w:val="0"/>
                    <w:suppressLineNumbers w:val="0"/>
                    <w:spacing w:before="22" w:beforeAutospacing="0" w:after="0" w:afterAutospacing="0"/>
                    <w:ind w:left="108"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6086</w:t>
                  </w:r>
                </w:p>
              </w:tc>
              <w:tc>
                <w:tcPr>
                  <w:tcW w:w="539" w:type="pct"/>
                  <w:vAlign w:val="center"/>
                </w:tcPr>
                <w:p w14:paraId="6F3CE9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760</w:t>
                  </w:r>
                  <w:r>
                    <w:rPr>
                      <w:rFonts w:hint="eastAsia" w:cs="Times New Roman"/>
                      <w:i w:val="0"/>
                      <w:iCs w:val="0"/>
                      <w:color w:val="auto"/>
                      <w:kern w:val="0"/>
                      <w:sz w:val="21"/>
                      <w:szCs w:val="21"/>
                      <w:u w:val="none"/>
                      <w:lang w:val="en-US" w:eastAsia="zh-CN" w:bidi="ar"/>
                    </w:rPr>
                    <w:t>8</w:t>
                  </w: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055</w:t>
                  </w:r>
                </w:p>
              </w:tc>
              <w:tc>
                <w:tcPr>
                  <w:tcW w:w="2711" w:type="pct"/>
                  <w:vAlign w:val="center"/>
                </w:tcPr>
                <w:p w14:paraId="7BA53A4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应用很广的填料，无气味，PH 值 5.0-7.0,比重 2.6kg/L，不溶于水，熔点 1750℃，白度高，质软，易分散于水中，具有良好的可塑性和粘结性。</w:t>
                  </w:r>
                </w:p>
              </w:tc>
            </w:tr>
            <w:tr w14:paraId="15ADD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Merge w:val="continue"/>
                  <w:vAlign w:val="center"/>
                </w:tcPr>
                <w:p w14:paraId="488F090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13" w:type="pct"/>
                  <w:vAlign w:val="center"/>
                </w:tcPr>
                <w:p w14:paraId="32865B3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453" w:type="pct"/>
                  <w:vAlign w:val="center"/>
                </w:tcPr>
                <w:p w14:paraId="08F3D88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醋丙乳液</w:t>
                  </w:r>
                </w:p>
              </w:tc>
              <w:tc>
                <w:tcPr>
                  <w:tcW w:w="496" w:type="pct"/>
                  <w:vAlign w:val="center"/>
                </w:tcPr>
                <w:p w14:paraId="79A4FFC5">
                  <w:pPr>
                    <w:pStyle w:val="41"/>
                    <w:keepNext w:val="0"/>
                    <w:keepLines w:val="0"/>
                    <w:suppressLineNumbers w:val="0"/>
                    <w:spacing w:before="22" w:beforeAutospacing="0" w:after="0" w:afterAutospacing="0"/>
                    <w:ind w:left="108"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2349</w:t>
                  </w:r>
                </w:p>
              </w:tc>
              <w:tc>
                <w:tcPr>
                  <w:tcW w:w="539" w:type="pct"/>
                  <w:vAlign w:val="center"/>
                </w:tcPr>
                <w:p w14:paraId="138C04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2936.25</w:t>
                  </w:r>
                </w:p>
              </w:tc>
              <w:tc>
                <w:tcPr>
                  <w:tcW w:w="2711" w:type="pct"/>
                  <w:vAlign w:val="center"/>
                </w:tcPr>
                <w:p w14:paraId="6872D97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又称乙丙乳液，微酸气味，PH 值 4.5-5.0，与水混溶，沸点100℃，不易燃，是以醋酸乙烯和丙烯酸丁酯为主要功能单体共聚而成的水性高分子树脂，适用于建筑内墙涂料和丝光涂料的乳液</w:t>
                  </w:r>
                </w:p>
              </w:tc>
            </w:tr>
            <w:tr w14:paraId="55C21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7" w:hRule="atLeast"/>
              </w:trPr>
              <w:tc>
                <w:tcPr>
                  <w:tcW w:w="386" w:type="pct"/>
                  <w:vMerge w:val="continue"/>
                  <w:vAlign w:val="center"/>
                </w:tcPr>
                <w:p w14:paraId="4745072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13" w:type="pct"/>
                  <w:vAlign w:val="center"/>
                </w:tcPr>
                <w:p w14:paraId="6937CB9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453" w:type="pct"/>
                  <w:vAlign w:val="center"/>
                </w:tcPr>
                <w:p w14:paraId="56CC538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苯丙乳液</w:t>
                  </w:r>
                </w:p>
              </w:tc>
              <w:tc>
                <w:tcPr>
                  <w:tcW w:w="496" w:type="pct"/>
                  <w:vAlign w:val="center"/>
                </w:tcPr>
                <w:p w14:paraId="17F40AFE">
                  <w:pPr>
                    <w:pStyle w:val="41"/>
                    <w:keepNext w:val="0"/>
                    <w:keepLines w:val="0"/>
                    <w:suppressLineNumbers w:val="0"/>
                    <w:spacing w:before="21" w:beforeAutospacing="0" w:after="0" w:afterAutospacing="0"/>
                    <w:ind w:left="108"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9266</w:t>
                  </w:r>
                </w:p>
              </w:tc>
              <w:tc>
                <w:tcPr>
                  <w:tcW w:w="539" w:type="pct"/>
                  <w:vAlign w:val="center"/>
                </w:tcPr>
                <w:p w14:paraId="5CCC8D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3591.7266</w:t>
                  </w:r>
                </w:p>
              </w:tc>
              <w:tc>
                <w:tcPr>
                  <w:tcW w:w="2711" w:type="pct"/>
                  <w:vAlign w:val="center"/>
                </w:tcPr>
                <w:p w14:paraId="3EE260E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苯丙乳液是由苯乙烯和丙烯酸酯单体共聚而成，乳白色液体，带蓝光，PH 值 6.0-8.0,与水混溶，沸点 100℃，不易燃， 附着力好，胶膜透明、耐水、耐油、耐老化性能良好。</w:t>
                  </w:r>
                </w:p>
              </w:tc>
            </w:tr>
            <w:tr w14:paraId="3F1F9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Merge w:val="continue"/>
                  <w:vAlign w:val="center"/>
                </w:tcPr>
                <w:p w14:paraId="00FD292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13" w:type="pct"/>
                  <w:vAlign w:val="center"/>
                </w:tcPr>
                <w:p w14:paraId="0F70EE4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453" w:type="pct"/>
                  <w:vAlign w:val="center"/>
                </w:tcPr>
                <w:p w14:paraId="1FCC8C3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聚丙烯酸钠盐</w:t>
                  </w:r>
                </w:p>
              </w:tc>
              <w:tc>
                <w:tcPr>
                  <w:tcW w:w="496" w:type="pct"/>
                  <w:vAlign w:val="center"/>
                </w:tcPr>
                <w:p w14:paraId="68D4266D">
                  <w:pPr>
                    <w:pStyle w:val="41"/>
                    <w:keepNext w:val="0"/>
                    <w:keepLines w:val="0"/>
                    <w:suppressLineNumbers w:val="0"/>
                    <w:spacing w:before="21" w:beforeAutospacing="0" w:after="0" w:afterAutospacing="0"/>
                    <w:ind w:left="108"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240</w:t>
                  </w:r>
                </w:p>
              </w:tc>
              <w:tc>
                <w:tcPr>
                  <w:tcW w:w="539" w:type="pct"/>
                  <w:vAlign w:val="center"/>
                </w:tcPr>
                <w:p w14:paraId="3D2F138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250</w:t>
                  </w:r>
                </w:p>
              </w:tc>
              <w:tc>
                <w:tcPr>
                  <w:tcW w:w="2711" w:type="pct"/>
                  <w:vAlign w:val="center"/>
                </w:tcPr>
                <w:p w14:paraId="5993025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分散剂，可均一分散难溶于液体的固体物质，同时也能防止固体颗粒沉降和絮凝，形成稳定性溶液；淡黄色液体，不能混溶于水。</w:t>
                  </w:r>
                </w:p>
              </w:tc>
            </w:tr>
            <w:tr w14:paraId="4CBC3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Merge w:val="continue"/>
                  <w:vAlign w:val="center"/>
                </w:tcPr>
                <w:p w14:paraId="15A80F2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13" w:type="pct"/>
                  <w:vAlign w:val="center"/>
                </w:tcPr>
                <w:p w14:paraId="2739326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453" w:type="pct"/>
                  <w:vAlign w:val="center"/>
                </w:tcPr>
                <w:p w14:paraId="56FAB82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羟乙基纤维素</w:t>
                  </w:r>
                </w:p>
              </w:tc>
              <w:tc>
                <w:tcPr>
                  <w:tcW w:w="496" w:type="pct"/>
                  <w:vAlign w:val="center"/>
                </w:tcPr>
                <w:p w14:paraId="60FAF205">
                  <w:pPr>
                    <w:pStyle w:val="41"/>
                    <w:keepNext w:val="0"/>
                    <w:keepLines w:val="0"/>
                    <w:suppressLineNumbers w:val="0"/>
                    <w:spacing w:before="20" w:beforeAutospacing="0" w:after="0" w:afterAutospacing="0"/>
                    <w:ind w:left="108"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227</w:t>
                  </w:r>
                </w:p>
              </w:tc>
              <w:tc>
                <w:tcPr>
                  <w:tcW w:w="539" w:type="pct"/>
                  <w:vAlign w:val="center"/>
                </w:tcPr>
                <w:p w14:paraId="17F830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283.7</w:t>
                  </w:r>
                  <w:r>
                    <w:rPr>
                      <w:rFonts w:hint="eastAsia" w:cs="Times New Roman"/>
                      <w:i w:val="0"/>
                      <w:iCs w:val="0"/>
                      <w:color w:val="auto"/>
                      <w:kern w:val="0"/>
                      <w:sz w:val="21"/>
                      <w:szCs w:val="21"/>
                      <w:u w:val="none"/>
                      <w:lang w:val="en-US" w:eastAsia="zh-CN" w:bidi="ar"/>
                    </w:rPr>
                    <w:t>6</w:t>
                  </w:r>
                </w:p>
              </w:tc>
              <w:tc>
                <w:tcPr>
                  <w:tcW w:w="2711" w:type="pct"/>
                  <w:vAlign w:val="center"/>
                </w:tcPr>
                <w:p w14:paraId="77AB5CC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增稠剂，对涂料的增稠、稳定及流变性起着多方面协调作用， 在乳胶聚合过程中用作保护胶体，提高乳液的温定性，淡黄色颗粒状粉末，无味、在水中完全溶解，沸点大于 100℃，熔点 290℃。</w:t>
                  </w:r>
                </w:p>
              </w:tc>
            </w:tr>
            <w:tr w14:paraId="12D44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Merge w:val="continue"/>
                  <w:vAlign w:val="center"/>
                </w:tcPr>
                <w:p w14:paraId="5AA6E02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13" w:type="pct"/>
                  <w:vAlign w:val="center"/>
                </w:tcPr>
                <w:p w14:paraId="166CFDB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453" w:type="pct"/>
                  <w:vAlign w:val="center"/>
                </w:tcPr>
                <w:p w14:paraId="70D0410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矿物油</w:t>
                  </w:r>
                </w:p>
              </w:tc>
              <w:tc>
                <w:tcPr>
                  <w:tcW w:w="496" w:type="pct"/>
                  <w:vAlign w:val="center"/>
                </w:tcPr>
                <w:p w14:paraId="13A6388A">
                  <w:pPr>
                    <w:pStyle w:val="41"/>
                    <w:keepNext w:val="0"/>
                    <w:keepLines w:val="0"/>
                    <w:suppressLineNumbers w:val="0"/>
                    <w:spacing w:before="20" w:beforeAutospacing="0" w:after="0" w:afterAutospacing="0"/>
                    <w:ind w:left="108"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134</w:t>
                  </w:r>
                </w:p>
              </w:tc>
              <w:tc>
                <w:tcPr>
                  <w:tcW w:w="539" w:type="pct"/>
                  <w:vAlign w:val="center"/>
                </w:tcPr>
                <w:p w14:paraId="2259F35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165.5</w:t>
                  </w:r>
                </w:p>
              </w:tc>
              <w:tc>
                <w:tcPr>
                  <w:tcW w:w="2711" w:type="pct"/>
                  <w:vAlign w:val="center"/>
                </w:tcPr>
                <w:p w14:paraId="1CB7746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消泡剂，消除在生产过程中产生的泡沫，淡黄色液体，矿物油味，不能混溶于水。</w:t>
                  </w:r>
                </w:p>
              </w:tc>
            </w:tr>
            <w:tr w14:paraId="04F26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Merge w:val="continue"/>
                  <w:vAlign w:val="center"/>
                </w:tcPr>
                <w:p w14:paraId="04B7EA8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13" w:type="pct"/>
                  <w:vAlign w:val="center"/>
                </w:tcPr>
                <w:p w14:paraId="67DA8E3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453" w:type="pct"/>
                  <w:vAlign w:val="center"/>
                </w:tcPr>
                <w:p w14:paraId="09A38D6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十二碳酸酯</w:t>
                  </w:r>
                </w:p>
              </w:tc>
              <w:tc>
                <w:tcPr>
                  <w:tcW w:w="496" w:type="pct"/>
                  <w:vAlign w:val="center"/>
                </w:tcPr>
                <w:p w14:paraId="227212B0">
                  <w:pPr>
                    <w:pStyle w:val="41"/>
                    <w:keepNext w:val="0"/>
                    <w:keepLines w:val="0"/>
                    <w:suppressLineNumbers w:val="0"/>
                    <w:spacing w:before="20" w:beforeAutospacing="0" w:after="0" w:afterAutospacing="0"/>
                    <w:ind w:left="108"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623</w:t>
                  </w:r>
                </w:p>
              </w:tc>
              <w:tc>
                <w:tcPr>
                  <w:tcW w:w="539" w:type="pct"/>
                  <w:vAlign w:val="center"/>
                </w:tcPr>
                <w:p w14:paraId="405513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779.25</w:t>
                  </w:r>
                </w:p>
              </w:tc>
              <w:tc>
                <w:tcPr>
                  <w:tcW w:w="2711" w:type="pct"/>
                  <w:vAlign w:val="center"/>
                </w:tcPr>
                <w:p w14:paraId="40888CC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成膜助剂，有助于体系从液态向固态转变，使用成膜助剂可以得到较好的漆膜，无色透明液体，有酯类香味，不溶于水。</w:t>
                  </w:r>
                </w:p>
              </w:tc>
            </w:tr>
            <w:tr w14:paraId="7C22B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Merge w:val="continue"/>
                  <w:vAlign w:val="center"/>
                </w:tcPr>
                <w:p w14:paraId="37A68BD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13" w:type="pct"/>
                  <w:vAlign w:val="center"/>
                </w:tcPr>
                <w:p w14:paraId="786B97E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453" w:type="pct"/>
                  <w:vAlign w:val="center"/>
                </w:tcPr>
                <w:p w14:paraId="56E7A66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丙二醇</w:t>
                  </w:r>
                </w:p>
              </w:tc>
              <w:tc>
                <w:tcPr>
                  <w:tcW w:w="496" w:type="pct"/>
                  <w:vAlign w:val="center"/>
                </w:tcPr>
                <w:p w14:paraId="6391F40A">
                  <w:pPr>
                    <w:pStyle w:val="41"/>
                    <w:keepNext w:val="0"/>
                    <w:keepLines w:val="0"/>
                    <w:suppressLineNumbers w:val="0"/>
                    <w:spacing w:before="19" w:beforeAutospacing="0" w:after="0" w:afterAutospacing="0"/>
                    <w:ind w:left="108"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215</w:t>
                  </w:r>
                </w:p>
              </w:tc>
              <w:tc>
                <w:tcPr>
                  <w:tcW w:w="539" w:type="pct"/>
                  <w:vAlign w:val="center"/>
                </w:tcPr>
                <w:p w14:paraId="4B7535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269.15</w:t>
                  </w:r>
                </w:p>
              </w:tc>
              <w:tc>
                <w:tcPr>
                  <w:tcW w:w="2711" w:type="pct"/>
                  <w:vAlign w:val="center"/>
                </w:tcPr>
                <w:p w14:paraId="75DD353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防冻剂，无色粘稠稳定的吸水性液体，几乎无味无臭。 沸点：188.2℃  熔点：－59℃  溶解度：与水、乙醇及多种有机溶剂混溶。丙二醇的粘性和吸湿性好，并且无毒，因而在食品、医药和化妆品工业中广泛用作吸湿剂、抗冻剂、润滑剂和溶剂。</w:t>
                  </w:r>
                </w:p>
              </w:tc>
            </w:tr>
            <w:tr w14:paraId="7FDEE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Merge w:val="continue"/>
                  <w:vAlign w:val="center"/>
                </w:tcPr>
                <w:p w14:paraId="2095752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13" w:type="pct"/>
                  <w:vAlign w:val="center"/>
                </w:tcPr>
                <w:p w14:paraId="3387528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453" w:type="pct"/>
                  <w:vAlign w:val="center"/>
                </w:tcPr>
                <w:p w14:paraId="3E21813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氨水</w:t>
                  </w:r>
                </w:p>
              </w:tc>
              <w:tc>
                <w:tcPr>
                  <w:tcW w:w="496" w:type="pct"/>
                  <w:vAlign w:val="center"/>
                </w:tcPr>
                <w:p w14:paraId="17BEBAA2">
                  <w:pPr>
                    <w:pStyle w:val="41"/>
                    <w:keepNext w:val="0"/>
                    <w:keepLines w:val="0"/>
                    <w:suppressLineNumbers w:val="0"/>
                    <w:spacing w:before="19" w:beforeAutospacing="0" w:after="0" w:afterAutospacing="0"/>
                    <w:ind w:left="108"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14</w:t>
                  </w:r>
                </w:p>
              </w:tc>
              <w:tc>
                <w:tcPr>
                  <w:tcW w:w="539" w:type="pct"/>
                  <w:vAlign w:val="center"/>
                </w:tcPr>
                <w:p w14:paraId="7D4A349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17.5</w:t>
                  </w:r>
                </w:p>
              </w:tc>
              <w:tc>
                <w:tcPr>
                  <w:tcW w:w="2711" w:type="pct"/>
                  <w:vAlign w:val="center"/>
                </w:tcPr>
                <w:p w14:paraId="4A9DC65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作为涂料生产中水分散性涂料的阻聚剂，防止涂料在储存/ 运输/使用过程中过早成膜，也可以看成是一种乳化体系稳定剂。是氨气的水溶液，无色透明且具有刺激性气味。熔点-77℃，沸点 36℃，密度 0.91g/cm^3。易溶于水、乙醇。易挥发，具有部分碱的通性，有毒，对眼、鼻、皮肤有刺激性和腐蚀性，能使人窒息。</w:t>
                  </w:r>
                </w:p>
              </w:tc>
            </w:tr>
            <w:tr w14:paraId="1F83B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Merge w:val="continue"/>
                  <w:vAlign w:val="center"/>
                </w:tcPr>
                <w:p w14:paraId="13FF632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13" w:type="pct"/>
                  <w:vAlign w:val="center"/>
                </w:tcPr>
                <w:p w14:paraId="763235A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453" w:type="pct"/>
                  <w:vAlign w:val="center"/>
                </w:tcPr>
                <w:p w14:paraId="2E6D31C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色浆</w:t>
                  </w:r>
                </w:p>
              </w:tc>
              <w:tc>
                <w:tcPr>
                  <w:tcW w:w="496" w:type="pct"/>
                  <w:vAlign w:val="center"/>
                </w:tcPr>
                <w:p w14:paraId="03AA8501">
                  <w:pPr>
                    <w:pStyle w:val="41"/>
                    <w:keepNext w:val="0"/>
                    <w:keepLines w:val="0"/>
                    <w:suppressLineNumbers w:val="0"/>
                    <w:spacing w:before="20" w:beforeAutospacing="0" w:after="0" w:afterAutospacing="0"/>
                    <w:ind w:left="108"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51</w:t>
                  </w:r>
                </w:p>
              </w:tc>
              <w:tc>
                <w:tcPr>
                  <w:tcW w:w="539" w:type="pct"/>
                  <w:vAlign w:val="center"/>
                </w:tcPr>
                <w:p w14:paraId="2179659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76.25</w:t>
                  </w:r>
                </w:p>
              </w:tc>
              <w:tc>
                <w:tcPr>
                  <w:tcW w:w="2711" w:type="pct"/>
                  <w:vAlign w:val="center"/>
                </w:tcPr>
                <w:p w14:paraId="5726CC4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色浆是由颜料</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"http://baike.baidu.com/view/2955681.htm"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或颜料和填充料</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分散在</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"http://baike.baidu.com/view/2248294.htm"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漆料</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内而成的</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"http://baike.baidu.com/view/1079519.htm"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半制品</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。为砂壁产品调色使用，均为成都公司提供成品，属于水性色浆，主要成份为合成氧化铁、丙烯酸乳液、水和少量助剂。</w:t>
                  </w:r>
                </w:p>
              </w:tc>
            </w:tr>
            <w:tr w14:paraId="5EB37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Merge w:val="restart"/>
                  <w:vAlign w:val="center"/>
                </w:tcPr>
                <w:p w14:paraId="728C80E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腻子粉</w:t>
                  </w:r>
                </w:p>
              </w:tc>
              <w:tc>
                <w:tcPr>
                  <w:tcW w:w="413" w:type="pct"/>
                  <w:vAlign w:val="center"/>
                </w:tcPr>
                <w:p w14:paraId="2475365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53" w:type="pct"/>
                  <w:vAlign w:val="center"/>
                </w:tcPr>
                <w:p w14:paraId="3ED4D01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水泥</w:t>
                  </w:r>
                </w:p>
              </w:tc>
              <w:tc>
                <w:tcPr>
                  <w:tcW w:w="496" w:type="pct"/>
                  <w:vAlign w:val="center"/>
                </w:tcPr>
                <w:p w14:paraId="4B7210F7">
                  <w:pPr>
                    <w:pStyle w:val="41"/>
                    <w:keepNext w:val="0"/>
                    <w:keepLines w:val="0"/>
                    <w:suppressLineNumbers w:val="0"/>
                    <w:spacing w:before="20" w:beforeAutospacing="0" w:after="0" w:afterAutospacing="0"/>
                    <w:ind w:left="108"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5289</w:t>
                  </w:r>
                </w:p>
              </w:tc>
              <w:tc>
                <w:tcPr>
                  <w:tcW w:w="539" w:type="pct"/>
                  <w:vAlign w:val="center"/>
                </w:tcPr>
                <w:p w14:paraId="65A4A6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34627.457</w:t>
                  </w:r>
                </w:p>
              </w:tc>
              <w:tc>
                <w:tcPr>
                  <w:tcW w:w="2711" w:type="pct"/>
                  <w:vAlign w:val="center"/>
                </w:tcPr>
                <w:p w14:paraId="17229C2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粉状</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"http://baike.baidu.com/view/1166117.htm"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水硬性无机胶凝材料</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。加水搅拌后成浆体，能在空气中硬化或者在水中更好的硬化，并能把砂、石等材料牢固地胶结在一起。为一种重要的胶凝材料，广泛应用于土木建筑、</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"http://baike.baidu.com/view/9041.htm"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水利</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、国防等工程。</w:t>
                  </w:r>
                </w:p>
              </w:tc>
            </w:tr>
            <w:tr w14:paraId="415AE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Merge w:val="continue"/>
                  <w:tcBorders>
                    <w:top w:val="nil"/>
                  </w:tcBorders>
                  <w:vAlign w:val="center"/>
                </w:tcPr>
                <w:p w14:paraId="72B229C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13" w:type="pct"/>
                  <w:vAlign w:val="center"/>
                </w:tcPr>
                <w:p w14:paraId="4609F02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453" w:type="pct"/>
                  <w:vAlign w:val="center"/>
                </w:tcPr>
                <w:p w14:paraId="69B805C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白砂</w:t>
                  </w:r>
                </w:p>
              </w:tc>
              <w:tc>
                <w:tcPr>
                  <w:tcW w:w="496" w:type="pct"/>
                  <w:vAlign w:val="center"/>
                </w:tcPr>
                <w:p w14:paraId="1F117F5B">
                  <w:pPr>
                    <w:pStyle w:val="41"/>
                    <w:keepNext w:val="0"/>
                    <w:keepLines w:val="0"/>
                    <w:suppressLineNumbers w:val="0"/>
                    <w:spacing w:before="20" w:beforeAutospacing="0" w:after="0" w:afterAutospacing="0"/>
                    <w:ind w:left="108"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22055</w:t>
                  </w:r>
                </w:p>
              </w:tc>
              <w:tc>
                <w:tcPr>
                  <w:tcW w:w="539" w:type="pct"/>
                  <w:vAlign w:val="center"/>
                </w:tcPr>
                <w:p w14:paraId="3C4497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59800.3</w:t>
                  </w:r>
                </w:p>
              </w:tc>
              <w:tc>
                <w:tcPr>
                  <w:tcW w:w="2711" w:type="pct"/>
                  <w:vAlign w:val="center"/>
                </w:tcPr>
                <w:p w14:paraId="613E4AF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白色砂岩，用于装修、装饰、建材。</w:t>
                  </w:r>
                </w:p>
              </w:tc>
            </w:tr>
            <w:tr w14:paraId="74958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386" w:type="pct"/>
                  <w:vMerge w:val="continue"/>
                  <w:tcBorders>
                    <w:top w:val="nil"/>
                  </w:tcBorders>
                  <w:vAlign w:val="center"/>
                </w:tcPr>
                <w:p w14:paraId="09E01AF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13" w:type="pct"/>
                  <w:vAlign w:val="center"/>
                </w:tcPr>
                <w:p w14:paraId="3F85A26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453" w:type="pct"/>
                  <w:vAlign w:val="center"/>
                </w:tcPr>
                <w:p w14:paraId="5143B75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纤维素</w:t>
                  </w:r>
                </w:p>
              </w:tc>
              <w:tc>
                <w:tcPr>
                  <w:tcW w:w="496" w:type="pct"/>
                  <w:vAlign w:val="center"/>
                </w:tcPr>
                <w:p w14:paraId="78E4F7CF">
                  <w:pPr>
                    <w:pStyle w:val="41"/>
                    <w:keepNext w:val="0"/>
                    <w:keepLines w:val="0"/>
                    <w:suppressLineNumbers w:val="0"/>
                    <w:spacing w:before="19" w:beforeAutospacing="0" w:after="0" w:afterAutospacing="0"/>
                    <w:ind w:left="108"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358</w:t>
                  </w:r>
                </w:p>
              </w:tc>
              <w:tc>
                <w:tcPr>
                  <w:tcW w:w="539" w:type="pct"/>
                  <w:vAlign w:val="center"/>
                </w:tcPr>
                <w:p w14:paraId="4B7E41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2029.36</w:t>
                  </w:r>
                </w:p>
              </w:tc>
              <w:tc>
                <w:tcPr>
                  <w:tcW w:w="2711" w:type="pct"/>
                  <w:vAlign w:val="center"/>
                </w:tcPr>
                <w:p w14:paraId="4A6E7A3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白色粉末，是由类似于多</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"http://baike.baidu.com/view/16023.htm"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个葡萄糖</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分子组成的大分子多糖。不溶于水及一般</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"http://baike.baidu.com/view/435064.htm"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有机溶剂</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。天然纤维素为无臭、无味的白色丝状物。纤维素在水中有高度的不溶性，同时也不溶于稀酸、稀碱和有机溶剂，主要的</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"http://www.wiki8.com/shengwuxue_105516/"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生物学</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"http://www.wiki8.com/gongneng_119143/"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功能</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是构成植物的支持</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"http://www.wiki8.com/zuzhi_105050/"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组</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"http://www.wiki8.com/zuzhi_105050/"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织</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w:t>
                  </w:r>
                </w:p>
              </w:tc>
            </w:tr>
            <w:tr w14:paraId="6A90F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99" w:type="pct"/>
                  <w:gridSpan w:val="2"/>
                  <w:vAlign w:val="center"/>
                </w:tcPr>
                <w:p w14:paraId="7BFF4F4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污水处理系统</w:t>
                  </w:r>
                </w:p>
              </w:tc>
              <w:tc>
                <w:tcPr>
                  <w:tcW w:w="453" w:type="pct"/>
                  <w:vAlign w:val="center"/>
                </w:tcPr>
                <w:p w14:paraId="5DB2271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NaOH</w:t>
                  </w:r>
                </w:p>
              </w:tc>
              <w:tc>
                <w:tcPr>
                  <w:tcW w:w="496" w:type="pct"/>
                  <w:vAlign w:val="center"/>
                </w:tcPr>
                <w:p w14:paraId="11D91F21">
                  <w:pPr>
                    <w:pStyle w:val="41"/>
                    <w:keepNext w:val="0"/>
                    <w:keepLines w:val="0"/>
                    <w:suppressLineNumbers w:val="0"/>
                    <w:spacing w:before="19" w:beforeAutospacing="0" w:after="0" w:afterAutospacing="0"/>
                    <w:ind w:left="108"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0.48</w:t>
                  </w:r>
                </w:p>
              </w:tc>
              <w:tc>
                <w:tcPr>
                  <w:tcW w:w="539" w:type="pct"/>
                  <w:vAlign w:val="center"/>
                </w:tcPr>
                <w:p w14:paraId="60EBD74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96</w:t>
                  </w:r>
                </w:p>
              </w:tc>
              <w:tc>
                <w:tcPr>
                  <w:tcW w:w="2711" w:type="pct"/>
                  <w:vAlign w:val="center"/>
                </w:tcPr>
                <w:p w14:paraId="055F541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为白色半透明结晶状固体。其水溶液有涩味和滑腻感。有腐蚀性。极易溶于水，溶解时放出大量的热。易溶于乙醇、</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"http://baike.baidu.com/view/833.htm"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甘</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"http://baike.baidu.com/view/833.htm"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油</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 xml:space="preserve">。氢氧化钠被使用在水处理方面：消除水的硬度；调节水的 </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"http://baike.baidu.com/view/23974.htm"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pH 值</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；对废水进行中和；通过沉淀消除水中</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"http://baike.baidu.com/view/1208.htm" \h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重金属</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离子；离子交换树脂的再生。</w:t>
                  </w:r>
                </w:p>
              </w:tc>
            </w:tr>
          </w:tbl>
          <w:p w14:paraId="77D7A913">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10、劳动定员及工作制度</w:t>
            </w:r>
          </w:p>
          <w:p w14:paraId="15497E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原项目乳胶漆 2 条生产线全年工作 200 天，一班制，每班 8 小时；腻子粉 2 条生产线年工作天数为 250 天，每天一班，每班 8 小时；砂壁产品，每年生产 250 天，每天 2 班，每班为 8 小时。</w:t>
            </w:r>
          </w:p>
          <w:p w14:paraId="06E257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本次扩建后，乳胶漆</w:t>
            </w:r>
            <w:r>
              <w:rPr>
                <w:rFonts w:hint="default" w:ascii="Times New Roman" w:hAnsi="Times New Roman" w:eastAsia="宋体" w:cs="Times New Roman"/>
                <w:color w:val="auto"/>
                <w:sz w:val="24"/>
                <w:szCs w:val="24"/>
                <w:lang w:val="en-US" w:eastAsia="zh-CN"/>
              </w:rPr>
              <w:t>2条生产线全年工作</w:t>
            </w:r>
            <w:r>
              <w:rPr>
                <w:rFonts w:hint="eastAsia" w:cs="Times New Roman"/>
                <w:color w:val="auto"/>
                <w:sz w:val="24"/>
                <w:szCs w:val="24"/>
                <w:lang w:val="en-US" w:eastAsia="zh-CN"/>
              </w:rPr>
              <w:t>250</w:t>
            </w:r>
            <w:r>
              <w:rPr>
                <w:rFonts w:hint="default" w:ascii="Times New Roman" w:hAnsi="Times New Roman" w:eastAsia="宋体" w:cs="Times New Roman"/>
                <w:color w:val="auto"/>
                <w:sz w:val="24"/>
                <w:szCs w:val="24"/>
                <w:lang w:val="en-US" w:eastAsia="zh-CN"/>
              </w:rPr>
              <w:t>天，一班制，每班8小时；砂壁生产每年</w:t>
            </w:r>
            <w:r>
              <w:rPr>
                <w:rFonts w:hint="eastAsia" w:cs="Times New Roman"/>
                <w:color w:val="auto"/>
                <w:sz w:val="24"/>
                <w:szCs w:val="24"/>
                <w:lang w:val="en-US" w:eastAsia="zh-CN"/>
              </w:rPr>
              <w:t>工作275天，</w:t>
            </w:r>
            <w:r>
              <w:rPr>
                <w:rFonts w:hint="default" w:ascii="Times New Roman" w:hAnsi="Times New Roman" w:eastAsia="宋体" w:cs="Times New Roman"/>
                <w:color w:val="auto"/>
                <w:sz w:val="24"/>
                <w:szCs w:val="24"/>
                <w:lang w:val="en-US" w:eastAsia="zh-CN"/>
              </w:rPr>
              <w:t>每天</w:t>
            </w:r>
            <w:r>
              <w:rPr>
                <w:rFonts w:hint="eastAsia" w:cs="Times New Roman"/>
                <w:color w:val="auto"/>
                <w:sz w:val="24"/>
                <w:szCs w:val="24"/>
                <w:lang w:val="en-US" w:eastAsia="zh-CN"/>
              </w:rPr>
              <w:t>两</w:t>
            </w:r>
            <w:r>
              <w:rPr>
                <w:rFonts w:hint="default" w:ascii="Times New Roman" w:hAnsi="Times New Roman" w:eastAsia="宋体" w:cs="Times New Roman"/>
                <w:color w:val="auto"/>
                <w:sz w:val="24"/>
                <w:szCs w:val="24"/>
                <w:lang w:val="en-US" w:eastAsia="zh-CN"/>
              </w:rPr>
              <w:t>班、每班为8小时；腻子粉2条生产线年工作天数为300天，每天</w:t>
            </w:r>
            <w:r>
              <w:rPr>
                <w:rFonts w:hint="eastAsia" w:cs="Times New Roman"/>
                <w:color w:val="auto"/>
                <w:sz w:val="24"/>
                <w:szCs w:val="24"/>
                <w:lang w:val="en-US" w:eastAsia="zh-CN"/>
              </w:rPr>
              <w:t>两</w:t>
            </w:r>
            <w:r>
              <w:rPr>
                <w:rFonts w:hint="default" w:ascii="Times New Roman" w:hAnsi="Times New Roman" w:eastAsia="宋体" w:cs="Times New Roman"/>
                <w:color w:val="auto"/>
                <w:sz w:val="24"/>
                <w:szCs w:val="24"/>
                <w:lang w:val="en-US" w:eastAsia="zh-CN"/>
              </w:rPr>
              <w:t>班，每班8小时。</w:t>
            </w:r>
          </w:p>
          <w:p w14:paraId="299194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en-US" w:eastAsia="zh-CN"/>
              </w:rPr>
              <w:t>全厂现有职工130人，其中管理25人，工人105人；</w:t>
            </w:r>
            <w:r>
              <w:rPr>
                <w:rFonts w:hint="eastAsia" w:cs="Times New Roman"/>
                <w:color w:val="auto"/>
                <w:sz w:val="24"/>
                <w:szCs w:val="24"/>
                <w:lang w:val="en-US" w:eastAsia="zh-CN"/>
              </w:rPr>
              <w:t>扩建</w:t>
            </w:r>
            <w:r>
              <w:rPr>
                <w:rFonts w:hint="default" w:ascii="Times New Roman" w:hAnsi="Times New Roman" w:eastAsia="宋体" w:cs="Times New Roman"/>
                <w:color w:val="auto"/>
                <w:sz w:val="24"/>
                <w:szCs w:val="24"/>
                <w:lang w:val="en-US" w:eastAsia="zh-CN"/>
              </w:rPr>
              <w:t>后新增工人20人</w:t>
            </w:r>
            <w:r>
              <w:rPr>
                <w:rFonts w:hint="eastAsia" w:ascii="Times New Roman" w:hAnsi="Times New Roman" w:eastAsia="宋体" w:cs="Times New Roman"/>
                <w:color w:val="auto"/>
                <w:sz w:val="24"/>
                <w:szCs w:val="24"/>
                <w:lang w:val="en-US" w:eastAsia="zh-CN"/>
              </w:rPr>
              <w:t>，总计150人</w:t>
            </w:r>
            <w:r>
              <w:rPr>
                <w:rFonts w:hint="eastAsia" w:cs="Times New Roman"/>
                <w:color w:val="auto"/>
                <w:sz w:val="24"/>
                <w:szCs w:val="24"/>
                <w:lang w:val="en-US" w:eastAsia="zh-CN"/>
              </w:rPr>
              <w:t>。</w:t>
            </w:r>
          </w:p>
          <w:p w14:paraId="160BAC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Style w:val="65"/>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pacing w:val="0"/>
                <w:w w:val="100"/>
                <w:position w:val="0"/>
                <w:sz w:val="24"/>
                <w:szCs w:val="24"/>
                <w:highlight w:val="none"/>
                <w:lang w:val="en-US" w:eastAsia="zh-CN"/>
              </w:rPr>
              <w:t>11、施工进度</w:t>
            </w:r>
            <w:r>
              <w:rPr>
                <w:rStyle w:val="65"/>
                <w:rFonts w:hint="default" w:ascii="Times New Roman" w:hAnsi="Times New Roman" w:eastAsia="宋体" w:cs="Times New Roman"/>
                <w:b/>
                <w:bCs/>
                <w:color w:val="auto"/>
                <w:sz w:val="24"/>
                <w:szCs w:val="24"/>
                <w:highlight w:val="none"/>
              </w:rPr>
              <w:t>计划</w:t>
            </w:r>
          </w:p>
          <w:p w14:paraId="0A5381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本项目为扩建项目，</w:t>
            </w:r>
            <w:r>
              <w:rPr>
                <w:rFonts w:hint="eastAsia" w:ascii="Times New Roman" w:hAnsi="Times New Roman" w:eastAsia="宋体" w:cs="Times New Roman"/>
                <w:color w:val="auto"/>
                <w:sz w:val="24"/>
                <w:szCs w:val="24"/>
                <w:lang w:val="en-US" w:eastAsia="zh-CN"/>
              </w:rPr>
              <w:t>在原有生产线上进行扩建，</w:t>
            </w:r>
            <w:r>
              <w:rPr>
                <w:rFonts w:hint="default" w:ascii="Times New Roman" w:hAnsi="Times New Roman" w:eastAsia="宋体" w:cs="Times New Roman"/>
                <w:color w:val="auto"/>
                <w:sz w:val="24"/>
                <w:szCs w:val="24"/>
                <w:lang w:val="en-US" w:eastAsia="zh-CN"/>
              </w:rPr>
              <w:t>主体建筑均已建成，施工期主要进行生产线技术改进，设备更新、设备增加</w:t>
            </w:r>
            <w:r>
              <w:rPr>
                <w:rFonts w:hint="eastAsia" w:ascii="Times New Roman" w:hAnsi="Times New Roman" w:eastAsia="宋体" w:cs="Times New Roman"/>
                <w:color w:val="auto"/>
                <w:sz w:val="24"/>
                <w:szCs w:val="24"/>
                <w:lang w:val="en-US" w:eastAsia="zh-CN"/>
              </w:rPr>
              <w:t>、环保设施完善</w:t>
            </w:r>
            <w:r>
              <w:rPr>
                <w:rFonts w:hint="default" w:ascii="Times New Roman" w:hAnsi="Times New Roman" w:eastAsia="宋体" w:cs="Times New Roman"/>
                <w:color w:val="auto"/>
                <w:sz w:val="24"/>
                <w:szCs w:val="24"/>
                <w:lang w:val="en-US" w:eastAsia="zh-CN"/>
              </w:rPr>
              <w:t>等，施工期为</w:t>
            </w:r>
            <w:r>
              <w:rPr>
                <w:rFonts w:hint="eastAsia" w:cs="Times New Roman"/>
                <w:color w:val="auto"/>
                <w:sz w:val="24"/>
                <w:szCs w:val="24"/>
                <w:lang w:val="en-US" w:eastAsia="zh-CN"/>
              </w:rPr>
              <w:t>2个</w:t>
            </w:r>
            <w:r>
              <w:rPr>
                <w:rFonts w:hint="default" w:ascii="Times New Roman" w:hAnsi="Times New Roman" w:eastAsia="宋体" w:cs="Times New Roman"/>
                <w:color w:val="auto"/>
                <w:sz w:val="24"/>
                <w:szCs w:val="24"/>
                <w:lang w:val="en-US" w:eastAsia="zh-CN"/>
              </w:rPr>
              <w:t>月，2023年</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初</w:t>
            </w:r>
            <w:r>
              <w:rPr>
                <w:rFonts w:hint="default" w:ascii="Times New Roman" w:hAnsi="Times New Roman" w:eastAsia="宋体" w:cs="Times New Roman"/>
                <w:color w:val="auto"/>
                <w:sz w:val="24"/>
                <w:szCs w:val="24"/>
                <w:lang w:val="en-US" w:eastAsia="zh-CN"/>
              </w:rPr>
              <w:t>开工，</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底</w:t>
            </w:r>
            <w:r>
              <w:rPr>
                <w:rFonts w:hint="default" w:ascii="Times New Roman" w:hAnsi="Times New Roman" w:eastAsia="宋体" w:cs="Times New Roman"/>
                <w:color w:val="auto"/>
                <w:sz w:val="24"/>
                <w:szCs w:val="24"/>
                <w:lang w:val="en-US" w:eastAsia="zh-CN"/>
              </w:rPr>
              <w:t>竣工。</w:t>
            </w:r>
          </w:p>
          <w:p w14:paraId="5A947FE9">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spacing w:val="0"/>
                <w:w w:val="100"/>
                <w:position w:val="0"/>
                <w:sz w:val="24"/>
                <w:szCs w:val="24"/>
                <w:highlight w:val="none"/>
                <w:lang w:val="en-US" w:eastAsia="zh-CN"/>
              </w:rPr>
            </w:pPr>
            <w:r>
              <w:rPr>
                <w:rFonts w:hint="default" w:ascii="Times New Roman" w:hAnsi="Times New Roman" w:eastAsia="宋体" w:cs="Times New Roman"/>
                <w:b/>
                <w:bCs/>
                <w:color w:val="auto"/>
                <w:spacing w:val="0"/>
                <w:w w:val="100"/>
                <w:position w:val="0"/>
                <w:sz w:val="24"/>
                <w:szCs w:val="24"/>
                <w:highlight w:val="none"/>
                <w:lang w:val="en-US" w:eastAsia="zh-CN"/>
              </w:rPr>
              <w:t>12、项目平面布置</w:t>
            </w:r>
          </w:p>
          <w:p w14:paraId="72749F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0"/>
                <w:sz w:val="24"/>
                <w:szCs w:val="24"/>
                <w:lang w:val="en-US" w:eastAsia="zh-CN" w:bidi="ar"/>
              </w:rPr>
              <w:t>本</w:t>
            </w:r>
            <w:r>
              <w:rPr>
                <w:rFonts w:hint="default" w:ascii="Times New Roman" w:hAnsi="Times New Roman" w:eastAsia="宋体" w:cs="Times New Roman"/>
                <w:color w:val="auto"/>
                <w:sz w:val="24"/>
                <w:szCs w:val="24"/>
                <w:lang w:val="en-US" w:eastAsia="zh-CN"/>
              </w:rPr>
              <w:t>项目为扩建项目，厂区布局已形成。厂区分为两个片区，办公区（含食堂）设置在东南角；厂北面为生产区，设置有</w:t>
            </w:r>
            <w:r>
              <w:rPr>
                <w:rFonts w:hint="eastAsia" w:cs="Times New Roman"/>
                <w:color w:val="auto"/>
                <w:sz w:val="24"/>
                <w:szCs w:val="24"/>
                <w:lang w:val="en-US" w:eastAsia="zh-CN"/>
              </w:rPr>
              <w:t>水性涂料</w:t>
            </w:r>
            <w:r>
              <w:rPr>
                <w:rFonts w:hint="default" w:ascii="Times New Roman" w:hAnsi="Times New Roman" w:eastAsia="宋体" w:cs="Times New Roman"/>
                <w:color w:val="auto"/>
                <w:sz w:val="24"/>
                <w:szCs w:val="24"/>
                <w:lang w:val="en-US" w:eastAsia="zh-CN"/>
              </w:rPr>
              <w:t>生产车间、</w:t>
            </w:r>
            <w:r>
              <w:rPr>
                <w:rFonts w:hint="eastAsia" w:cs="Times New Roman"/>
                <w:color w:val="auto"/>
                <w:sz w:val="24"/>
                <w:szCs w:val="24"/>
                <w:lang w:val="en-US" w:eastAsia="zh-CN"/>
              </w:rPr>
              <w:t>水性涂料</w:t>
            </w:r>
            <w:r>
              <w:rPr>
                <w:rFonts w:hint="default" w:ascii="Times New Roman" w:hAnsi="Times New Roman" w:eastAsia="宋体" w:cs="Times New Roman"/>
                <w:color w:val="auto"/>
                <w:sz w:val="24"/>
                <w:szCs w:val="24"/>
                <w:lang w:val="en-US" w:eastAsia="zh-CN"/>
              </w:rPr>
              <w:t>成品库、腻子粉生产车间和原料仓库；1栋甲类库、</w:t>
            </w:r>
            <w:r>
              <w:rPr>
                <w:rFonts w:hint="eastAsia" w:cs="Times New Roman"/>
                <w:color w:val="auto"/>
                <w:sz w:val="24"/>
                <w:szCs w:val="24"/>
                <w:lang w:val="en-US" w:eastAsia="zh-CN"/>
              </w:rPr>
              <w:t>1个</w:t>
            </w:r>
            <w:r>
              <w:rPr>
                <w:rFonts w:hint="default" w:ascii="Times New Roman" w:hAnsi="Times New Roman" w:eastAsia="宋体" w:cs="Times New Roman"/>
                <w:color w:val="auto"/>
                <w:sz w:val="24"/>
                <w:szCs w:val="24"/>
                <w:lang w:val="en-US" w:eastAsia="zh-CN"/>
              </w:rPr>
              <w:t>危废间均为沿西边厂界进行布置；东北角设置事故水池和一般固废间。生产线布置于</w:t>
            </w:r>
            <w:r>
              <w:rPr>
                <w:rFonts w:hint="eastAsia" w:cs="Times New Roman"/>
                <w:color w:val="auto"/>
                <w:sz w:val="24"/>
                <w:szCs w:val="24"/>
                <w:lang w:val="en-US" w:eastAsia="zh-CN"/>
              </w:rPr>
              <w:t>两个</w:t>
            </w:r>
            <w:r>
              <w:rPr>
                <w:rFonts w:hint="default" w:ascii="Times New Roman" w:hAnsi="Times New Roman" w:eastAsia="宋体" w:cs="Times New Roman"/>
                <w:color w:val="auto"/>
                <w:sz w:val="24"/>
                <w:szCs w:val="24"/>
                <w:lang w:val="en-US" w:eastAsia="zh-CN"/>
              </w:rPr>
              <w:t>生产车间内，另设置</w:t>
            </w:r>
            <w:r>
              <w:rPr>
                <w:rFonts w:hint="eastAsia" w:cs="Times New Roman"/>
                <w:color w:val="auto"/>
                <w:sz w:val="24"/>
                <w:szCs w:val="24"/>
                <w:lang w:val="en-US" w:eastAsia="zh-CN"/>
              </w:rPr>
              <w:t>1个</w:t>
            </w:r>
            <w:r>
              <w:rPr>
                <w:rFonts w:hint="default" w:ascii="Times New Roman" w:hAnsi="Times New Roman" w:eastAsia="宋体" w:cs="Times New Roman"/>
                <w:color w:val="auto"/>
                <w:sz w:val="24"/>
                <w:szCs w:val="24"/>
                <w:lang w:val="en-US" w:eastAsia="zh-CN"/>
              </w:rPr>
              <w:t>原料库。</w:t>
            </w:r>
            <w:r>
              <w:rPr>
                <w:rFonts w:hint="eastAsia" w:cs="Times New Roman"/>
                <w:color w:val="auto"/>
                <w:sz w:val="24"/>
                <w:szCs w:val="24"/>
                <w:lang w:val="en-US" w:eastAsia="zh-CN"/>
              </w:rPr>
              <w:t>水性涂料生产</w:t>
            </w:r>
            <w:r>
              <w:rPr>
                <w:rFonts w:hint="default" w:ascii="Times New Roman" w:hAnsi="Times New Roman" w:eastAsia="宋体" w:cs="Times New Roman"/>
                <w:color w:val="auto"/>
                <w:sz w:val="24"/>
                <w:szCs w:val="24"/>
                <w:lang w:val="en-US" w:eastAsia="zh-CN"/>
              </w:rPr>
              <w:t>车间设置2条乳胶漆生产线</w:t>
            </w:r>
            <w:r>
              <w:rPr>
                <w:rFonts w:hint="eastAsia" w:cs="Times New Roman"/>
                <w:color w:val="auto"/>
                <w:sz w:val="24"/>
                <w:szCs w:val="24"/>
                <w:lang w:val="en-US" w:eastAsia="zh-CN"/>
              </w:rPr>
              <w:t>、1条砂壁产品生产线</w:t>
            </w:r>
            <w:r>
              <w:rPr>
                <w:rFonts w:hint="default" w:ascii="Times New Roman" w:hAnsi="Times New Roman" w:eastAsia="宋体" w:cs="Times New Roman"/>
                <w:color w:val="auto"/>
                <w:sz w:val="24"/>
                <w:szCs w:val="24"/>
                <w:lang w:val="en-US" w:eastAsia="zh-CN"/>
              </w:rPr>
              <w:t>，腻子粉车间设置2条腻子粉生产线</w:t>
            </w:r>
            <w:r>
              <w:rPr>
                <w:rFonts w:hint="eastAsia" w:cs="Times New Roman"/>
                <w:color w:val="auto"/>
                <w:sz w:val="24"/>
                <w:szCs w:val="24"/>
                <w:lang w:val="en-US" w:eastAsia="zh-CN"/>
              </w:rPr>
              <w:t>。水性涂料生产车间产生的油料粉尘、有机废气采用1套“集气罩收集+布袋除尘系统+uv光氧+活性炭吸附装置”处理有有组织排放；厂区粉料罐顶部设置脉冲布袋除尘；腻子粉生产车间投料、配料、混料口设置集气罩收集，集中式滤筒除尘系统除尘后排气筒排放，包装口设置集气罩收集旋风除尘器除尘系统；</w:t>
            </w:r>
            <w:r>
              <w:rPr>
                <w:rFonts w:hint="default" w:ascii="Times New Roman" w:hAnsi="Times New Roman" w:eastAsia="宋体" w:cs="Times New Roman"/>
                <w:color w:val="auto"/>
                <w:sz w:val="24"/>
                <w:szCs w:val="24"/>
                <w:lang w:val="en-US" w:eastAsia="zh-CN"/>
              </w:rPr>
              <w:t>在用地的西南角靠近山体的位置设置有</w:t>
            </w:r>
            <w:r>
              <w:rPr>
                <w:rFonts w:hint="eastAsia" w:cs="Times New Roman"/>
                <w:color w:val="auto"/>
                <w:sz w:val="24"/>
                <w:szCs w:val="24"/>
                <w:lang w:val="en-US" w:eastAsia="zh-CN"/>
              </w:rPr>
              <w:t>1套</w:t>
            </w:r>
            <w:r>
              <w:rPr>
                <w:rFonts w:hint="default" w:ascii="Times New Roman" w:hAnsi="Times New Roman" w:eastAsia="宋体" w:cs="Times New Roman"/>
                <w:color w:val="auto"/>
                <w:sz w:val="24"/>
                <w:szCs w:val="24"/>
                <w:lang w:val="en-US" w:eastAsia="zh-CN"/>
              </w:rPr>
              <w:t>污水处理系统</w:t>
            </w:r>
            <w:r>
              <w:rPr>
                <w:rFonts w:hint="eastAsia" w:cs="Times New Roman"/>
                <w:color w:val="auto"/>
                <w:sz w:val="24"/>
                <w:szCs w:val="24"/>
                <w:lang w:val="en-US" w:eastAsia="zh-CN"/>
              </w:rPr>
              <w:t>；将甲类仓库西侧隔出1间面积为15m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的危废暂存间。</w:t>
            </w:r>
            <w:r>
              <w:rPr>
                <w:rFonts w:hint="default" w:ascii="Times New Roman" w:hAnsi="Times New Roman" w:eastAsia="宋体" w:cs="Times New Roman"/>
                <w:color w:val="auto"/>
                <w:sz w:val="24"/>
                <w:szCs w:val="24"/>
                <w:lang w:val="en-US" w:eastAsia="zh-CN"/>
              </w:rPr>
              <w:t>项目平面布置详见附图。</w:t>
            </w:r>
          </w:p>
          <w:p w14:paraId="49D4DC83">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spacing w:val="0"/>
                <w:w w:val="100"/>
                <w:position w:val="0"/>
                <w:sz w:val="24"/>
                <w:szCs w:val="24"/>
                <w:highlight w:val="none"/>
                <w:lang w:val="en-US" w:eastAsia="zh-CN"/>
              </w:rPr>
            </w:pPr>
            <w:r>
              <w:rPr>
                <w:rFonts w:hint="default" w:ascii="Times New Roman" w:hAnsi="Times New Roman" w:eastAsia="宋体" w:cs="Times New Roman"/>
                <w:b/>
                <w:bCs/>
                <w:color w:val="auto"/>
                <w:spacing w:val="0"/>
                <w:w w:val="100"/>
                <w:position w:val="0"/>
                <w:sz w:val="24"/>
                <w:szCs w:val="24"/>
                <w:highlight w:val="none"/>
                <w:lang w:val="en-US" w:eastAsia="zh-CN"/>
              </w:rPr>
              <w:t>13、环保投资</w:t>
            </w:r>
          </w:p>
          <w:p w14:paraId="6C4394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扩建项目总投资170万元，环保设施投资共</w:t>
            </w:r>
            <w:r>
              <w:rPr>
                <w:rFonts w:hint="eastAsia" w:cs="Times New Roman"/>
                <w:color w:val="auto"/>
                <w:sz w:val="24"/>
                <w:szCs w:val="24"/>
                <w:lang w:val="en-US" w:eastAsia="zh-CN"/>
              </w:rPr>
              <w:t>32</w:t>
            </w:r>
            <w:r>
              <w:rPr>
                <w:rFonts w:hint="default" w:ascii="Times New Roman" w:hAnsi="Times New Roman" w:eastAsia="宋体" w:cs="Times New Roman"/>
                <w:color w:val="auto"/>
                <w:sz w:val="24"/>
                <w:szCs w:val="24"/>
                <w:lang w:val="en-US" w:eastAsia="zh-CN"/>
              </w:rPr>
              <w:t>万元，占总投资的</w:t>
            </w:r>
            <w:r>
              <w:rPr>
                <w:rFonts w:hint="eastAsia" w:cs="Times New Roman"/>
                <w:color w:val="auto"/>
                <w:sz w:val="24"/>
                <w:szCs w:val="24"/>
                <w:lang w:val="en-US" w:eastAsia="zh-CN"/>
              </w:rPr>
              <w:t>18.8</w:t>
            </w:r>
            <w:r>
              <w:rPr>
                <w:rFonts w:hint="default" w:ascii="Times New Roman" w:hAnsi="Times New Roman" w:eastAsia="宋体" w:cs="Times New Roman"/>
                <w:color w:val="auto"/>
                <w:sz w:val="24"/>
                <w:szCs w:val="24"/>
                <w:lang w:val="en-US" w:eastAsia="zh-CN"/>
              </w:rPr>
              <w:t>%，项目环保投资情况见表</w:t>
            </w:r>
            <w:r>
              <w:rPr>
                <w:rFonts w:hint="eastAsia" w:cs="Times New Roman"/>
                <w:color w:val="auto"/>
                <w:sz w:val="24"/>
                <w:szCs w:val="24"/>
                <w:lang w:val="en-US" w:eastAsia="zh-CN"/>
              </w:rPr>
              <w:t>2-11</w:t>
            </w:r>
            <w:r>
              <w:rPr>
                <w:rFonts w:hint="default" w:ascii="Times New Roman" w:hAnsi="Times New Roman" w:eastAsia="宋体" w:cs="Times New Roman"/>
                <w:color w:val="auto"/>
                <w:sz w:val="24"/>
                <w:szCs w:val="24"/>
                <w:lang w:val="en-US" w:eastAsia="zh-CN"/>
              </w:rPr>
              <w:t>。</w:t>
            </w:r>
          </w:p>
          <w:p w14:paraId="0535AF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cs="Times New Roman"/>
                <w:b/>
                <w:bCs/>
                <w:color w:val="auto"/>
                <w:sz w:val="21"/>
                <w:szCs w:val="21"/>
                <w:lang w:val="en-US" w:eastAsia="zh-CN"/>
              </w:rPr>
              <w:t>2-11</w:t>
            </w:r>
            <w:r>
              <w:rPr>
                <w:rFonts w:hint="default" w:ascii="Times New Roman" w:hAnsi="Times New Roman" w:eastAsia="宋体" w:cs="Times New Roman"/>
                <w:b/>
                <w:bCs/>
                <w:color w:val="auto"/>
                <w:sz w:val="21"/>
                <w:szCs w:val="21"/>
                <w:lang w:val="en-US" w:eastAsia="zh-CN"/>
              </w:rPr>
              <w:t xml:space="preserve">  项目环保投资一览表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508"/>
              <w:gridCol w:w="1680"/>
              <w:gridCol w:w="3738"/>
              <w:gridCol w:w="853"/>
              <w:gridCol w:w="1166"/>
            </w:tblGrid>
            <w:tr w14:paraId="01A3B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6533D55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序号</w:t>
                  </w:r>
                </w:p>
              </w:tc>
              <w:tc>
                <w:tcPr>
                  <w:tcW w:w="1306" w:type="pct"/>
                  <w:gridSpan w:val="2"/>
                  <w:tcBorders>
                    <w:top w:val="single" w:color="auto" w:sz="4" w:space="0"/>
                    <w:left w:val="single" w:color="auto" w:sz="4" w:space="0"/>
                    <w:bottom w:val="single" w:color="auto" w:sz="4" w:space="0"/>
                    <w:right w:val="single" w:color="auto" w:sz="4" w:space="0"/>
                  </w:tcBorders>
                  <w:vAlign w:val="center"/>
                </w:tcPr>
                <w:p w14:paraId="7F82DC5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环境要素</w:t>
                  </w:r>
                </w:p>
              </w:tc>
              <w:tc>
                <w:tcPr>
                  <w:tcW w:w="2230" w:type="pct"/>
                  <w:tcBorders>
                    <w:top w:val="single" w:color="auto" w:sz="4" w:space="0"/>
                    <w:left w:val="single" w:color="auto" w:sz="4" w:space="0"/>
                    <w:bottom w:val="single" w:color="auto" w:sz="4" w:space="0"/>
                    <w:right w:val="single" w:color="auto" w:sz="4" w:space="0"/>
                  </w:tcBorders>
                  <w:vAlign w:val="center"/>
                </w:tcPr>
                <w:p w14:paraId="349EF8D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环保措施</w:t>
                  </w:r>
                </w:p>
              </w:tc>
              <w:tc>
                <w:tcPr>
                  <w:tcW w:w="509" w:type="pct"/>
                  <w:tcBorders>
                    <w:top w:val="single" w:color="auto" w:sz="4" w:space="0"/>
                    <w:left w:val="single" w:color="auto" w:sz="4" w:space="0"/>
                    <w:bottom w:val="single" w:color="auto" w:sz="4" w:space="0"/>
                    <w:right w:val="single" w:color="auto" w:sz="4" w:space="0"/>
                  </w:tcBorders>
                  <w:vAlign w:val="center"/>
                </w:tcPr>
                <w:p w14:paraId="2714DF5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估算金额</w:t>
                  </w:r>
                </w:p>
              </w:tc>
              <w:tc>
                <w:tcPr>
                  <w:tcW w:w="696" w:type="pct"/>
                  <w:tcBorders>
                    <w:top w:val="single" w:color="auto" w:sz="4" w:space="0"/>
                    <w:left w:val="single" w:color="auto" w:sz="4" w:space="0"/>
                    <w:bottom w:val="single" w:color="auto" w:sz="4" w:space="0"/>
                    <w:right w:val="single" w:color="auto" w:sz="4" w:space="0"/>
                  </w:tcBorders>
                  <w:vAlign w:val="center"/>
                </w:tcPr>
                <w:p w14:paraId="52C5F60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备注</w:t>
                  </w:r>
                </w:p>
              </w:tc>
            </w:tr>
            <w:tr w14:paraId="5C7CE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57" w:type="pct"/>
                  <w:vMerge w:val="restart"/>
                  <w:tcBorders>
                    <w:left w:val="single" w:color="auto" w:sz="4" w:space="0"/>
                    <w:right w:val="single" w:color="auto" w:sz="4" w:space="0"/>
                  </w:tcBorders>
                  <w:vAlign w:val="center"/>
                </w:tcPr>
                <w:p w14:paraId="17F3875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303" w:type="pct"/>
                  <w:vMerge w:val="restart"/>
                  <w:tcBorders>
                    <w:left w:val="single" w:color="auto" w:sz="4" w:space="0"/>
                    <w:right w:val="single" w:color="auto" w:sz="4" w:space="0"/>
                  </w:tcBorders>
                  <w:vAlign w:val="center"/>
                </w:tcPr>
                <w:p w14:paraId="1CD8C79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废气处置措施</w:t>
                  </w:r>
                </w:p>
              </w:tc>
              <w:tc>
                <w:tcPr>
                  <w:tcW w:w="1003" w:type="pct"/>
                  <w:tcBorders>
                    <w:left w:val="single" w:color="auto" w:sz="4" w:space="0"/>
                    <w:right w:val="single" w:color="auto" w:sz="4" w:space="0"/>
                  </w:tcBorders>
                  <w:vAlign w:val="center"/>
                </w:tcPr>
                <w:p w14:paraId="76FF36DF">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leftChars="0" w:right="93" w:rightChars="0"/>
                    <w:jc w:val="center"/>
                    <w:textAlignment w:val="auto"/>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 w:val="21"/>
                      <w:lang w:val="en-US" w:eastAsia="zh-CN"/>
                    </w:rPr>
                    <w:t>1套“</w:t>
                  </w:r>
                  <w:r>
                    <w:rPr>
                      <w:rFonts w:hint="eastAsia" w:cs="Times New Roman"/>
                      <w:color w:val="auto"/>
                      <w:sz w:val="21"/>
                      <w:lang w:val="en-US" w:eastAsia="zh-CN"/>
                    </w:rPr>
                    <w:t>5个</w:t>
                  </w:r>
                  <w:r>
                    <w:rPr>
                      <w:rFonts w:hint="default" w:ascii="Times New Roman" w:hAnsi="Times New Roman" w:eastAsia="宋体" w:cs="Times New Roman"/>
                      <w:color w:val="auto"/>
                      <w:sz w:val="21"/>
                      <w:lang w:val="en-US" w:eastAsia="zh-CN"/>
                    </w:rPr>
                    <w:t>集气罩+布袋除尘</w:t>
                  </w:r>
                  <w:r>
                    <w:rPr>
                      <w:rFonts w:hint="eastAsia" w:cs="Times New Roman"/>
                      <w:color w:val="auto"/>
                      <w:sz w:val="21"/>
                      <w:lang w:val="en-US" w:eastAsia="zh-CN"/>
                    </w:rPr>
                    <w:t>+UV光氧催化+活性氧吸附装置</w:t>
                  </w:r>
                  <w:r>
                    <w:rPr>
                      <w:rFonts w:hint="default" w:ascii="Times New Roman" w:hAnsi="Times New Roman" w:eastAsia="宋体" w:cs="Times New Roman"/>
                      <w:color w:val="auto"/>
                      <w:sz w:val="21"/>
                      <w:lang w:val="en-US" w:eastAsia="zh-CN"/>
                    </w:rPr>
                    <w:t>”+15m排气筒（DA00</w:t>
                  </w:r>
                  <w:r>
                    <w:rPr>
                      <w:rFonts w:hint="eastAsia" w:cs="Times New Roman"/>
                      <w:color w:val="auto"/>
                      <w:sz w:val="21"/>
                      <w:lang w:val="en-US" w:eastAsia="zh-CN"/>
                    </w:rPr>
                    <w:t>2</w:t>
                  </w:r>
                  <w:r>
                    <w:rPr>
                      <w:rFonts w:hint="default" w:ascii="Times New Roman" w:hAnsi="Times New Roman" w:eastAsia="宋体" w:cs="Times New Roman"/>
                      <w:color w:val="auto"/>
                      <w:sz w:val="21"/>
                      <w:lang w:val="en-US" w:eastAsia="zh-CN"/>
                    </w:rPr>
                    <w:t>）</w:t>
                  </w:r>
                </w:p>
              </w:tc>
              <w:tc>
                <w:tcPr>
                  <w:tcW w:w="2230" w:type="pct"/>
                  <w:tcBorders>
                    <w:top w:val="single" w:color="auto" w:sz="4" w:space="0"/>
                    <w:left w:val="single" w:color="auto" w:sz="4" w:space="0"/>
                    <w:bottom w:val="single" w:color="auto" w:sz="4" w:space="0"/>
                    <w:right w:val="single" w:color="auto" w:sz="4" w:space="0"/>
                  </w:tcBorders>
                  <w:vAlign w:val="center"/>
                </w:tcPr>
                <w:p w14:paraId="21A6097C">
                  <w:pPr>
                    <w:pStyle w:val="41"/>
                    <w:keepNext w:val="0"/>
                    <w:keepLines w:val="0"/>
                    <w:suppressLineNumbers w:val="0"/>
                    <w:spacing w:before="21" w:beforeAutospacing="0" w:after="0" w:afterAutospacing="0" w:line="240" w:lineRule="auto"/>
                    <w:ind w:left="105" w:leftChars="0" w:right="95" w:rightChars="0"/>
                    <w:jc w:val="center"/>
                    <w:rPr>
                      <w:rFonts w:hint="default" w:ascii="Times New Roman" w:hAnsi="Times New Roman" w:eastAsia="宋体" w:cs="Times New Roman"/>
                      <w:color w:val="auto"/>
                      <w:szCs w:val="21"/>
                      <w:lang w:eastAsia="zh-CN"/>
                    </w:rPr>
                  </w:pPr>
                  <w:r>
                    <w:rPr>
                      <w:rFonts w:hint="eastAsia" w:cs="Times New Roman"/>
                      <w:color w:val="auto"/>
                      <w:sz w:val="21"/>
                      <w:lang w:val="en-US" w:eastAsia="zh-CN"/>
                    </w:rPr>
                    <w:t>水性涂料生产车间2</w:t>
                  </w:r>
                  <w:r>
                    <w:rPr>
                      <w:rFonts w:hint="default" w:ascii="Times New Roman" w:hAnsi="Times New Roman" w:eastAsia="宋体" w:cs="Times New Roman"/>
                      <w:color w:val="auto"/>
                      <w:sz w:val="21"/>
                      <w:lang w:eastAsia="zh-CN"/>
                    </w:rPr>
                    <w:t>投料间</w:t>
                  </w:r>
                  <w:r>
                    <w:rPr>
                      <w:rFonts w:hint="eastAsia" w:cs="Times New Roman"/>
                      <w:color w:val="auto"/>
                      <w:sz w:val="21"/>
                      <w:lang w:val="en-US" w:eastAsia="zh-CN"/>
                    </w:rPr>
                    <w:t>2个投料口以及包装口设置</w:t>
                  </w:r>
                  <w:r>
                    <w:rPr>
                      <w:rFonts w:hint="default" w:ascii="Times New Roman" w:hAnsi="Times New Roman" w:eastAsia="宋体" w:cs="Times New Roman"/>
                      <w:color w:val="auto"/>
                      <w:sz w:val="21"/>
                      <w:lang w:val="en-US" w:eastAsia="zh-CN"/>
                    </w:rPr>
                    <w:t>1套“</w:t>
                  </w:r>
                  <w:r>
                    <w:rPr>
                      <w:rFonts w:hint="default" w:ascii="Times New Roman" w:hAnsi="Times New Roman" w:eastAsia="宋体" w:cs="Times New Roman"/>
                      <w:color w:val="auto"/>
                      <w:sz w:val="21"/>
                      <w:lang w:eastAsia="zh-CN"/>
                    </w:rPr>
                    <w:t>集气罩收集</w:t>
                  </w:r>
                  <w:r>
                    <w:rPr>
                      <w:rFonts w:hint="default" w:ascii="Times New Roman" w:hAnsi="Times New Roman" w:eastAsia="宋体" w:cs="Times New Roman"/>
                      <w:color w:val="auto"/>
                      <w:sz w:val="21"/>
                      <w:lang w:val="en-US" w:eastAsia="zh-CN"/>
                    </w:rPr>
                    <w:t>+</w:t>
                  </w:r>
                  <w:r>
                    <w:rPr>
                      <w:rFonts w:hint="default" w:ascii="Times New Roman" w:hAnsi="Times New Roman" w:eastAsia="宋体" w:cs="Times New Roman"/>
                      <w:color w:val="auto"/>
                      <w:sz w:val="21"/>
                    </w:rPr>
                    <w:t>布袋除尘</w:t>
                  </w:r>
                  <w:r>
                    <w:rPr>
                      <w:rFonts w:hint="eastAsia" w:cs="Times New Roman"/>
                      <w:color w:val="auto"/>
                      <w:sz w:val="21"/>
                      <w:lang w:val="en-US" w:eastAsia="zh-CN"/>
                    </w:rPr>
                    <w:t>+UV光氧催化+活性氧吸附装置</w:t>
                  </w:r>
                  <w:r>
                    <w:rPr>
                      <w:rFonts w:hint="default" w:ascii="Times New Roman" w:hAnsi="Times New Roman" w:eastAsia="宋体" w:cs="Times New Roman"/>
                      <w:color w:val="auto"/>
                      <w:sz w:val="21"/>
                      <w:lang w:val="en-US" w:eastAsia="zh-CN"/>
                    </w:rPr>
                    <w:t>”</w:t>
                  </w:r>
                  <w:r>
                    <w:rPr>
                      <w:rFonts w:hint="default" w:ascii="Times New Roman" w:hAnsi="Times New Roman" w:eastAsia="宋体" w:cs="Times New Roman"/>
                      <w:color w:val="auto"/>
                      <w:sz w:val="21"/>
                    </w:rPr>
                    <w:t>装置处理后经15m排气筒外排</w:t>
                  </w:r>
                  <w:r>
                    <w:rPr>
                      <w:rFonts w:hint="eastAsia" w:cs="Times New Roman"/>
                      <w:color w:val="auto"/>
                      <w:sz w:val="21"/>
                      <w:lang w:eastAsia="zh-CN"/>
                    </w:rPr>
                    <w:t>，</w:t>
                  </w:r>
                  <w:r>
                    <w:rPr>
                      <w:rFonts w:hint="eastAsia" w:cs="Times New Roman"/>
                      <w:color w:val="auto"/>
                      <w:sz w:val="21"/>
                      <w:lang w:val="en-US" w:eastAsia="zh-CN"/>
                    </w:rPr>
                    <w:t>共设置5个集气罩</w:t>
                  </w:r>
                  <w:r>
                    <w:rPr>
                      <w:rFonts w:hint="default" w:ascii="Times New Roman" w:hAnsi="Times New Roman" w:eastAsia="宋体" w:cs="Times New Roman"/>
                      <w:color w:val="auto"/>
                      <w:sz w:val="21"/>
                    </w:rPr>
                    <w:t>。</w:t>
                  </w:r>
                </w:p>
              </w:tc>
              <w:tc>
                <w:tcPr>
                  <w:tcW w:w="509" w:type="pct"/>
                  <w:tcBorders>
                    <w:top w:val="single" w:color="auto" w:sz="4" w:space="0"/>
                    <w:left w:val="single" w:color="auto" w:sz="4" w:space="0"/>
                    <w:bottom w:val="single" w:color="auto" w:sz="4" w:space="0"/>
                    <w:right w:val="single" w:color="auto" w:sz="4" w:space="0"/>
                  </w:tcBorders>
                  <w:vAlign w:val="center"/>
                </w:tcPr>
                <w:p w14:paraId="41191D9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14</w:t>
                  </w:r>
                </w:p>
              </w:tc>
              <w:tc>
                <w:tcPr>
                  <w:tcW w:w="696" w:type="pct"/>
                  <w:tcBorders>
                    <w:top w:val="single" w:color="auto" w:sz="4" w:space="0"/>
                    <w:left w:val="single" w:color="auto" w:sz="4" w:space="0"/>
                    <w:right w:val="single" w:color="auto" w:sz="4" w:space="0"/>
                  </w:tcBorders>
                  <w:vAlign w:val="center"/>
                </w:tcPr>
                <w:p w14:paraId="38DFB83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新建</w:t>
                  </w:r>
                </w:p>
              </w:tc>
            </w:tr>
            <w:tr w14:paraId="43ADA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57" w:type="pct"/>
                  <w:vMerge w:val="continue"/>
                  <w:tcBorders>
                    <w:left w:val="single" w:color="auto" w:sz="4" w:space="0"/>
                    <w:right w:val="single" w:color="auto" w:sz="4" w:space="0"/>
                  </w:tcBorders>
                  <w:vAlign w:val="center"/>
                </w:tcPr>
                <w:p w14:paraId="5B9D9D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c>
                <w:tcPr>
                  <w:tcW w:w="303" w:type="pct"/>
                  <w:vMerge w:val="continue"/>
                  <w:tcBorders>
                    <w:left w:val="single" w:color="auto" w:sz="4" w:space="0"/>
                    <w:right w:val="single" w:color="auto" w:sz="4" w:space="0"/>
                  </w:tcBorders>
                  <w:vAlign w:val="center"/>
                </w:tcPr>
                <w:p w14:paraId="7CDC0E3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c>
                <w:tcPr>
                  <w:tcW w:w="1003" w:type="pct"/>
                  <w:tcBorders>
                    <w:left w:val="single" w:color="auto" w:sz="4" w:space="0"/>
                    <w:right w:val="single" w:color="auto" w:sz="4" w:space="0"/>
                  </w:tcBorders>
                  <w:vAlign w:val="center"/>
                </w:tcPr>
                <w:p w14:paraId="5FD7D22D">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leftChars="0" w:right="93" w:right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lang w:val="en-US" w:eastAsia="zh-CN"/>
                    </w:rPr>
                    <w:t>1套“</w:t>
                  </w:r>
                  <w:r>
                    <w:rPr>
                      <w:rFonts w:hint="eastAsia" w:cs="Times New Roman"/>
                      <w:color w:val="auto"/>
                      <w:sz w:val="21"/>
                      <w:lang w:val="en-US" w:eastAsia="zh-CN"/>
                    </w:rPr>
                    <w:t>24个</w:t>
                  </w:r>
                  <w:r>
                    <w:rPr>
                      <w:rFonts w:hint="default" w:ascii="Times New Roman" w:hAnsi="Times New Roman" w:eastAsia="宋体" w:cs="Times New Roman"/>
                      <w:color w:val="auto"/>
                      <w:sz w:val="21"/>
                      <w:lang w:val="en-US" w:eastAsia="zh-CN"/>
                    </w:rPr>
                    <w:t>集气罩+集中式滤筒除尘”+15m排气筒（DA00</w:t>
                  </w:r>
                  <w:r>
                    <w:rPr>
                      <w:rFonts w:hint="eastAsia" w:cs="Times New Roman"/>
                      <w:color w:val="auto"/>
                      <w:sz w:val="21"/>
                      <w:lang w:val="en-US" w:eastAsia="zh-CN"/>
                    </w:rPr>
                    <w:t>1</w:t>
                  </w:r>
                  <w:r>
                    <w:rPr>
                      <w:rFonts w:hint="default" w:ascii="Times New Roman" w:hAnsi="Times New Roman" w:eastAsia="宋体" w:cs="Times New Roman"/>
                      <w:color w:val="auto"/>
                      <w:sz w:val="21"/>
                      <w:lang w:val="en-US" w:eastAsia="zh-CN"/>
                    </w:rPr>
                    <w:t>）</w:t>
                  </w:r>
                </w:p>
              </w:tc>
              <w:tc>
                <w:tcPr>
                  <w:tcW w:w="2230" w:type="pct"/>
                  <w:tcBorders>
                    <w:top w:val="single" w:color="auto" w:sz="4" w:space="0"/>
                    <w:left w:val="single" w:color="auto" w:sz="4" w:space="0"/>
                    <w:bottom w:val="single" w:color="auto" w:sz="4" w:space="0"/>
                    <w:right w:val="single" w:color="auto" w:sz="4" w:space="0"/>
                  </w:tcBorders>
                  <w:vAlign w:val="center"/>
                </w:tcPr>
                <w:p w14:paraId="17513F5E">
                  <w:pPr>
                    <w:pStyle w:val="41"/>
                    <w:keepNext w:val="0"/>
                    <w:keepLines w:val="0"/>
                    <w:suppressLineNumbers w:val="0"/>
                    <w:spacing w:before="21" w:beforeAutospacing="0" w:after="0" w:afterAutospacing="0" w:line="240" w:lineRule="auto"/>
                    <w:ind w:left="105" w:leftChars="0" w:right="95" w:rightChars="0"/>
                    <w:jc w:val="center"/>
                    <w:rPr>
                      <w:rFonts w:hint="default" w:ascii="Times New Roman" w:hAnsi="Times New Roman" w:eastAsia="宋体" w:cs="Times New Roman"/>
                      <w:bCs/>
                      <w:color w:val="auto"/>
                      <w:szCs w:val="21"/>
                      <w:lang w:eastAsia="zh-CN"/>
                    </w:rPr>
                  </w:pPr>
                  <w:r>
                    <w:rPr>
                      <w:rFonts w:hint="default" w:ascii="Times New Roman" w:hAnsi="Times New Roman" w:eastAsia="宋体" w:cs="Times New Roman"/>
                      <w:color w:val="auto"/>
                      <w:sz w:val="21"/>
                      <w:lang w:eastAsia="zh-CN"/>
                    </w:rPr>
                    <w:t>腻子粉</w:t>
                  </w:r>
                  <w:r>
                    <w:rPr>
                      <w:rFonts w:hint="default" w:ascii="Times New Roman" w:hAnsi="Times New Roman" w:eastAsia="宋体" w:cs="Times New Roman"/>
                      <w:color w:val="auto"/>
                      <w:sz w:val="21"/>
                    </w:rPr>
                    <w:t>生产线</w:t>
                  </w:r>
                  <w:r>
                    <w:rPr>
                      <w:rFonts w:hint="default" w:ascii="Times New Roman" w:hAnsi="Times New Roman" w:eastAsia="宋体" w:cs="Times New Roman"/>
                      <w:color w:val="auto"/>
                      <w:sz w:val="21"/>
                      <w:lang w:eastAsia="zh-CN"/>
                    </w:rPr>
                    <w:t>投料、配料粉尘设置</w:t>
                  </w:r>
                  <w:r>
                    <w:rPr>
                      <w:rFonts w:hint="default" w:ascii="Times New Roman" w:hAnsi="Times New Roman" w:eastAsia="宋体" w:cs="Times New Roman"/>
                      <w:color w:val="auto"/>
                      <w:sz w:val="21"/>
                      <w:lang w:val="en-US" w:eastAsia="zh-CN"/>
                    </w:rPr>
                    <w:t>1</w:t>
                  </w:r>
                  <w:r>
                    <w:rPr>
                      <w:rFonts w:hint="default" w:ascii="Times New Roman" w:hAnsi="Times New Roman" w:eastAsia="宋体" w:cs="Times New Roman"/>
                      <w:color w:val="auto"/>
                      <w:sz w:val="21"/>
                    </w:rPr>
                    <w:t>套</w:t>
                  </w:r>
                  <w:r>
                    <w:rPr>
                      <w:rFonts w:hint="default" w:ascii="Times New Roman" w:hAnsi="Times New Roman" w:eastAsia="宋体" w:cs="Times New Roman"/>
                      <w:color w:val="auto"/>
                      <w:sz w:val="21"/>
                      <w:lang w:eastAsia="zh-CN"/>
                    </w:rPr>
                    <w:t>“</w:t>
                  </w:r>
                  <w:r>
                    <w:rPr>
                      <w:rFonts w:hint="eastAsia" w:cs="Times New Roman"/>
                      <w:color w:val="auto"/>
                      <w:sz w:val="21"/>
                      <w:lang w:val="en-US" w:eastAsia="zh-CN"/>
                    </w:rPr>
                    <w:t>24个</w:t>
                  </w:r>
                  <w:r>
                    <w:rPr>
                      <w:rFonts w:hint="default" w:ascii="Times New Roman" w:hAnsi="Times New Roman" w:eastAsia="宋体" w:cs="Times New Roman"/>
                      <w:color w:val="auto"/>
                      <w:sz w:val="21"/>
                      <w:lang w:eastAsia="zh-CN"/>
                    </w:rPr>
                    <w:t>集气罩收集</w:t>
                  </w:r>
                  <w:r>
                    <w:rPr>
                      <w:rFonts w:hint="default" w:ascii="Times New Roman" w:hAnsi="Times New Roman" w:eastAsia="宋体" w:cs="Times New Roman"/>
                      <w:color w:val="auto"/>
                      <w:sz w:val="21"/>
                      <w:lang w:val="en-US" w:eastAsia="zh-CN"/>
                    </w:rPr>
                    <w:t>+集中式滤筒除尘</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rPr>
                    <w:t>装置，处理后的废气经15m排气筒外排</w:t>
                  </w:r>
                  <w:r>
                    <w:rPr>
                      <w:rFonts w:hint="default" w:ascii="Times New Roman" w:hAnsi="Times New Roman" w:eastAsia="宋体" w:cs="Times New Roman"/>
                      <w:color w:val="auto"/>
                      <w:sz w:val="21"/>
                      <w:lang w:eastAsia="zh-CN"/>
                    </w:rPr>
                    <w:t>。</w:t>
                  </w:r>
                </w:p>
              </w:tc>
              <w:tc>
                <w:tcPr>
                  <w:tcW w:w="509" w:type="pct"/>
                  <w:tcBorders>
                    <w:top w:val="single" w:color="auto" w:sz="4" w:space="0"/>
                    <w:left w:val="single" w:color="auto" w:sz="4" w:space="0"/>
                    <w:bottom w:val="single" w:color="auto" w:sz="4" w:space="0"/>
                    <w:right w:val="single" w:color="auto" w:sz="4" w:space="0"/>
                  </w:tcBorders>
                  <w:vAlign w:val="center"/>
                </w:tcPr>
                <w:p w14:paraId="5CA1B62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8</w:t>
                  </w:r>
                </w:p>
              </w:tc>
              <w:tc>
                <w:tcPr>
                  <w:tcW w:w="696" w:type="pct"/>
                  <w:tcBorders>
                    <w:left w:val="single" w:color="auto" w:sz="4" w:space="0"/>
                    <w:bottom w:val="single" w:color="auto" w:sz="4" w:space="0"/>
                    <w:right w:val="single" w:color="auto" w:sz="4" w:space="0"/>
                  </w:tcBorders>
                  <w:vAlign w:val="center"/>
                </w:tcPr>
                <w:p w14:paraId="1520BE1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现有</w:t>
                  </w:r>
                </w:p>
              </w:tc>
            </w:tr>
            <w:tr w14:paraId="1F5EA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57" w:type="pct"/>
                  <w:vMerge w:val="continue"/>
                  <w:tcBorders>
                    <w:left w:val="single" w:color="auto" w:sz="4" w:space="0"/>
                    <w:right w:val="single" w:color="auto" w:sz="4" w:space="0"/>
                  </w:tcBorders>
                  <w:vAlign w:val="center"/>
                </w:tcPr>
                <w:p w14:paraId="444F20B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bookmarkStart w:id="6" w:name="_Hlk448857637"/>
                  <w:bookmarkStart w:id="7" w:name="OLE_LINK24" w:colFirst="3" w:colLast="3"/>
                  <w:bookmarkStart w:id="8" w:name="OLE_LINK25" w:colFirst="3" w:colLast="3"/>
                </w:p>
              </w:tc>
              <w:tc>
                <w:tcPr>
                  <w:tcW w:w="303" w:type="pct"/>
                  <w:vMerge w:val="continue"/>
                  <w:tcBorders>
                    <w:left w:val="single" w:color="auto" w:sz="4" w:space="0"/>
                    <w:right w:val="single" w:color="auto" w:sz="4" w:space="0"/>
                  </w:tcBorders>
                  <w:vAlign w:val="center"/>
                </w:tcPr>
                <w:p w14:paraId="6403F8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c>
                <w:tcPr>
                  <w:tcW w:w="1003" w:type="pct"/>
                  <w:tcBorders>
                    <w:left w:val="single" w:color="auto" w:sz="4" w:space="0"/>
                    <w:right w:val="single" w:color="auto" w:sz="4" w:space="0"/>
                  </w:tcBorders>
                  <w:vAlign w:val="center"/>
                </w:tcPr>
                <w:p w14:paraId="25A16856">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leftChars="0" w:right="93" w:rightChars="0"/>
                    <w:jc w:val="center"/>
                    <w:textAlignment w:val="auto"/>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生产车间9个</w:t>
                  </w:r>
                  <w:r>
                    <w:rPr>
                      <w:rFonts w:hint="default" w:ascii="Times New Roman" w:hAnsi="Times New Roman" w:eastAsia="宋体" w:cs="Times New Roman"/>
                      <w:color w:val="auto"/>
                      <w:sz w:val="21"/>
                      <w:lang w:val="en-US" w:eastAsia="zh-CN"/>
                    </w:rPr>
                    <w:t>粉料</w:t>
                  </w:r>
                  <w:r>
                    <w:rPr>
                      <w:rFonts w:hint="eastAsia" w:cs="Times New Roman"/>
                      <w:color w:val="auto"/>
                      <w:sz w:val="21"/>
                      <w:lang w:val="en-US" w:eastAsia="zh-CN"/>
                    </w:rPr>
                    <w:t>存储</w:t>
                  </w:r>
                  <w:r>
                    <w:rPr>
                      <w:rFonts w:hint="default" w:ascii="Times New Roman" w:hAnsi="Times New Roman" w:eastAsia="宋体" w:cs="Times New Roman"/>
                      <w:color w:val="auto"/>
                      <w:sz w:val="21"/>
                      <w:lang w:val="en-US" w:eastAsia="zh-CN"/>
                    </w:rPr>
                    <w:t>罐</w:t>
                  </w:r>
                  <w:r>
                    <w:rPr>
                      <w:rFonts w:hint="eastAsia" w:cs="Times New Roman"/>
                      <w:color w:val="auto"/>
                      <w:sz w:val="21"/>
                      <w:lang w:val="en-US" w:eastAsia="zh-CN"/>
                    </w:rPr>
                    <w:t>脉冲</w:t>
                  </w:r>
                  <w:r>
                    <w:rPr>
                      <w:rFonts w:hint="default" w:ascii="Times New Roman" w:hAnsi="Times New Roman" w:eastAsia="宋体" w:cs="Times New Roman"/>
                      <w:color w:val="auto"/>
                      <w:sz w:val="21"/>
                      <w:lang w:val="en-US" w:eastAsia="zh-CN"/>
                    </w:rPr>
                    <w:t>布袋除尘</w:t>
                  </w:r>
                </w:p>
              </w:tc>
              <w:tc>
                <w:tcPr>
                  <w:tcW w:w="2230" w:type="pct"/>
                  <w:tcBorders>
                    <w:top w:val="single" w:color="auto" w:sz="4" w:space="0"/>
                    <w:left w:val="single" w:color="auto" w:sz="4" w:space="0"/>
                    <w:bottom w:val="single" w:color="auto" w:sz="4" w:space="0"/>
                    <w:right w:val="single" w:color="auto" w:sz="4" w:space="0"/>
                  </w:tcBorders>
                  <w:vAlign w:val="center"/>
                </w:tcPr>
                <w:p w14:paraId="197B463C">
                  <w:pPr>
                    <w:pStyle w:val="41"/>
                    <w:keepNext w:val="0"/>
                    <w:keepLines w:val="0"/>
                    <w:suppressLineNumbers w:val="0"/>
                    <w:spacing w:before="21" w:beforeAutospacing="0" w:after="0" w:afterAutospacing="0" w:line="240" w:lineRule="auto"/>
                    <w:ind w:left="105" w:leftChars="0" w:right="95" w:rightChars="0"/>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生产车间</w:t>
                  </w:r>
                  <w:r>
                    <w:rPr>
                      <w:rFonts w:hint="eastAsia" w:cs="Times New Roman"/>
                      <w:color w:val="auto"/>
                      <w:sz w:val="21"/>
                      <w:lang w:val="en-US" w:eastAsia="zh-CN"/>
                    </w:rPr>
                    <w:t>9个</w:t>
                  </w:r>
                  <w:r>
                    <w:rPr>
                      <w:rFonts w:hint="default" w:ascii="Times New Roman" w:hAnsi="Times New Roman" w:eastAsia="宋体" w:cs="Times New Roman"/>
                      <w:color w:val="auto"/>
                      <w:sz w:val="21"/>
                      <w:lang w:eastAsia="zh-CN"/>
                    </w:rPr>
                    <w:t>粉料</w:t>
                  </w:r>
                  <w:r>
                    <w:rPr>
                      <w:rFonts w:hint="eastAsia" w:cs="Times New Roman"/>
                      <w:color w:val="auto"/>
                      <w:sz w:val="21"/>
                      <w:lang w:val="en-US" w:eastAsia="zh-CN"/>
                    </w:rPr>
                    <w:t>存储</w:t>
                  </w:r>
                  <w:r>
                    <w:rPr>
                      <w:rFonts w:hint="default" w:ascii="Times New Roman" w:hAnsi="Times New Roman" w:eastAsia="宋体" w:cs="Times New Roman"/>
                      <w:color w:val="auto"/>
                      <w:sz w:val="21"/>
                      <w:lang w:eastAsia="zh-CN"/>
                    </w:rPr>
                    <w:t>罐</w:t>
                  </w:r>
                  <w:r>
                    <w:rPr>
                      <w:rFonts w:hint="eastAsia" w:cs="Times New Roman"/>
                      <w:color w:val="auto"/>
                      <w:sz w:val="21"/>
                      <w:lang w:val="en-US" w:eastAsia="zh-CN"/>
                    </w:rPr>
                    <w:t>顶部设置</w:t>
                  </w:r>
                  <w:r>
                    <w:rPr>
                      <w:rFonts w:hint="default" w:ascii="Times New Roman" w:hAnsi="Times New Roman" w:eastAsia="宋体" w:cs="Times New Roman"/>
                      <w:color w:val="auto"/>
                      <w:sz w:val="21"/>
                      <w:lang w:val="en-US" w:eastAsia="zh-CN"/>
                    </w:rPr>
                    <w:t>脉冲</w:t>
                  </w:r>
                  <w:r>
                    <w:rPr>
                      <w:rFonts w:hint="default" w:ascii="Times New Roman" w:hAnsi="Times New Roman" w:eastAsia="宋体" w:cs="Times New Roman"/>
                      <w:color w:val="auto"/>
                      <w:sz w:val="21"/>
                      <w:lang w:eastAsia="zh-CN"/>
                    </w:rPr>
                    <w:t>布袋进行除尘。</w:t>
                  </w:r>
                </w:p>
              </w:tc>
              <w:tc>
                <w:tcPr>
                  <w:tcW w:w="509" w:type="pct"/>
                  <w:tcBorders>
                    <w:top w:val="single" w:color="auto" w:sz="4" w:space="0"/>
                    <w:left w:val="single" w:color="auto" w:sz="4" w:space="0"/>
                    <w:bottom w:val="single" w:color="auto" w:sz="4" w:space="0"/>
                    <w:right w:val="single" w:color="auto" w:sz="4" w:space="0"/>
                  </w:tcBorders>
                  <w:vAlign w:val="center"/>
                </w:tcPr>
                <w:p w14:paraId="5B620BE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696" w:type="pct"/>
                  <w:tcBorders>
                    <w:top w:val="single" w:color="auto" w:sz="4" w:space="0"/>
                    <w:left w:val="single" w:color="auto" w:sz="4" w:space="0"/>
                    <w:bottom w:val="single" w:color="auto" w:sz="4" w:space="0"/>
                    <w:right w:val="single" w:color="auto" w:sz="4" w:space="0"/>
                  </w:tcBorders>
                  <w:vAlign w:val="center"/>
                </w:tcPr>
                <w:p w14:paraId="4557F2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新建</w:t>
                  </w:r>
                </w:p>
              </w:tc>
            </w:tr>
            <w:tr w14:paraId="284EA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57" w:type="pct"/>
                  <w:vMerge w:val="continue"/>
                  <w:tcBorders>
                    <w:left w:val="single" w:color="auto" w:sz="4" w:space="0"/>
                    <w:right w:val="single" w:color="auto" w:sz="4" w:space="0"/>
                  </w:tcBorders>
                  <w:vAlign w:val="center"/>
                </w:tcPr>
                <w:p w14:paraId="1F39E7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c>
                <w:tcPr>
                  <w:tcW w:w="303" w:type="pct"/>
                  <w:vMerge w:val="continue"/>
                  <w:tcBorders>
                    <w:left w:val="single" w:color="auto" w:sz="4" w:space="0"/>
                    <w:right w:val="single" w:color="auto" w:sz="4" w:space="0"/>
                  </w:tcBorders>
                  <w:vAlign w:val="center"/>
                </w:tcPr>
                <w:p w14:paraId="117E0A4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c>
                <w:tcPr>
                  <w:tcW w:w="1003" w:type="pct"/>
                  <w:tcBorders>
                    <w:left w:val="single" w:color="auto" w:sz="4" w:space="0"/>
                    <w:right w:val="single" w:color="auto" w:sz="4" w:space="0"/>
                  </w:tcBorders>
                  <w:vAlign w:val="center"/>
                </w:tcPr>
                <w:p w14:paraId="417AEDCF">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leftChars="0" w:right="93" w:rightChars="0"/>
                    <w:jc w:val="center"/>
                    <w:textAlignment w:val="auto"/>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2个集气罩+</w:t>
                  </w:r>
                  <w:r>
                    <w:rPr>
                      <w:rFonts w:hint="default" w:ascii="Times New Roman" w:hAnsi="Times New Roman" w:eastAsia="宋体" w:cs="Times New Roman"/>
                      <w:color w:val="auto"/>
                      <w:sz w:val="21"/>
                      <w:lang w:val="en-US" w:eastAsia="zh-CN"/>
                    </w:rPr>
                    <w:t>2台旋风除尘器</w:t>
                  </w:r>
                </w:p>
              </w:tc>
              <w:tc>
                <w:tcPr>
                  <w:tcW w:w="2230" w:type="pct"/>
                  <w:tcBorders>
                    <w:top w:val="single" w:color="auto" w:sz="4" w:space="0"/>
                    <w:left w:val="single" w:color="auto" w:sz="4" w:space="0"/>
                    <w:bottom w:val="single" w:color="auto" w:sz="4" w:space="0"/>
                    <w:right w:val="single" w:color="auto" w:sz="4" w:space="0"/>
                  </w:tcBorders>
                  <w:vAlign w:val="center"/>
                </w:tcPr>
                <w:p w14:paraId="6FCE3840">
                  <w:pPr>
                    <w:pStyle w:val="41"/>
                    <w:keepNext w:val="0"/>
                    <w:keepLines w:val="0"/>
                    <w:suppressLineNumbers w:val="0"/>
                    <w:spacing w:before="21" w:beforeAutospacing="0" w:after="0" w:afterAutospacing="0" w:line="240" w:lineRule="auto"/>
                    <w:ind w:left="105" w:leftChars="0" w:right="95" w:rightChars="0"/>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腻子粉生产车间</w:t>
                  </w:r>
                  <w:r>
                    <w:rPr>
                      <w:rFonts w:hint="eastAsia" w:cs="Times New Roman"/>
                      <w:color w:val="auto"/>
                      <w:sz w:val="21"/>
                      <w:lang w:val="en-US" w:eastAsia="zh-CN"/>
                    </w:rPr>
                    <w:t>包装口</w:t>
                  </w:r>
                  <w:r>
                    <w:rPr>
                      <w:rFonts w:hint="default" w:ascii="Times New Roman" w:hAnsi="Times New Roman" w:eastAsia="宋体" w:cs="Times New Roman"/>
                      <w:color w:val="auto"/>
                      <w:sz w:val="21"/>
                      <w:lang w:eastAsia="zh-CN"/>
                    </w:rPr>
                    <w:t>设置</w:t>
                  </w:r>
                  <w:r>
                    <w:rPr>
                      <w:rFonts w:hint="eastAsia" w:cs="Times New Roman"/>
                      <w:color w:val="auto"/>
                      <w:sz w:val="21"/>
                      <w:lang w:val="en-US" w:eastAsia="zh-CN"/>
                    </w:rPr>
                    <w:t>2个集气罩收集+</w:t>
                  </w:r>
                  <w:r>
                    <w:rPr>
                      <w:rFonts w:hint="default" w:ascii="Times New Roman" w:hAnsi="Times New Roman" w:eastAsia="宋体" w:cs="Times New Roman"/>
                      <w:color w:val="auto"/>
                      <w:sz w:val="21"/>
                      <w:lang w:val="en-US" w:eastAsia="zh-CN"/>
                    </w:rPr>
                    <w:t>2台</w:t>
                  </w:r>
                  <w:r>
                    <w:rPr>
                      <w:rFonts w:hint="default" w:ascii="Times New Roman" w:hAnsi="Times New Roman" w:eastAsia="宋体" w:cs="Times New Roman"/>
                      <w:color w:val="auto"/>
                      <w:sz w:val="21"/>
                      <w:lang w:eastAsia="zh-CN"/>
                    </w:rPr>
                    <w:t>包装机</w:t>
                  </w:r>
                  <w:r>
                    <w:rPr>
                      <w:rFonts w:hint="default" w:ascii="Times New Roman" w:hAnsi="Times New Roman" w:eastAsia="宋体" w:cs="Times New Roman"/>
                      <w:color w:val="auto"/>
                      <w:sz w:val="21"/>
                      <w:lang w:val="en-US" w:eastAsia="zh-CN"/>
                    </w:rPr>
                    <w:t>旋风除尘系统，收集包装环节产生的粉尘。</w:t>
                  </w:r>
                </w:p>
              </w:tc>
              <w:tc>
                <w:tcPr>
                  <w:tcW w:w="509" w:type="pct"/>
                  <w:tcBorders>
                    <w:top w:val="single" w:color="auto" w:sz="4" w:space="0"/>
                    <w:left w:val="single" w:color="auto" w:sz="4" w:space="0"/>
                    <w:bottom w:val="single" w:color="auto" w:sz="4" w:space="0"/>
                    <w:right w:val="single" w:color="auto" w:sz="4" w:space="0"/>
                  </w:tcBorders>
                  <w:vAlign w:val="center"/>
                </w:tcPr>
                <w:p w14:paraId="383CAF6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5</w:t>
                  </w:r>
                </w:p>
              </w:tc>
              <w:tc>
                <w:tcPr>
                  <w:tcW w:w="696" w:type="pct"/>
                  <w:tcBorders>
                    <w:top w:val="single" w:color="auto" w:sz="4" w:space="0"/>
                    <w:left w:val="single" w:color="auto" w:sz="4" w:space="0"/>
                    <w:bottom w:val="single" w:color="auto" w:sz="4" w:space="0"/>
                    <w:right w:val="single" w:color="auto" w:sz="4" w:space="0"/>
                  </w:tcBorders>
                  <w:vAlign w:val="center"/>
                </w:tcPr>
                <w:p w14:paraId="6181F2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新建</w:t>
                  </w:r>
                </w:p>
              </w:tc>
            </w:tr>
            <w:tr w14:paraId="26807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57" w:type="pct"/>
                  <w:vMerge w:val="restart"/>
                  <w:tcBorders>
                    <w:left w:val="single" w:color="auto" w:sz="4" w:space="0"/>
                    <w:right w:val="single" w:color="auto" w:sz="4" w:space="0"/>
                  </w:tcBorders>
                  <w:vAlign w:val="center"/>
                </w:tcPr>
                <w:p w14:paraId="69C7CA0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p>
              </w:tc>
              <w:tc>
                <w:tcPr>
                  <w:tcW w:w="303" w:type="pct"/>
                  <w:vMerge w:val="restart"/>
                  <w:tcBorders>
                    <w:left w:val="single" w:color="auto" w:sz="4" w:space="0"/>
                    <w:right w:val="single" w:color="auto" w:sz="4" w:space="0"/>
                  </w:tcBorders>
                  <w:vAlign w:val="center"/>
                </w:tcPr>
                <w:p w14:paraId="3EDB915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废水处置措施</w:t>
                  </w:r>
                </w:p>
              </w:tc>
              <w:tc>
                <w:tcPr>
                  <w:tcW w:w="1003" w:type="pct"/>
                  <w:tcBorders>
                    <w:left w:val="single" w:color="auto" w:sz="4" w:space="0"/>
                    <w:right w:val="single" w:color="auto" w:sz="4" w:space="0"/>
                  </w:tcBorders>
                  <w:vAlign w:val="center"/>
                </w:tcPr>
                <w:p w14:paraId="2CD09460">
                  <w:pPr>
                    <w:pStyle w:val="41"/>
                    <w:keepNext w:val="0"/>
                    <w:keepLines w:val="0"/>
                    <w:suppressLineNumbers w:val="0"/>
                    <w:spacing w:before="21" w:beforeAutospacing="0" w:after="0" w:afterAutospacing="0" w:line="240" w:lineRule="auto"/>
                    <w:ind w:left="109" w:leftChars="0" w:right="93" w:right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污水处理站</w:t>
                  </w:r>
                </w:p>
              </w:tc>
              <w:tc>
                <w:tcPr>
                  <w:tcW w:w="2230" w:type="pct"/>
                  <w:tcBorders>
                    <w:top w:val="single" w:color="auto" w:sz="4" w:space="0"/>
                    <w:left w:val="single" w:color="auto" w:sz="4" w:space="0"/>
                    <w:bottom w:val="single" w:color="auto" w:sz="4" w:space="0"/>
                    <w:right w:val="single" w:color="auto" w:sz="4" w:space="0"/>
                  </w:tcBorders>
                  <w:vAlign w:val="center"/>
                </w:tcPr>
                <w:p w14:paraId="4EB611F2">
                  <w:pPr>
                    <w:pStyle w:val="41"/>
                    <w:keepNext w:val="0"/>
                    <w:keepLines w:val="0"/>
                    <w:suppressLineNumbers w:val="0"/>
                    <w:spacing w:before="21" w:beforeAutospacing="0" w:after="0" w:afterAutospacing="0" w:line="240" w:lineRule="auto"/>
                    <w:ind w:left="105" w:leftChars="0" w:right="95" w:rightChars="0"/>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厂区内设置有</w:t>
                  </w:r>
                  <w:r>
                    <w:rPr>
                      <w:rFonts w:hint="default" w:ascii="Times New Roman" w:hAnsi="Times New Roman" w:eastAsia="宋体" w:cs="Times New Roman"/>
                      <w:color w:val="auto"/>
                      <w:sz w:val="21"/>
                    </w:rPr>
                    <w:t>一套污水处理系统，建筑用房占地约252m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，处理规模50</w:t>
                  </w:r>
                  <w:r>
                    <w:rPr>
                      <w:rFonts w:hint="default" w:ascii="Times New Roman" w:hAnsi="Times New Roman" w:eastAsia="宋体" w:cs="Times New Roman"/>
                      <w:color w:val="auto"/>
                      <w:sz w:val="21"/>
                      <w:lang w:val="en-US" w:eastAsia="zh-CN"/>
                    </w:rPr>
                    <w:t>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rPr>
                    <w:t>/t。</w:t>
                  </w:r>
                  <w:r>
                    <w:rPr>
                      <w:rFonts w:hint="default" w:ascii="Times New Roman" w:hAnsi="Times New Roman" w:eastAsia="宋体" w:cs="Times New Roman"/>
                      <w:color w:val="auto"/>
                      <w:sz w:val="21"/>
                      <w:lang w:val="en-US" w:eastAsia="zh-CN"/>
                    </w:rPr>
                    <w:t>处理工艺为“</w:t>
                  </w:r>
                  <w:r>
                    <w:rPr>
                      <w:rFonts w:hint="default" w:ascii="Times New Roman" w:hAnsi="Times New Roman" w:eastAsia="宋体" w:cs="Times New Roman"/>
                      <w:color w:val="auto"/>
                      <w:spacing w:val="-2"/>
                    </w:rPr>
                    <w:t>混凝沉淀</w:t>
                  </w:r>
                  <w:r>
                    <w:rPr>
                      <w:rFonts w:hint="default" w:ascii="Times New Roman" w:hAnsi="Times New Roman" w:eastAsia="宋体" w:cs="Times New Roman"/>
                      <w:color w:val="auto"/>
                    </w:rPr>
                    <w:t>+UASB</w:t>
                  </w:r>
                  <w:r>
                    <w:rPr>
                      <w:rFonts w:hint="default" w:ascii="Times New Roman" w:hAnsi="Times New Roman" w:eastAsia="宋体" w:cs="Times New Roman"/>
                      <w:color w:val="auto"/>
                      <w:spacing w:val="-4"/>
                    </w:rPr>
                    <w:t xml:space="preserve"> </w:t>
                  </w:r>
                  <w:r>
                    <w:rPr>
                      <w:rFonts w:hint="default" w:ascii="Times New Roman" w:hAnsi="Times New Roman" w:eastAsia="宋体" w:cs="Times New Roman"/>
                      <w:color w:val="auto"/>
                      <w:spacing w:val="2"/>
                    </w:rPr>
                    <w:t>反应</w:t>
                  </w:r>
                  <w:r>
                    <w:rPr>
                      <w:rFonts w:hint="default" w:ascii="Times New Roman" w:hAnsi="Times New Roman" w:eastAsia="宋体" w:cs="Times New Roman"/>
                      <w:color w:val="auto"/>
                    </w:rPr>
                    <w:t>+MBR</w:t>
                  </w:r>
                  <w:r>
                    <w:rPr>
                      <w:rFonts w:hint="default" w:ascii="Times New Roman" w:hAnsi="Times New Roman" w:eastAsia="宋体" w:cs="Times New Roman"/>
                      <w:color w:val="auto"/>
                      <w:spacing w:val="2"/>
                    </w:rPr>
                    <w:t xml:space="preserve"> </w:t>
                  </w:r>
                  <w:r>
                    <w:rPr>
                      <w:rFonts w:hint="default" w:ascii="Times New Roman" w:hAnsi="Times New Roman" w:eastAsia="宋体" w:cs="Times New Roman"/>
                      <w:color w:val="auto"/>
                    </w:rPr>
                    <w:t>膜池</w:t>
                  </w:r>
                  <w:r>
                    <w:rPr>
                      <w:rFonts w:hint="default" w:ascii="Times New Roman" w:hAnsi="Times New Roman" w:eastAsia="宋体" w:cs="Times New Roman"/>
                      <w:color w:val="auto"/>
                      <w:sz w:val="21"/>
                      <w:lang w:val="en-US" w:eastAsia="zh-CN"/>
                    </w:rPr>
                    <w:t>”。</w:t>
                  </w:r>
                </w:p>
              </w:tc>
              <w:tc>
                <w:tcPr>
                  <w:tcW w:w="509" w:type="pct"/>
                  <w:tcBorders>
                    <w:top w:val="single" w:color="auto" w:sz="4" w:space="0"/>
                    <w:left w:val="single" w:color="auto" w:sz="4" w:space="0"/>
                    <w:bottom w:val="single" w:color="auto" w:sz="4" w:space="0"/>
                    <w:right w:val="single" w:color="auto" w:sz="4" w:space="0"/>
                  </w:tcBorders>
                  <w:vAlign w:val="center"/>
                </w:tcPr>
                <w:p w14:paraId="4C5739C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696" w:type="pct"/>
                  <w:vMerge w:val="restart"/>
                  <w:tcBorders>
                    <w:top w:val="single" w:color="auto" w:sz="4" w:space="0"/>
                    <w:left w:val="single" w:color="auto" w:sz="4" w:space="0"/>
                    <w:right w:val="single" w:color="auto" w:sz="4" w:space="0"/>
                  </w:tcBorders>
                  <w:vAlign w:val="center"/>
                </w:tcPr>
                <w:p w14:paraId="24D4CAB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原项目已建成，纳入原项目环保投资</w:t>
                  </w:r>
                </w:p>
              </w:tc>
            </w:tr>
            <w:tr w14:paraId="04DB3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57" w:type="pct"/>
                  <w:vMerge w:val="continue"/>
                  <w:tcBorders>
                    <w:left w:val="single" w:color="auto" w:sz="4" w:space="0"/>
                    <w:right w:val="single" w:color="auto" w:sz="4" w:space="0"/>
                  </w:tcBorders>
                  <w:vAlign w:val="center"/>
                </w:tcPr>
                <w:p w14:paraId="602CA49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303" w:type="pct"/>
                  <w:vMerge w:val="continue"/>
                  <w:tcBorders>
                    <w:left w:val="single" w:color="auto" w:sz="4" w:space="0"/>
                    <w:right w:val="single" w:color="auto" w:sz="4" w:space="0"/>
                  </w:tcBorders>
                  <w:vAlign w:val="center"/>
                </w:tcPr>
                <w:p w14:paraId="538C8EF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eastAsia="zh-CN"/>
                    </w:rPr>
                  </w:pPr>
                </w:p>
              </w:tc>
              <w:tc>
                <w:tcPr>
                  <w:tcW w:w="1003" w:type="pct"/>
                  <w:tcBorders>
                    <w:left w:val="single" w:color="auto" w:sz="4" w:space="0"/>
                    <w:right w:val="single" w:color="auto" w:sz="4" w:space="0"/>
                  </w:tcBorders>
                  <w:vAlign w:val="center"/>
                </w:tcPr>
                <w:p w14:paraId="2862FA3B">
                  <w:pPr>
                    <w:pStyle w:val="41"/>
                    <w:keepNext w:val="0"/>
                    <w:keepLines w:val="0"/>
                    <w:suppressLineNumbers w:val="0"/>
                    <w:spacing w:before="21" w:beforeAutospacing="0" w:after="0" w:afterAutospacing="0" w:line="240" w:lineRule="auto"/>
                    <w:ind w:left="109" w:leftChars="0" w:right="93" w:right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eastAsia="zh-CN"/>
                    </w:rPr>
                    <w:t>化粪池</w:t>
                  </w:r>
                </w:p>
              </w:tc>
              <w:tc>
                <w:tcPr>
                  <w:tcW w:w="2230" w:type="pct"/>
                  <w:tcBorders>
                    <w:top w:val="single" w:color="auto" w:sz="4" w:space="0"/>
                    <w:left w:val="single" w:color="auto" w:sz="4" w:space="0"/>
                    <w:bottom w:val="single" w:color="auto" w:sz="4" w:space="0"/>
                    <w:right w:val="single" w:color="auto" w:sz="4" w:space="0"/>
                  </w:tcBorders>
                  <w:vAlign w:val="center"/>
                </w:tcPr>
                <w:p w14:paraId="7AE33320">
                  <w:pPr>
                    <w:pStyle w:val="41"/>
                    <w:keepNext w:val="0"/>
                    <w:keepLines w:val="0"/>
                    <w:suppressLineNumbers w:val="0"/>
                    <w:spacing w:before="21" w:beforeAutospacing="0" w:after="0" w:afterAutospacing="0" w:line="240" w:lineRule="auto"/>
                    <w:ind w:left="105" w:leftChars="0" w:right="95" w:rightChars="0"/>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厂区内设置了容积</w:t>
                  </w:r>
                  <w:r>
                    <w:rPr>
                      <w:rFonts w:hint="eastAsia" w:cs="Times New Roman"/>
                      <w:color w:val="auto"/>
                      <w:sz w:val="21"/>
                      <w:lang w:val="en-US" w:eastAsia="zh-CN"/>
                    </w:rPr>
                    <w:t>为20</w:t>
                  </w:r>
                  <w:r>
                    <w:rPr>
                      <w:rFonts w:hint="default" w:ascii="Times New Roman" w:hAnsi="Times New Roman" w:eastAsia="宋体" w:cs="Times New Roman"/>
                      <w:color w:val="auto"/>
                      <w:sz w:val="21"/>
                      <w:lang w:val="en-US" w:eastAsia="zh-CN"/>
                    </w:rPr>
                    <w:t>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lang w:val="en-US" w:eastAsia="zh-CN"/>
                    </w:rPr>
                    <w:t>的化粪池，用于处理办公生活污水。</w:t>
                  </w:r>
                </w:p>
              </w:tc>
              <w:tc>
                <w:tcPr>
                  <w:tcW w:w="509" w:type="pct"/>
                  <w:tcBorders>
                    <w:top w:val="single" w:color="auto" w:sz="4" w:space="0"/>
                    <w:left w:val="single" w:color="auto" w:sz="4" w:space="0"/>
                    <w:bottom w:val="single" w:color="auto" w:sz="4" w:space="0"/>
                    <w:right w:val="single" w:color="auto" w:sz="4" w:space="0"/>
                  </w:tcBorders>
                  <w:vAlign w:val="center"/>
                </w:tcPr>
                <w:p w14:paraId="2E9BCA2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696" w:type="pct"/>
                  <w:vMerge w:val="continue"/>
                  <w:tcBorders>
                    <w:left w:val="single" w:color="auto" w:sz="4" w:space="0"/>
                    <w:right w:val="single" w:color="auto" w:sz="4" w:space="0"/>
                  </w:tcBorders>
                  <w:vAlign w:val="center"/>
                </w:tcPr>
                <w:p w14:paraId="76D1E1A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lang w:val="en-US" w:eastAsia="zh-CN"/>
                    </w:rPr>
                  </w:pPr>
                </w:p>
              </w:tc>
            </w:tr>
            <w:tr w14:paraId="7CFA6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57" w:type="pct"/>
                  <w:vMerge w:val="continue"/>
                  <w:tcBorders>
                    <w:left w:val="single" w:color="auto" w:sz="4" w:space="0"/>
                    <w:right w:val="single" w:color="auto" w:sz="4" w:space="0"/>
                  </w:tcBorders>
                  <w:vAlign w:val="center"/>
                </w:tcPr>
                <w:p w14:paraId="12421EC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303" w:type="pct"/>
                  <w:vMerge w:val="continue"/>
                  <w:tcBorders>
                    <w:left w:val="single" w:color="auto" w:sz="4" w:space="0"/>
                    <w:right w:val="single" w:color="auto" w:sz="4" w:space="0"/>
                  </w:tcBorders>
                  <w:vAlign w:val="center"/>
                </w:tcPr>
                <w:p w14:paraId="4395620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eastAsia="zh-CN"/>
                    </w:rPr>
                  </w:pPr>
                </w:p>
              </w:tc>
              <w:tc>
                <w:tcPr>
                  <w:tcW w:w="1003" w:type="pct"/>
                  <w:tcBorders>
                    <w:left w:val="single" w:color="auto" w:sz="4" w:space="0"/>
                    <w:right w:val="single" w:color="auto" w:sz="4" w:space="0"/>
                  </w:tcBorders>
                  <w:vAlign w:val="center"/>
                </w:tcPr>
                <w:p w14:paraId="12D0E9BE">
                  <w:pPr>
                    <w:pStyle w:val="41"/>
                    <w:keepNext w:val="0"/>
                    <w:keepLines w:val="0"/>
                    <w:suppressLineNumbers w:val="0"/>
                    <w:spacing w:before="21" w:beforeAutospacing="0" w:after="0" w:afterAutospacing="0" w:line="240" w:lineRule="auto"/>
                    <w:ind w:left="109" w:leftChars="0" w:right="93" w:right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eastAsia="zh-CN"/>
                    </w:rPr>
                    <w:t>隔油池</w:t>
                  </w:r>
                </w:p>
              </w:tc>
              <w:tc>
                <w:tcPr>
                  <w:tcW w:w="2230" w:type="pct"/>
                  <w:tcBorders>
                    <w:top w:val="single" w:color="auto" w:sz="4" w:space="0"/>
                    <w:left w:val="single" w:color="auto" w:sz="4" w:space="0"/>
                    <w:bottom w:val="single" w:color="auto" w:sz="4" w:space="0"/>
                    <w:right w:val="single" w:color="auto" w:sz="4" w:space="0"/>
                  </w:tcBorders>
                  <w:vAlign w:val="center"/>
                </w:tcPr>
                <w:p w14:paraId="5B75B861">
                  <w:pPr>
                    <w:pStyle w:val="41"/>
                    <w:keepNext w:val="0"/>
                    <w:keepLines w:val="0"/>
                    <w:suppressLineNumbers w:val="0"/>
                    <w:spacing w:before="21" w:beforeAutospacing="0" w:after="0" w:afterAutospacing="0" w:line="240" w:lineRule="auto"/>
                    <w:ind w:left="105" w:leftChars="0" w:right="95" w:rightChars="0"/>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厂区内设置有1个容积</w:t>
                  </w:r>
                  <w:r>
                    <w:rPr>
                      <w:rFonts w:hint="eastAsia" w:cs="Times New Roman"/>
                      <w:color w:val="auto"/>
                      <w:sz w:val="21"/>
                      <w:lang w:val="en-US" w:eastAsia="zh-CN"/>
                    </w:rPr>
                    <w:t>4</w:t>
                  </w:r>
                  <w:r>
                    <w:rPr>
                      <w:rFonts w:hint="default" w:ascii="Times New Roman" w:hAnsi="Times New Roman" w:eastAsia="宋体" w:cs="Times New Roman"/>
                      <w:color w:val="auto"/>
                      <w:sz w:val="21"/>
                      <w:lang w:val="en-US" w:eastAsia="zh-CN"/>
                    </w:rPr>
                    <w:t>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lang w:val="en-US" w:eastAsia="zh-CN"/>
                    </w:rPr>
                    <w:t>的隔油池，处理食堂产生的含油废水。</w:t>
                  </w:r>
                </w:p>
              </w:tc>
              <w:tc>
                <w:tcPr>
                  <w:tcW w:w="509" w:type="pct"/>
                  <w:tcBorders>
                    <w:top w:val="single" w:color="auto" w:sz="4" w:space="0"/>
                    <w:left w:val="single" w:color="auto" w:sz="4" w:space="0"/>
                    <w:bottom w:val="single" w:color="auto" w:sz="4" w:space="0"/>
                    <w:right w:val="single" w:color="auto" w:sz="4" w:space="0"/>
                  </w:tcBorders>
                  <w:vAlign w:val="center"/>
                </w:tcPr>
                <w:p w14:paraId="68EE0C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696" w:type="pct"/>
                  <w:vMerge w:val="continue"/>
                  <w:tcBorders>
                    <w:left w:val="single" w:color="auto" w:sz="4" w:space="0"/>
                    <w:right w:val="single" w:color="auto" w:sz="4" w:space="0"/>
                  </w:tcBorders>
                  <w:vAlign w:val="center"/>
                </w:tcPr>
                <w:p w14:paraId="460F119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lang w:val="en-US" w:eastAsia="zh-CN"/>
                    </w:rPr>
                  </w:pPr>
                </w:p>
              </w:tc>
            </w:tr>
            <w:tr w14:paraId="079A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57" w:type="pct"/>
                  <w:vMerge w:val="continue"/>
                  <w:tcBorders>
                    <w:left w:val="single" w:color="auto" w:sz="4" w:space="0"/>
                    <w:right w:val="single" w:color="auto" w:sz="4" w:space="0"/>
                  </w:tcBorders>
                  <w:vAlign w:val="center"/>
                </w:tcPr>
                <w:p w14:paraId="19CC4E9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303" w:type="pct"/>
                  <w:vMerge w:val="continue"/>
                  <w:tcBorders>
                    <w:left w:val="single" w:color="auto" w:sz="4" w:space="0"/>
                    <w:right w:val="single" w:color="auto" w:sz="4" w:space="0"/>
                  </w:tcBorders>
                  <w:vAlign w:val="center"/>
                </w:tcPr>
                <w:p w14:paraId="1C35DC3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eastAsia="zh-CN"/>
                    </w:rPr>
                  </w:pPr>
                </w:p>
              </w:tc>
              <w:tc>
                <w:tcPr>
                  <w:tcW w:w="1003" w:type="pct"/>
                  <w:tcBorders>
                    <w:left w:val="single" w:color="auto" w:sz="4" w:space="0"/>
                    <w:right w:val="single" w:color="auto" w:sz="4" w:space="0"/>
                  </w:tcBorders>
                  <w:vAlign w:val="center"/>
                </w:tcPr>
                <w:p w14:paraId="1A66BA20">
                  <w:pPr>
                    <w:pStyle w:val="41"/>
                    <w:keepNext w:val="0"/>
                    <w:keepLines w:val="0"/>
                    <w:suppressLineNumbers w:val="0"/>
                    <w:spacing w:before="21" w:beforeAutospacing="0" w:after="0" w:afterAutospacing="0" w:line="240" w:lineRule="auto"/>
                    <w:ind w:left="109" w:leftChars="0" w:right="93" w:rightChars="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eastAsia="zh-CN"/>
                    </w:rPr>
                    <w:t>初期雨水收集池</w:t>
                  </w:r>
                </w:p>
              </w:tc>
              <w:tc>
                <w:tcPr>
                  <w:tcW w:w="2230" w:type="pct"/>
                  <w:tcBorders>
                    <w:top w:val="single" w:color="auto" w:sz="4" w:space="0"/>
                    <w:left w:val="single" w:color="auto" w:sz="4" w:space="0"/>
                    <w:bottom w:val="single" w:color="auto" w:sz="4" w:space="0"/>
                    <w:right w:val="single" w:color="auto" w:sz="4" w:space="0"/>
                  </w:tcBorders>
                  <w:vAlign w:val="center"/>
                </w:tcPr>
                <w:p w14:paraId="0C9DAF99">
                  <w:pPr>
                    <w:pStyle w:val="41"/>
                    <w:keepNext w:val="0"/>
                    <w:keepLines w:val="0"/>
                    <w:suppressLineNumbers w:val="0"/>
                    <w:spacing w:before="21" w:beforeAutospacing="0" w:after="0" w:afterAutospacing="0" w:line="240" w:lineRule="auto"/>
                    <w:ind w:left="105" w:leftChars="0" w:right="95" w:rightChars="0"/>
                    <w:jc w:val="center"/>
                    <w:rPr>
                      <w:rFonts w:hint="default" w:ascii="Times New Roman" w:hAnsi="Times New Roman" w:eastAsia="宋体" w:cs="Times New Roman"/>
                      <w:color w:val="auto"/>
                      <w:sz w:val="21"/>
                      <w:lang w:eastAsia="zh-CN"/>
                    </w:rPr>
                  </w:pPr>
                  <w:r>
                    <w:rPr>
                      <w:rFonts w:hint="eastAsia" w:ascii="Times New Roman" w:hAnsi="Times New Roman" w:eastAsia="宋体" w:cs="Times New Roman"/>
                      <w:color w:val="auto"/>
                      <w:sz w:val="21"/>
                      <w:lang w:val="en-US" w:eastAsia="zh-CN"/>
                    </w:rPr>
                    <w:t>厂区设置容积为</w:t>
                  </w:r>
                  <w:r>
                    <w:rPr>
                      <w:rFonts w:hint="default" w:ascii="Times New Roman" w:hAnsi="Times New Roman" w:eastAsia="宋体" w:cs="Times New Roman"/>
                      <w:color w:val="auto"/>
                      <w:sz w:val="21"/>
                    </w:rPr>
                    <w:t>972m</w:t>
                  </w:r>
                  <w:r>
                    <w:rPr>
                      <w:rFonts w:hint="default" w:ascii="Times New Roman" w:hAnsi="Times New Roman" w:eastAsia="宋体" w:cs="Times New Roman"/>
                      <w:color w:val="auto"/>
                      <w:sz w:val="21"/>
                      <w:vertAlign w:val="superscript"/>
                    </w:rPr>
                    <w:t>3</w:t>
                  </w:r>
                  <w:r>
                    <w:rPr>
                      <w:rFonts w:hint="eastAsia" w:ascii="Times New Roman" w:hAnsi="Times New Roman" w:eastAsia="宋体" w:cs="Times New Roman"/>
                      <w:color w:val="auto"/>
                      <w:sz w:val="21"/>
                      <w:lang w:val="en-US" w:eastAsia="zh-CN"/>
                    </w:rPr>
                    <w:t>的初期雨水收集池</w:t>
                  </w:r>
                  <w:r>
                    <w:rPr>
                      <w:rFonts w:hint="eastAsia" w:cs="Times New Roman"/>
                      <w:color w:val="auto"/>
                      <w:sz w:val="21"/>
                      <w:lang w:val="en-US" w:eastAsia="zh-CN"/>
                    </w:rPr>
                    <w:t>。</w:t>
                  </w:r>
                </w:p>
              </w:tc>
              <w:tc>
                <w:tcPr>
                  <w:tcW w:w="509" w:type="pct"/>
                  <w:tcBorders>
                    <w:top w:val="single" w:color="auto" w:sz="4" w:space="0"/>
                    <w:left w:val="single" w:color="auto" w:sz="4" w:space="0"/>
                    <w:bottom w:val="single" w:color="auto" w:sz="4" w:space="0"/>
                    <w:right w:val="single" w:color="auto" w:sz="4" w:space="0"/>
                  </w:tcBorders>
                  <w:vAlign w:val="center"/>
                </w:tcPr>
                <w:p w14:paraId="2EE834E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696" w:type="pct"/>
                  <w:vMerge w:val="continue"/>
                  <w:tcBorders>
                    <w:left w:val="single" w:color="auto" w:sz="4" w:space="0"/>
                    <w:bottom w:val="single" w:color="auto" w:sz="4" w:space="0"/>
                    <w:right w:val="single" w:color="auto" w:sz="4" w:space="0"/>
                  </w:tcBorders>
                  <w:vAlign w:val="center"/>
                </w:tcPr>
                <w:p w14:paraId="6608B5C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lang w:val="en-US" w:eastAsia="zh-CN"/>
                    </w:rPr>
                  </w:pPr>
                </w:p>
              </w:tc>
            </w:tr>
            <w:tr w14:paraId="6BAD3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57" w:type="pct"/>
                  <w:vMerge w:val="restart"/>
                  <w:tcBorders>
                    <w:top w:val="single" w:color="auto" w:sz="4" w:space="0"/>
                    <w:left w:val="single" w:color="auto" w:sz="4" w:space="0"/>
                    <w:right w:val="single" w:color="auto" w:sz="4" w:space="0"/>
                  </w:tcBorders>
                  <w:vAlign w:val="center"/>
                </w:tcPr>
                <w:p w14:paraId="6C8FC0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303" w:type="pct"/>
                  <w:vMerge w:val="restart"/>
                  <w:tcBorders>
                    <w:top w:val="single" w:color="auto" w:sz="4" w:space="0"/>
                    <w:left w:val="single" w:color="auto" w:sz="4" w:space="0"/>
                    <w:right w:val="single" w:color="auto" w:sz="4" w:space="0"/>
                  </w:tcBorders>
                  <w:vAlign w:val="center"/>
                </w:tcPr>
                <w:p w14:paraId="647ECC3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固废</w:t>
                  </w:r>
                  <w:r>
                    <w:rPr>
                      <w:rFonts w:hint="eastAsia" w:ascii="Times New Roman" w:hAnsi="Times New Roman" w:eastAsia="宋体" w:cs="Times New Roman"/>
                      <w:color w:val="auto"/>
                      <w:lang w:eastAsia="zh-CN"/>
                    </w:rPr>
                    <w:t>处置措施</w:t>
                  </w:r>
                </w:p>
              </w:tc>
              <w:tc>
                <w:tcPr>
                  <w:tcW w:w="1003" w:type="pct"/>
                  <w:tcBorders>
                    <w:top w:val="single" w:color="auto" w:sz="4" w:space="0"/>
                    <w:left w:val="single" w:color="auto" w:sz="4" w:space="0"/>
                    <w:right w:val="single" w:color="auto" w:sz="4" w:space="0"/>
                  </w:tcBorders>
                  <w:vAlign w:val="center"/>
                </w:tcPr>
                <w:p w14:paraId="465999AA">
                  <w:pPr>
                    <w:pStyle w:val="41"/>
                    <w:keepNext w:val="0"/>
                    <w:keepLines w:val="0"/>
                    <w:pageBreakBefore w:val="0"/>
                    <w:widowControl w:val="0"/>
                    <w:suppressLineNumbers w:val="0"/>
                    <w:kinsoku/>
                    <w:wordWrap/>
                    <w:overflowPunct/>
                    <w:topLinePunct w:val="0"/>
                    <w:autoSpaceDE/>
                    <w:autoSpaceDN/>
                    <w:bidi w:val="0"/>
                    <w:adjustRightInd/>
                    <w:snapToGrid/>
                    <w:spacing w:before="20" w:beforeAutospacing="0" w:after="0" w:afterAutospacing="0" w:line="240" w:lineRule="auto"/>
                    <w:ind w:left="109" w:leftChars="0" w:right="0" w:rightChars="0"/>
                    <w:jc w:val="center"/>
                    <w:textAlignment w:val="auto"/>
                    <w:rPr>
                      <w:rFonts w:hint="default" w:ascii="Times New Roman" w:hAnsi="Times New Roman" w:eastAsia="宋体" w:cs="Times New Roman"/>
                      <w:color w:val="auto"/>
                      <w:sz w:val="21"/>
                      <w:lang w:eastAsia="zh-CN"/>
                    </w:rPr>
                  </w:pPr>
                  <w:r>
                    <w:rPr>
                      <w:rFonts w:hint="eastAsia" w:cs="Times New Roman"/>
                      <w:color w:val="auto"/>
                      <w:sz w:val="21"/>
                      <w:lang w:eastAsia="zh-CN"/>
                    </w:rPr>
                    <w:t>多个生活垃圾桶</w:t>
                  </w:r>
                </w:p>
              </w:tc>
              <w:tc>
                <w:tcPr>
                  <w:tcW w:w="2230" w:type="pct"/>
                  <w:tcBorders>
                    <w:top w:val="single" w:color="auto" w:sz="4" w:space="0"/>
                    <w:left w:val="single" w:color="auto" w:sz="4" w:space="0"/>
                    <w:right w:val="single" w:color="auto" w:sz="4" w:space="0"/>
                  </w:tcBorders>
                  <w:vAlign w:val="center"/>
                </w:tcPr>
                <w:p w14:paraId="60965009">
                  <w:pPr>
                    <w:pStyle w:val="41"/>
                    <w:keepNext w:val="0"/>
                    <w:keepLines w:val="0"/>
                    <w:suppressLineNumbers w:val="0"/>
                    <w:spacing w:before="21" w:beforeAutospacing="0" w:after="0" w:afterAutospacing="0" w:line="240" w:lineRule="auto"/>
                    <w:ind w:left="105" w:leftChars="0" w:right="95" w:rightChars="0"/>
                    <w:jc w:val="center"/>
                    <w:rPr>
                      <w:rFonts w:hint="default" w:ascii="Times New Roman" w:hAnsi="Times New Roman" w:eastAsia="宋体" w:cs="Times New Roman"/>
                      <w:color w:val="auto"/>
                      <w:sz w:val="21"/>
                      <w:lang w:eastAsia="zh-CN"/>
                    </w:rPr>
                  </w:pPr>
                  <w:r>
                    <w:rPr>
                      <w:rFonts w:hint="eastAsia" w:cs="Times New Roman"/>
                      <w:color w:val="auto"/>
                      <w:sz w:val="21"/>
                      <w:lang w:eastAsia="zh-CN"/>
                    </w:rPr>
                    <w:t>厂区内设置多个生活垃圾桶，用于收集产生的生活垃圾。</w:t>
                  </w:r>
                </w:p>
              </w:tc>
              <w:tc>
                <w:tcPr>
                  <w:tcW w:w="509" w:type="pct"/>
                  <w:tcBorders>
                    <w:top w:val="single" w:color="auto" w:sz="4" w:space="0"/>
                    <w:left w:val="single" w:color="auto" w:sz="4" w:space="0"/>
                    <w:right w:val="single" w:color="auto" w:sz="4" w:space="0"/>
                  </w:tcBorders>
                  <w:vAlign w:val="center"/>
                </w:tcPr>
                <w:p w14:paraId="33C9A23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696" w:type="pct"/>
                  <w:tcBorders>
                    <w:top w:val="single" w:color="auto" w:sz="4" w:space="0"/>
                    <w:left w:val="single" w:color="auto" w:sz="4" w:space="0"/>
                    <w:right w:val="single" w:color="auto" w:sz="4" w:space="0"/>
                  </w:tcBorders>
                  <w:vAlign w:val="center"/>
                </w:tcPr>
                <w:p w14:paraId="4804BE0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原项目已建成，纳入原项目环保投资</w:t>
                  </w:r>
                </w:p>
              </w:tc>
            </w:tr>
            <w:tr w14:paraId="6907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57" w:type="pct"/>
                  <w:vMerge w:val="continue"/>
                  <w:tcBorders>
                    <w:left w:val="single" w:color="auto" w:sz="4" w:space="0"/>
                    <w:right w:val="single" w:color="auto" w:sz="4" w:space="0"/>
                  </w:tcBorders>
                  <w:vAlign w:val="center"/>
                </w:tcPr>
                <w:p w14:paraId="5916B80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p>
              </w:tc>
              <w:tc>
                <w:tcPr>
                  <w:tcW w:w="303" w:type="pct"/>
                  <w:vMerge w:val="continue"/>
                  <w:tcBorders>
                    <w:left w:val="single" w:color="auto" w:sz="4" w:space="0"/>
                    <w:right w:val="single" w:color="auto" w:sz="4" w:space="0"/>
                  </w:tcBorders>
                  <w:vAlign w:val="center"/>
                </w:tcPr>
                <w:p w14:paraId="2590A3F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lang w:eastAsia="zh-CN"/>
                    </w:rPr>
                  </w:pPr>
                </w:p>
              </w:tc>
              <w:tc>
                <w:tcPr>
                  <w:tcW w:w="1003" w:type="pct"/>
                  <w:tcBorders>
                    <w:top w:val="single" w:color="auto" w:sz="4" w:space="0"/>
                    <w:left w:val="single" w:color="auto" w:sz="4" w:space="0"/>
                    <w:right w:val="single" w:color="auto" w:sz="4" w:space="0"/>
                  </w:tcBorders>
                  <w:vAlign w:val="center"/>
                </w:tcPr>
                <w:p w14:paraId="0675EC13">
                  <w:pPr>
                    <w:pStyle w:val="41"/>
                    <w:keepNext w:val="0"/>
                    <w:keepLines w:val="0"/>
                    <w:pageBreakBefore w:val="0"/>
                    <w:widowControl w:val="0"/>
                    <w:suppressLineNumbers w:val="0"/>
                    <w:kinsoku/>
                    <w:wordWrap/>
                    <w:overflowPunct/>
                    <w:topLinePunct w:val="0"/>
                    <w:autoSpaceDE/>
                    <w:autoSpaceDN/>
                    <w:bidi w:val="0"/>
                    <w:adjustRightInd/>
                    <w:snapToGrid/>
                    <w:spacing w:before="20" w:beforeAutospacing="0" w:after="0" w:afterAutospacing="0" w:line="240" w:lineRule="auto"/>
                    <w:ind w:left="109" w:leftChars="0" w:right="0" w:right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lang w:eastAsia="zh-CN"/>
                    </w:rPr>
                    <w:t>一般固废</w:t>
                  </w:r>
                  <w:r>
                    <w:rPr>
                      <w:rFonts w:hint="eastAsia" w:cs="Times New Roman"/>
                      <w:color w:val="auto"/>
                      <w:sz w:val="21"/>
                      <w:lang w:val="en-US" w:eastAsia="zh-CN"/>
                    </w:rPr>
                    <w:t>站</w:t>
                  </w:r>
                </w:p>
              </w:tc>
              <w:tc>
                <w:tcPr>
                  <w:tcW w:w="2230" w:type="pct"/>
                  <w:tcBorders>
                    <w:top w:val="single" w:color="auto" w:sz="4" w:space="0"/>
                    <w:left w:val="single" w:color="auto" w:sz="4" w:space="0"/>
                    <w:right w:val="single" w:color="auto" w:sz="4" w:space="0"/>
                  </w:tcBorders>
                  <w:vAlign w:val="center"/>
                </w:tcPr>
                <w:p w14:paraId="6A0F9954">
                  <w:pPr>
                    <w:pStyle w:val="41"/>
                    <w:keepNext w:val="0"/>
                    <w:keepLines w:val="0"/>
                    <w:suppressLineNumbers w:val="0"/>
                    <w:spacing w:before="21" w:beforeAutospacing="0" w:after="0" w:afterAutospacing="0" w:line="240" w:lineRule="auto"/>
                    <w:ind w:left="105" w:leftChars="0" w:right="95" w:rightChars="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lang w:eastAsia="zh-CN"/>
                    </w:rPr>
                    <w:t>厂区内已建成</w:t>
                  </w:r>
                  <w:r>
                    <w:rPr>
                      <w:rFonts w:hint="default" w:ascii="Times New Roman" w:hAnsi="Times New Roman" w:eastAsia="宋体" w:cs="Times New Roman"/>
                      <w:color w:val="auto"/>
                      <w:sz w:val="21"/>
                    </w:rPr>
                    <w:t>135m</w:t>
                  </w:r>
                  <w:r>
                    <w:rPr>
                      <w:rFonts w:hint="default" w:ascii="Times New Roman" w:hAnsi="Times New Roman" w:eastAsia="宋体" w:cs="Times New Roman"/>
                      <w:color w:val="auto"/>
                      <w:sz w:val="21"/>
                      <w:vertAlign w:val="superscript"/>
                    </w:rPr>
                    <w:t>2</w:t>
                  </w:r>
                  <w:r>
                    <w:rPr>
                      <w:rFonts w:hint="default" w:ascii="Times New Roman" w:hAnsi="Times New Roman" w:eastAsia="宋体" w:cs="Times New Roman"/>
                      <w:color w:val="auto"/>
                      <w:sz w:val="21"/>
                      <w:lang w:eastAsia="zh-CN"/>
                    </w:rPr>
                    <w:t>的一般固废</w:t>
                  </w:r>
                  <w:r>
                    <w:rPr>
                      <w:rFonts w:hint="eastAsia" w:cs="Times New Roman"/>
                      <w:color w:val="auto"/>
                      <w:sz w:val="21"/>
                      <w:lang w:val="en-US" w:eastAsia="zh-CN"/>
                    </w:rPr>
                    <w:t>站</w:t>
                  </w:r>
                  <w:r>
                    <w:rPr>
                      <w:rFonts w:hint="default" w:ascii="Times New Roman" w:hAnsi="Times New Roman" w:eastAsia="宋体" w:cs="Times New Roman"/>
                      <w:color w:val="auto"/>
                      <w:sz w:val="21"/>
                    </w:rPr>
                    <w:t>，独立彩钢板厂房，主要贮存生产中</w:t>
                  </w:r>
                  <w:r>
                    <w:rPr>
                      <w:rFonts w:hint="default" w:ascii="Times New Roman" w:hAnsi="Times New Roman" w:eastAsia="宋体" w:cs="Times New Roman"/>
                      <w:color w:val="auto"/>
                      <w:sz w:val="21"/>
                      <w:lang w:eastAsia="zh-CN"/>
                    </w:rPr>
                    <w:t>废包装材料、包装桶</w:t>
                  </w:r>
                  <w:r>
                    <w:rPr>
                      <w:rFonts w:hint="default" w:ascii="Times New Roman" w:hAnsi="Times New Roman" w:eastAsia="宋体" w:cs="Times New Roman"/>
                      <w:color w:val="auto"/>
                      <w:sz w:val="21"/>
                    </w:rPr>
                    <w:t>等</w:t>
                  </w:r>
                  <w:r>
                    <w:rPr>
                      <w:rFonts w:hint="default" w:ascii="Times New Roman" w:hAnsi="Times New Roman" w:eastAsia="宋体" w:cs="Times New Roman"/>
                      <w:color w:val="auto"/>
                      <w:sz w:val="21"/>
                      <w:lang w:eastAsia="zh-CN"/>
                    </w:rPr>
                    <w:t>一般固体废物</w:t>
                  </w:r>
                  <w:r>
                    <w:rPr>
                      <w:rFonts w:hint="default" w:ascii="Times New Roman" w:hAnsi="Times New Roman" w:eastAsia="宋体" w:cs="Times New Roman"/>
                      <w:color w:val="auto"/>
                      <w:sz w:val="21"/>
                    </w:rPr>
                    <w:t>。</w:t>
                  </w:r>
                </w:p>
              </w:tc>
              <w:tc>
                <w:tcPr>
                  <w:tcW w:w="509" w:type="pct"/>
                  <w:tcBorders>
                    <w:top w:val="single" w:color="auto" w:sz="4" w:space="0"/>
                    <w:left w:val="single" w:color="auto" w:sz="4" w:space="0"/>
                    <w:right w:val="single" w:color="auto" w:sz="4" w:space="0"/>
                  </w:tcBorders>
                  <w:vAlign w:val="center"/>
                </w:tcPr>
                <w:p w14:paraId="74C7992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w:t>
                  </w:r>
                </w:p>
              </w:tc>
              <w:tc>
                <w:tcPr>
                  <w:tcW w:w="696" w:type="pct"/>
                  <w:tcBorders>
                    <w:top w:val="single" w:color="auto" w:sz="4" w:space="0"/>
                    <w:left w:val="single" w:color="auto" w:sz="4" w:space="0"/>
                    <w:right w:val="single" w:color="auto" w:sz="4" w:space="0"/>
                  </w:tcBorders>
                  <w:vAlign w:val="center"/>
                </w:tcPr>
                <w:p w14:paraId="05AD090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原项目已建成，纳入原项目环保投资</w:t>
                  </w:r>
                </w:p>
              </w:tc>
            </w:tr>
            <w:tr w14:paraId="12EEC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7" w:type="pct"/>
                  <w:vMerge w:val="continue"/>
                  <w:tcBorders>
                    <w:left w:val="single" w:color="auto" w:sz="4" w:space="0"/>
                    <w:right w:val="single" w:color="auto" w:sz="4" w:space="0"/>
                  </w:tcBorders>
                  <w:vAlign w:val="center"/>
                </w:tcPr>
                <w:p w14:paraId="3D00F1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p>
              </w:tc>
              <w:tc>
                <w:tcPr>
                  <w:tcW w:w="303" w:type="pct"/>
                  <w:vMerge w:val="continue"/>
                  <w:tcBorders>
                    <w:left w:val="single" w:color="auto" w:sz="4" w:space="0"/>
                    <w:right w:val="single" w:color="auto" w:sz="4" w:space="0"/>
                  </w:tcBorders>
                  <w:vAlign w:val="center"/>
                </w:tcPr>
                <w:p w14:paraId="1B7CFA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p>
              </w:tc>
              <w:tc>
                <w:tcPr>
                  <w:tcW w:w="1003" w:type="pct"/>
                  <w:tcBorders>
                    <w:left w:val="single" w:color="auto" w:sz="4" w:space="0"/>
                    <w:right w:val="single" w:color="auto" w:sz="4" w:space="0"/>
                  </w:tcBorders>
                  <w:vAlign w:val="center"/>
                </w:tcPr>
                <w:p w14:paraId="3548E991">
                  <w:pPr>
                    <w:pStyle w:val="41"/>
                    <w:keepNext w:val="0"/>
                    <w:keepLines w:val="0"/>
                    <w:pageBreakBefore w:val="0"/>
                    <w:widowControl w:val="0"/>
                    <w:suppressLineNumbers w:val="0"/>
                    <w:kinsoku/>
                    <w:wordWrap/>
                    <w:overflowPunct/>
                    <w:topLinePunct w:val="0"/>
                    <w:autoSpaceDE/>
                    <w:autoSpaceDN/>
                    <w:bidi w:val="0"/>
                    <w:adjustRightInd/>
                    <w:snapToGrid/>
                    <w:spacing w:before="20" w:beforeAutospacing="0" w:after="0" w:afterAutospacing="0" w:line="240" w:lineRule="auto"/>
                    <w:ind w:left="109" w:leftChars="0" w:right="0" w:right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lang w:eastAsia="zh-CN"/>
                    </w:rPr>
                    <w:t>危废暂存间</w:t>
                  </w:r>
                </w:p>
              </w:tc>
              <w:tc>
                <w:tcPr>
                  <w:tcW w:w="2230" w:type="pct"/>
                  <w:tcBorders>
                    <w:top w:val="single" w:color="auto" w:sz="4" w:space="0"/>
                    <w:left w:val="single" w:color="auto" w:sz="4" w:space="0"/>
                    <w:bottom w:val="single" w:color="auto" w:sz="4" w:space="0"/>
                    <w:right w:val="single" w:color="auto" w:sz="4" w:space="0"/>
                  </w:tcBorders>
                  <w:vAlign w:val="center"/>
                </w:tcPr>
                <w:p w14:paraId="52190954">
                  <w:pPr>
                    <w:pStyle w:val="41"/>
                    <w:keepNext w:val="0"/>
                    <w:keepLines w:val="0"/>
                    <w:suppressLineNumbers w:val="0"/>
                    <w:spacing w:before="21" w:beforeAutospacing="0" w:after="0" w:afterAutospacing="0" w:line="240" w:lineRule="auto"/>
                    <w:ind w:left="105" w:leftChars="0" w:right="95" w:rightChars="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lang w:val="en-US" w:eastAsia="zh-CN"/>
                    </w:rPr>
                    <w:t>本次扩建，拟在甲类仓库内隔出1间面积为15</w:t>
                  </w:r>
                  <w:r>
                    <w:rPr>
                      <w:rFonts w:hint="default" w:ascii="Times New Roman" w:hAnsi="Times New Roman" w:eastAsia="宋体" w:cs="Times New Roman"/>
                      <w:color w:val="auto"/>
                      <w:sz w:val="21"/>
                    </w:rPr>
                    <w:t>m</w:t>
                  </w:r>
                  <w:r>
                    <w:rPr>
                      <w:rFonts w:hint="default" w:ascii="Times New Roman" w:hAnsi="Times New Roman" w:eastAsia="宋体" w:cs="Times New Roman"/>
                      <w:color w:val="auto"/>
                      <w:sz w:val="21"/>
                      <w:vertAlign w:val="superscript"/>
                    </w:rPr>
                    <w:t>2</w:t>
                  </w:r>
                  <w:r>
                    <w:rPr>
                      <w:rFonts w:hint="default" w:ascii="Times New Roman" w:hAnsi="Times New Roman" w:eastAsia="宋体" w:cs="Times New Roman"/>
                      <w:color w:val="auto"/>
                      <w:sz w:val="21"/>
                      <w:lang w:val="en-US" w:eastAsia="zh-CN"/>
                    </w:rPr>
                    <w:t>的危险废物暂存间，用于暂存废机油、润滑油等危险废物，危废间严格按照《危险废物贮存污染控制标准》（GB18597-2001）及其修改单要求中相关要求规范设置。</w:t>
                  </w:r>
                </w:p>
              </w:tc>
              <w:tc>
                <w:tcPr>
                  <w:tcW w:w="509" w:type="pct"/>
                  <w:tcBorders>
                    <w:top w:val="single" w:color="auto" w:sz="4" w:space="0"/>
                    <w:left w:val="single" w:color="auto" w:sz="4" w:space="0"/>
                    <w:bottom w:val="single" w:color="auto" w:sz="4" w:space="0"/>
                    <w:right w:val="single" w:color="auto" w:sz="4" w:space="0"/>
                  </w:tcBorders>
                  <w:vAlign w:val="center"/>
                </w:tcPr>
                <w:p w14:paraId="4CE2281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696" w:type="pct"/>
                  <w:tcBorders>
                    <w:top w:val="single" w:color="auto" w:sz="4" w:space="0"/>
                    <w:left w:val="single" w:color="auto" w:sz="4" w:space="0"/>
                    <w:bottom w:val="single" w:color="auto" w:sz="4" w:space="0"/>
                    <w:right w:val="single" w:color="auto" w:sz="4" w:space="0"/>
                  </w:tcBorders>
                  <w:vAlign w:val="center"/>
                </w:tcPr>
                <w:p w14:paraId="70ED816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新建</w:t>
                  </w:r>
                </w:p>
              </w:tc>
            </w:tr>
            <w:tr w14:paraId="6EAB0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57" w:type="pct"/>
                  <w:tcBorders>
                    <w:left w:val="single" w:color="auto" w:sz="4" w:space="0"/>
                    <w:right w:val="single" w:color="auto" w:sz="4" w:space="0"/>
                  </w:tcBorders>
                  <w:vAlign w:val="center"/>
                </w:tcPr>
                <w:p w14:paraId="670D9EF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1306" w:type="pct"/>
                  <w:gridSpan w:val="2"/>
                  <w:tcBorders>
                    <w:left w:val="single" w:color="auto" w:sz="4" w:space="0"/>
                    <w:right w:val="single" w:color="auto" w:sz="4" w:space="0"/>
                  </w:tcBorders>
                  <w:vAlign w:val="center"/>
                </w:tcPr>
                <w:p w14:paraId="7B71529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噪声</w:t>
                  </w:r>
                </w:p>
              </w:tc>
              <w:tc>
                <w:tcPr>
                  <w:tcW w:w="2230" w:type="pct"/>
                  <w:tcBorders>
                    <w:top w:val="single" w:color="auto" w:sz="4" w:space="0"/>
                    <w:left w:val="single" w:color="auto" w:sz="4" w:space="0"/>
                    <w:bottom w:val="single" w:color="auto" w:sz="4" w:space="0"/>
                    <w:right w:val="single" w:color="auto" w:sz="4" w:space="0"/>
                  </w:tcBorders>
                  <w:vAlign w:val="center"/>
                </w:tcPr>
                <w:p w14:paraId="7FA2EEB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合理布局、厂房隔声</w:t>
                  </w:r>
                </w:p>
              </w:tc>
              <w:tc>
                <w:tcPr>
                  <w:tcW w:w="509" w:type="pct"/>
                  <w:tcBorders>
                    <w:top w:val="single" w:color="auto" w:sz="4" w:space="0"/>
                    <w:left w:val="single" w:color="auto" w:sz="4" w:space="0"/>
                    <w:bottom w:val="single" w:color="auto" w:sz="4" w:space="0"/>
                    <w:right w:val="single" w:color="auto" w:sz="4" w:space="0"/>
                  </w:tcBorders>
                  <w:vAlign w:val="center"/>
                </w:tcPr>
                <w:p w14:paraId="3C1935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696" w:type="pct"/>
                  <w:tcBorders>
                    <w:top w:val="single" w:color="auto" w:sz="4" w:space="0"/>
                    <w:left w:val="single" w:color="auto" w:sz="4" w:space="0"/>
                    <w:bottom w:val="single" w:color="auto" w:sz="4" w:space="0"/>
                    <w:right w:val="single" w:color="auto" w:sz="4" w:space="0"/>
                  </w:tcBorders>
                  <w:vAlign w:val="center"/>
                </w:tcPr>
                <w:p w14:paraId="142043A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原项目已建成</w:t>
                  </w:r>
                </w:p>
              </w:tc>
            </w:tr>
            <w:tr w14:paraId="5FC5B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57" w:type="pct"/>
                  <w:tcBorders>
                    <w:left w:val="single" w:color="auto" w:sz="4" w:space="0"/>
                    <w:right w:val="single" w:color="auto" w:sz="4" w:space="0"/>
                  </w:tcBorders>
                  <w:vAlign w:val="center"/>
                </w:tcPr>
                <w:p w14:paraId="117B208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w:t>
                  </w:r>
                </w:p>
              </w:tc>
              <w:tc>
                <w:tcPr>
                  <w:tcW w:w="3537" w:type="pct"/>
                  <w:gridSpan w:val="3"/>
                  <w:tcBorders>
                    <w:left w:val="single" w:color="auto" w:sz="4" w:space="0"/>
                    <w:right w:val="single" w:color="auto" w:sz="4" w:space="0"/>
                  </w:tcBorders>
                  <w:vAlign w:val="center"/>
                </w:tcPr>
                <w:p w14:paraId="1F45D8D1">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合计</w:t>
                  </w:r>
                </w:p>
              </w:tc>
              <w:tc>
                <w:tcPr>
                  <w:tcW w:w="509" w:type="pct"/>
                  <w:tcBorders>
                    <w:top w:val="single" w:color="auto" w:sz="4" w:space="0"/>
                    <w:left w:val="single" w:color="auto" w:sz="4" w:space="0"/>
                    <w:bottom w:val="single" w:color="auto" w:sz="4" w:space="0"/>
                    <w:right w:val="single" w:color="auto" w:sz="4" w:space="0"/>
                  </w:tcBorders>
                  <w:vAlign w:val="center"/>
                </w:tcPr>
                <w:p w14:paraId="6EE7D62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32</w:t>
                  </w:r>
                </w:p>
              </w:tc>
              <w:tc>
                <w:tcPr>
                  <w:tcW w:w="696" w:type="pct"/>
                  <w:tcBorders>
                    <w:top w:val="single" w:color="auto" w:sz="4" w:space="0"/>
                    <w:left w:val="single" w:color="auto" w:sz="4" w:space="0"/>
                    <w:bottom w:val="single" w:color="auto" w:sz="4" w:space="0"/>
                    <w:right w:val="single" w:color="auto" w:sz="4" w:space="0"/>
                  </w:tcBorders>
                  <w:vAlign w:val="center"/>
                </w:tcPr>
                <w:p w14:paraId="25B22C2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p>
              </w:tc>
            </w:tr>
            <w:bookmarkEnd w:id="6"/>
            <w:bookmarkEnd w:id="7"/>
            <w:bookmarkEnd w:id="8"/>
          </w:tbl>
          <w:p w14:paraId="7890D3D2">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spacing w:val="0"/>
                <w:w w:val="100"/>
                <w:position w:val="0"/>
                <w:sz w:val="24"/>
                <w:szCs w:val="24"/>
                <w:highlight w:val="none"/>
                <w:lang w:val="en-US" w:eastAsia="zh-CN"/>
              </w:rPr>
            </w:pPr>
            <w:r>
              <w:rPr>
                <w:rFonts w:hint="default" w:ascii="Times New Roman" w:hAnsi="Times New Roman" w:eastAsia="宋体" w:cs="Times New Roman"/>
                <w:b/>
                <w:bCs/>
                <w:color w:val="auto"/>
                <w:spacing w:val="0"/>
                <w:w w:val="100"/>
                <w:position w:val="0"/>
                <w:sz w:val="24"/>
                <w:szCs w:val="24"/>
                <w:highlight w:val="none"/>
                <w:lang w:val="en-US" w:eastAsia="zh-CN"/>
              </w:rPr>
              <w:t>14、物料平衡</w:t>
            </w:r>
          </w:p>
          <w:p w14:paraId="6CCEE01D">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w:t>
            </w:r>
            <w:r>
              <w:rPr>
                <w:rFonts w:hint="eastAsia" w:ascii="Times New Roman" w:hAnsi="Times New Roman" w:eastAsia="宋体" w:cs="Times New Roman"/>
                <w:color w:val="auto"/>
                <w:sz w:val="24"/>
                <w:szCs w:val="24"/>
                <w:lang w:val="en-US" w:eastAsia="zh-CN"/>
              </w:rPr>
              <w:t>扩建完成后，</w:t>
            </w:r>
            <w:r>
              <w:rPr>
                <w:rFonts w:hint="default" w:ascii="Times New Roman" w:hAnsi="Times New Roman" w:eastAsia="宋体" w:cs="Times New Roman"/>
                <w:color w:val="auto"/>
                <w:sz w:val="24"/>
                <w:szCs w:val="24"/>
                <w:lang w:val="en-US" w:eastAsia="zh-CN"/>
              </w:rPr>
              <w:t>全厂生产腻子粉产品120000吨/年，水性涂料100000吨/年。本项目的产品为水性涂料和腻子粉两个系统，水性涂料分为乳胶漆系列和砂壁系列，水性涂料的生产过程均是将原料、溶剂（水）和助剂通过混合、搅拌过程通过调整不同原料配方和物料比例，生产出不同的产品；腻子粉生产线则是将原料进行干式搅拌混合后，成为产品；全厂</w:t>
            </w:r>
            <w:r>
              <w:rPr>
                <w:rFonts w:hint="eastAsia" w:ascii="Times New Roman" w:hAnsi="Times New Roman" w:eastAsia="宋体" w:cs="Times New Roman"/>
                <w:color w:val="auto"/>
                <w:sz w:val="24"/>
                <w:szCs w:val="24"/>
                <w:lang w:val="en-US" w:eastAsia="zh-CN"/>
              </w:rPr>
              <w:t>有</w:t>
            </w:r>
            <w:r>
              <w:rPr>
                <w:rFonts w:hint="default" w:ascii="Times New Roman" w:hAnsi="Times New Roman" w:eastAsia="宋体" w:cs="Times New Roman"/>
                <w:color w:val="auto"/>
                <w:sz w:val="24"/>
                <w:szCs w:val="24"/>
                <w:lang w:val="en-US" w:eastAsia="zh-CN"/>
              </w:rPr>
              <w:t>2条乳胶漆生产线，</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条砂壁生产线</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2条腻子粉生产线</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物料平衡情况见表2-12、2-13。</w:t>
            </w:r>
          </w:p>
          <w:p w14:paraId="0A37AAE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12</w:t>
            </w:r>
            <w:r>
              <w:rPr>
                <w:rFonts w:hint="default" w:ascii="Times New Roman" w:hAnsi="Times New Roman" w:eastAsia="宋体" w:cs="Times New Roman"/>
                <w:b/>
                <w:bCs/>
                <w:color w:val="auto"/>
                <w:sz w:val="21"/>
                <w:szCs w:val="21"/>
                <w:lang w:val="en-US" w:eastAsia="zh-CN"/>
              </w:rPr>
              <w:t xml:space="preserve">  </w:t>
            </w:r>
            <w:r>
              <w:rPr>
                <w:rFonts w:hint="eastAsia" w:cs="Times New Roman"/>
                <w:b/>
                <w:bCs/>
                <w:color w:val="auto"/>
                <w:sz w:val="21"/>
                <w:szCs w:val="21"/>
                <w:lang w:val="en-US" w:eastAsia="zh-CN"/>
              </w:rPr>
              <w:t>水性</w:t>
            </w:r>
            <w:r>
              <w:rPr>
                <w:rFonts w:hint="default" w:ascii="Times New Roman" w:hAnsi="Times New Roman" w:eastAsia="宋体" w:cs="Times New Roman"/>
                <w:b/>
                <w:bCs/>
                <w:color w:val="auto"/>
                <w:sz w:val="21"/>
                <w:szCs w:val="21"/>
              </w:rPr>
              <w:t>涂料生产过程中的物料平衡表</w:t>
            </w:r>
          </w:p>
          <w:tbl>
            <w:tblPr>
              <w:tblStyle w:val="28"/>
              <w:tblW w:w="838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56"/>
              <w:gridCol w:w="1156"/>
              <w:gridCol w:w="1156"/>
              <w:gridCol w:w="1303"/>
              <w:gridCol w:w="1156"/>
              <w:gridCol w:w="1156"/>
              <w:gridCol w:w="1303"/>
            </w:tblGrid>
            <w:tr w14:paraId="76B81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794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生产线</w:t>
                  </w:r>
                </w:p>
              </w:tc>
              <w:tc>
                <w:tcPr>
                  <w:tcW w:w="21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9999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投入</w:t>
                  </w:r>
                </w:p>
              </w:tc>
              <w:tc>
                <w:tcPr>
                  <w:tcW w:w="215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BBE5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w:t>
                  </w:r>
                </w:p>
              </w:tc>
            </w:tr>
            <w:tr w14:paraId="26C40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13C8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85C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CAC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物料名称</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42B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FA5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572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物料名称</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320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r>
            <w:tr w14:paraId="488CA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F682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乳胶漆生产</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085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C1E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金红石钛白粉</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0DD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3802.5</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70A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4DF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水性乳胶漆产品</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110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75000</w:t>
                  </w:r>
                </w:p>
              </w:tc>
            </w:tr>
            <w:tr w14:paraId="794E6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4E18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1B3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BC0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重质碳酸钙</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F36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24435.47</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FD6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1AF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砂壁涂料</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242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25000</w:t>
                  </w:r>
                </w:p>
              </w:tc>
            </w:tr>
            <w:tr w14:paraId="3D138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94C0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3A6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5C8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高岭土</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524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7608.055</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DF3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4F9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有组织排放粉尘</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A72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0.018</w:t>
                  </w:r>
                </w:p>
              </w:tc>
            </w:tr>
            <w:tr w14:paraId="76384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18AD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7B5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97F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醋丙乳液</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80E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2936.25</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C4B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1FB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无组织排放粉尘</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6E0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2.66</w:t>
                  </w:r>
                </w:p>
              </w:tc>
            </w:tr>
            <w:tr w14:paraId="0D6F1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1867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856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ADE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苯乙烯</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丙烯酸聚合乳液</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11C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7973.174</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0A0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88C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污水处理系统污泥</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ECA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r>
            <w:tr w14:paraId="2FEF4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FCA9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4A2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95A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过滤自来水</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1B6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26906.55</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113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19C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有组织挥发性有机废气</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F0D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0.069</w:t>
                  </w:r>
                </w:p>
              </w:tc>
            </w:tr>
            <w:tr w14:paraId="4E0B0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9834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96F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001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成膜助剂（十二碳酸酯）</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9A8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596.75</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D80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9B3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无组织挥发性有机废气</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FF6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0.058</w:t>
                  </w:r>
                </w:p>
              </w:tc>
            </w:tr>
            <w:tr w14:paraId="21614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3A7C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963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5A0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增稠剂（羟乙基纤维素）</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CC0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250</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294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EBC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除尘器粉尘</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5AD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1.822</w:t>
                  </w:r>
                </w:p>
              </w:tc>
            </w:tr>
            <w:tr w14:paraId="5886C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CD97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97C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930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分散剂（聚丙烯酸钠盐）</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1C6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250</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FFA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716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无组织氨</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BC1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0.175</w:t>
                  </w:r>
                </w:p>
              </w:tc>
            </w:tr>
            <w:tr w14:paraId="05A09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616D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8CE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1D8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消泡剂（矿物油）</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310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165.5</w:t>
                  </w:r>
                </w:p>
              </w:tc>
              <w:tc>
                <w:tcPr>
                  <w:tcW w:w="2155"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7B3C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58D4A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62B4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F8A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546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防冻剂（丙二醇）</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5AB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86.25</w:t>
                  </w:r>
                </w:p>
              </w:tc>
              <w:tc>
                <w:tcPr>
                  <w:tcW w:w="215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814F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06577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F487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砂壁产品生产</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428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CF8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白砂</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9F3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16103.75</w:t>
                  </w:r>
                </w:p>
              </w:tc>
              <w:tc>
                <w:tcPr>
                  <w:tcW w:w="215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AA5A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2490A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753E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C96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32A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苯丙乳液</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A3A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3591.7266</w:t>
                  </w:r>
                </w:p>
              </w:tc>
              <w:tc>
                <w:tcPr>
                  <w:tcW w:w="215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D89B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D9F9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57E1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AC7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0CC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重质碳酸钙</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699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2182.6564</w:t>
                  </w:r>
                </w:p>
              </w:tc>
              <w:tc>
                <w:tcPr>
                  <w:tcW w:w="215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857B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51777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431E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CAA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632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钛白粉</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C2A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184.75</w:t>
                  </w:r>
                </w:p>
              </w:tc>
              <w:tc>
                <w:tcPr>
                  <w:tcW w:w="215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371D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06E5F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1737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11F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911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过滤水</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B66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2400.51</w:t>
                  </w:r>
                </w:p>
              </w:tc>
              <w:tc>
                <w:tcPr>
                  <w:tcW w:w="215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AEEC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2C23A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67E33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79B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0D0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成膜助剂（十二碳醇酯）</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BCF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182.5</w:t>
                  </w:r>
                </w:p>
              </w:tc>
              <w:tc>
                <w:tcPr>
                  <w:tcW w:w="215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9B51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59611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6E595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B3A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446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增稠剂（羟乙基纤维素）</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962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33.76</w:t>
                  </w:r>
                </w:p>
              </w:tc>
              <w:tc>
                <w:tcPr>
                  <w:tcW w:w="215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F4AF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1940D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F2C3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4AC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411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氨水（</w:t>
                  </w:r>
                  <w:r>
                    <w:rPr>
                      <w:rFonts w:hint="default" w:ascii="Times New Roman" w:hAnsi="Times New Roman" w:eastAsia="宋体" w:cs="Times New Roman"/>
                      <w:i w:val="0"/>
                      <w:iCs w:val="0"/>
                      <w:color w:val="000000"/>
                      <w:kern w:val="0"/>
                      <w:sz w:val="21"/>
                      <w:szCs w:val="21"/>
                      <w:u w:val="none"/>
                      <w:lang w:val="en-US" w:eastAsia="zh-CN" w:bidi="ar"/>
                    </w:rPr>
                    <w:t>25%</w:t>
                  </w:r>
                  <w:r>
                    <w:rPr>
                      <w:rFonts w:hint="eastAsia" w:ascii="宋体" w:hAnsi="宋体" w:eastAsia="宋体" w:cs="宋体"/>
                      <w:i w:val="0"/>
                      <w:iCs w:val="0"/>
                      <w:color w:val="000000"/>
                      <w:kern w:val="0"/>
                      <w:sz w:val="21"/>
                      <w:szCs w:val="21"/>
                      <w:u w:val="none"/>
                      <w:lang w:val="en-US" w:eastAsia="zh-CN" w:bidi="ar"/>
                    </w:rPr>
                    <w:t>）</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F33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17.5</w:t>
                  </w:r>
                </w:p>
              </w:tc>
              <w:tc>
                <w:tcPr>
                  <w:tcW w:w="215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43D0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FB5F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6B93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8BB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E81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防冻剂（丙二醇）</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B5D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182.9</w:t>
                  </w:r>
                </w:p>
              </w:tc>
              <w:tc>
                <w:tcPr>
                  <w:tcW w:w="215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DEFA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52DAF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BEC8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6D6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318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分散剂（聚丙烯酸钠盐）</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75D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215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23EE8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5FAF5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26A7C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A9E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2B1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铁红</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A1A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215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EB2A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0D095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23F1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918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7FB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铁黄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F91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215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81EAB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4A4FD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89E8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E0D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97C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黑</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DC1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215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B4EE6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35414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44DD1">
                  <w:pPr>
                    <w:keepNext w:val="0"/>
                    <w:keepLines w:val="0"/>
                    <w:suppressLineNumbers w:val="0"/>
                    <w:spacing w:before="0" w:beforeAutospacing="0" w:after="0" w:afterAutospacing="0"/>
                    <w:ind w:left="0" w:right="0"/>
                    <w:rPr>
                      <w:rFonts w:hint="eastAsia" w:ascii="宋体" w:hAnsi="宋体" w:eastAsia="宋体" w:cs="宋体"/>
                      <w:i w:val="0"/>
                      <w:iCs w:val="0"/>
                      <w:color w:val="000000"/>
                      <w:sz w:val="24"/>
                      <w:szCs w:val="24"/>
                      <w:u w:val="none"/>
                    </w:rPr>
                  </w:pPr>
                </w:p>
              </w:tc>
              <w:tc>
                <w:tcPr>
                  <w:tcW w:w="13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29F8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D11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100016.802</w:t>
                  </w:r>
                </w:p>
              </w:tc>
              <w:tc>
                <w:tcPr>
                  <w:tcW w:w="13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E538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623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100016.802</w:t>
                  </w:r>
                </w:p>
              </w:tc>
            </w:tr>
          </w:tbl>
          <w:p w14:paraId="3BB055A2">
            <w:pPr>
              <w:pStyle w:val="69"/>
              <w:keepNext w:val="0"/>
              <w:keepLines w:val="0"/>
              <w:suppressLineNumbers w:val="0"/>
              <w:adjustRightInd/>
              <w:spacing w:before="0" w:beforeAutospacing="0" w:after="0" w:afterAutospacing="0" w:line="240" w:lineRule="auto"/>
              <w:ind w:left="0" w:right="0"/>
              <w:jc w:val="center"/>
              <w:rPr>
                <w:rFonts w:hint="default" w:ascii="Times New Roman" w:hAnsi="Times New Roman" w:eastAsia="宋体" w:cs="Times New Roman"/>
                <w:b/>
                <w:bCs/>
                <w:color w:val="auto"/>
                <w:spacing w:val="0"/>
                <w:w w:val="100"/>
                <w:position w:val="0"/>
                <w:sz w:val="21"/>
                <w:szCs w:val="21"/>
                <w:highlight w:val="none"/>
                <w:lang w:val="en-US" w:eastAsia="zh-CN"/>
              </w:rPr>
            </w:pPr>
            <w:r>
              <w:rPr>
                <w:rFonts w:hint="eastAsia" w:ascii="Times New Roman" w:hAnsi="Times New Roman" w:eastAsia="宋体" w:cs="Times New Roman"/>
                <w:b/>
                <w:bCs/>
                <w:color w:val="auto"/>
                <w:spacing w:val="0"/>
                <w:w w:val="100"/>
                <w:position w:val="0"/>
                <w:sz w:val="21"/>
                <w:szCs w:val="21"/>
                <w:highlight w:val="none"/>
                <w:lang w:val="en-US" w:eastAsia="zh-CN"/>
              </w:rPr>
              <w:t>表2-1</w:t>
            </w:r>
            <w:r>
              <w:rPr>
                <w:rFonts w:hint="eastAsia" w:cs="Times New Roman"/>
                <w:b/>
                <w:bCs/>
                <w:color w:val="auto"/>
                <w:spacing w:val="0"/>
                <w:w w:val="100"/>
                <w:position w:val="0"/>
                <w:sz w:val="21"/>
                <w:szCs w:val="21"/>
                <w:highlight w:val="none"/>
                <w:lang w:val="en-US" w:eastAsia="zh-CN"/>
              </w:rPr>
              <w:t>4</w:t>
            </w:r>
            <w:r>
              <w:rPr>
                <w:rFonts w:hint="eastAsia" w:ascii="Times New Roman" w:hAnsi="Times New Roman" w:eastAsia="宋体" w:cs="Times New Roman"/>
                <w:b/>
                <w:bCs/>
                <w:color w:val="auto"/>
                <w:spacing w:val="0"/>
                <w:w w:val="100"/>
                <w:position w:val="0"/>
                <w:sz w:val="21"/>
                <w:szCs w:val="21"/>
                <w:highlight w:val="none"/>
                <w:lang w:val="en-US" w:eastAsia="zh-CN"/>
              </w:rPr>
              <w:t xml:space="preserve">   </w:t>
            </w:r>
            <w:r>
              <w:rPr>
                <w:rFonts w:hint="default" w:ascii="Times New Roman" w:hAnsi="Times New Roman" w:eastAsia="宋体" w:cs="Times New Roman"/>
                <w:b/>
                <w:bCs/>
                <w:color w:val="auto"/>
                <w:spacing w:val="0"/>
                <w:w w:val="100"/>
                <w:position w:val="0"/>
                <w:sz w:val="21"/>
                <w:szCs w:val="21"/>
                <w:highlight w:val="none"/>
                <w:lang w:val="en-US" w:eastAsia="zh-CN"/>
              </w:rPr>
              <w:t>腻子粉生产过程中的物料平衡表</w:t>
            </w:r>
          </w:p>
          <w:tbl>
            <w:tblPr>
              <w:tblStyle w:val="2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40"/>
              <w:gridCol w:w="1342"/>
              <w:gridCol w:w="1512"/>
              <w:gridCol w:w="1340"/>
              <w:gridCol w:w="1342"/>
              <w:gridCol w:w="1512"/>
            </w:tblGrid>
            <w:tr w14:paraId="53F51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25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EB5D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投入</w:t>
                  </w:r>
                </w:p>
              </w:tc>
              <w:tc>
                <w:tcPr>
                  <w:tcW w:w="25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DDA9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w:t>
                  </w:r>
                </w:p>
              </w:tc>
            </w:tr>
            <w:tr w14:paraId="6A873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132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389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物料名称</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113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A3B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E83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物料名称</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0FA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r>
            <w:tr w14:paraId="55BEE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F8D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D60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水泥</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FF5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34627.457</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0AA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B9D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腻子粉</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4C0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120000</w:t>
                  </w:r>
                </w:p>
              </w:tc>
            </w:tr>
            <w:tr w14:paraId="24518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361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95B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白砂</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D3F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59800.3</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BB0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F8F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有组织排放粉尘</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05D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w:t>
                  </w:r>
                </w:p>
              </w:tc>
            </w:tr>
            <w:tr w14:paraId="6682E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3F9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F1F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碳酸钙</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4F2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24047.61</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172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4D7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无组织排放粉尘</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83B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1.573</w:t>
                  </w:r>
                </w:p>
              </w:tc>
            </w:tr>
            <w:tr w14:paraId="0CAE3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637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C12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纤维素</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A20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2029.36</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38D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ED8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除尘器粉尘</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9B4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455.997</w:t>
                  </w:r>
                </w:p>
              </w:tc>
            </w:tr>
            <w:tr w14:paraId="7303A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3AE5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59C3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F65A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1A5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390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密闭车间自然沉粉尘</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79E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42.557</w:t>
                  </w:r>
                </w:p>
              </w:tc>
            </w:tr>
            <w:tr w14:paraId="67D71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trPr>
              <w:tc>
                <w:tcPr>
                  <w:tcW w:w="15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DA02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670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120504.727</w:t>
                  </w:r>
                </w:p>
              </w:tc>
              <w:tc>
                <w:tcPr>
                  <w:tcW w:w="15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5FE3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41D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120504.727</w:t>
                  </w:r>
                </w:p>
              </w:tc>
            </w:tr>
          </w:tbl>
          <w:p w14:paraId="73A4A5D9">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spacing w:val="0"/>
                <w:w w:val="100"/>
                <w:position w:val="0"/>
                <w:sz w:val="24"/>
                <w:szCs w:val="24"/>
                <w:highlight w:val="none"/>
                <w:lang w:val="en-US" w:eastAsia="zh-CN"/>
              </w:rPr>
            </w:pPr>
            <w:r>
              <w:rPr>
                <w:rFonts w:hint="default" w:ascii="Times New Roman" w:hAnsi="Times New Roman" w:eastAsia="宋体" w:cs="Times New Roman"/>
                <w:b/>
                <w:bCs/>
                <w:color w:val="auto"/>
                <w:spacing w:val="0"/>
                <w:w w:val="100"/>
                <w:position w:val="0"/>
                <w:sz w:val="24"/>
                <w:szCs w:val="24"/>
                <w:highlight w:val="none"/>
                <w:lang w:val="en-US" w:eastAsia="zh-CN"/>
              </w:rPr>
              <w:t>15、水量平衡</w:t>
            </w:r>
          </w:p>
          <w:p w14:paraId="38DF9A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w:t>
            </w:r>
            <w:r>
              <w:rPr>
                <w:rFonts w:hint="eastAsia" w:ascii="Times New Roman" w:hAnsi="Times New Roman" w:eastAsia="宋体" w:cs="Times New Roman"/>
                <w:color w:val="auto"/>
                <w:sz w:val="24"/>
                <w:szCs w:val="24"/>
                <w:lang w:val="en-US" w:eastAsia="zh-CN"/>
              </w:rPr>
              <w:t>在运营期间</w:t>
            </w:r>
            <w:r>
              <w:rPr>
                <w:rFonts w:hint="default" w:ascii="Times New Roman" w:hAnsi="Times New Roman" w:eastAsia="宋体" w:cs="Times New Roman"/>
                <w:color w:val="auto"/>
                <w:sz w:val="24"/>
                <w:szCs w:val="24"/>
                <w:lang w:val="en-US" w:eastAsia="zh-CN"/>
              </w:rPr>
              <w:t>，生产工艺中不</w:t>
            </w:r>
            <w:r>
              <w:rPr>
                <w:rFonts w:hint="eastAsia" w:cs="Times New Roman"/>
                <w:color w:val="auto"/>
                <w:sz w:val="24"/>
                <w:szCs w:val="24"/>
                <w:lang w:val="en-US" w:eastAsia="zh-CN"/>
              </w:rPr>
              <w:t>产生工艺</w:t>
            </w:r>
            <w:r>
              <w:rPr>
                <w:rFonts w:hint="default" w:ascii="Times New Roman" w:hAnsi="Times New Roman" w:eastAsia="宋体" w:cs="Times New Roman"/>
                <w:color w:val="auto"/>
                <w:sz w:val="24"/>
                <w:szCs w:val="24"/>
                <w:lang w:val="en-US" w:eastAsia="zh-CN"/>
              </w:rPr>
              <w:t>废水；在正常生产过程中产生的废水主要为水过滤器的反冲洗水、乳胶漆包装机冲洗水、车间设备、缸体的清洗水，实验室清洗水和生活污水。</w:t>
            </w:r>
          </w:p>
          <w:p w14:paraId="46A90F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生活污水</w:t>
            </w:r>
          </w:p>
          <w:p w14:paraId="152A91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①办公生活用水</w:t>
            </w:r>
          </w:p>
          <w:p w14:paraId="5DBE00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项目建成后，全厂人员共 </w:t>
            </w:r>
            <w:r>
              <w:rPr>
                <w:rFonts w:hint="eastAsia" w:ascii="Times New Roman" w:hAnsi="Times New Roman" w:eastAsia="宋体" w:cs="Times New Roman"/>
                <w:color w:val="auto"/>
                <w:sz w:val="24"/>
                <w:szCs w:val="24"/>
                <w:lang w:val="en-US" w:eastAsia="zh-CN"/>
              </w:rPr>
              <w:t>150</w:t>
            </w:r>
            <w:r>
              <w:rPr>
                <w:rFonts w:hint="default" w:ascii="Times New Roman" w:hAnsi="Times New Roman" w:eastAsia="宋体" w:cs="Times New Roman"/>
                <w:color w:val="auto"/>
                <w:sz w:val="24"/>
                <w:szCs w:val="24"/>
                <w:lang w:val="en-US" w:eastAsia="zh-CN"/>
              </w:rPr>
              <w:t xml:space="preserve"> 人，厂内设置有办公室、食堂和淋浴间</w:t>
            </w:r>
            <w:r>
              <w:rPr>
                <w:rFonts w:hint="eastAsia" w:ascii="Times New Roman" w:hAnsi="Times New Roman" w:eastAsia="宋体" w:cs="Times New Roman"/>
                <w:color w:val="auto"/>
                <w:sz w:val="24"/>
                <w:szCs w:val="24"/>
                <w:lang w:val="en-US" w:eastAsia="zh-CN"/>
              </w:rPr>
              <w:t>、不设置宿舍，</w:t>
            </w:r>
            <w:r>
              <w:rPr>
                <w:rFonts w:hint="default" w:ascii="Times New Roman" w:hAnsi="Times New Roman" w:eastAsia="宋体" w:cs="Times New Roman"/>
                <w:color w:val="auto"/>
                <w:sz w:val="24"/>
                <w:szCs w:val="24"/>
                <w:lang w:val="en-US" w:eastAsia="zh-CN"/>
              </w:rPr>
              <w:t>办公生活用水根据《云南省地方标准用水定额》（DB53/T168-2019）城镇居民用水量按100L/人.d计，则用水量为</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产污系数按0.8计，则废水产生量为</w:t>
            </w:r>
            <w:r>
              <w:rPr>
                <w:rFonts w:hint="eastAsia"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/d，主要污染因子为COD、BOD</w:t>
            </w:r>
            <w:r>
              <w:rPr>
                <w:rFonts w:hint="default" w:ascii="Times New Roman" w:hAnsi="Times New Roman" w:eastAsia="宋体" w:cs="Times New Roman"/>
                <w:color w:val="auto"/>
                <w:sz w:val="24"/>
                <w:szCs w:val="24"/>
                <w:vertAlign w:val="subscript"/>
                <w:lang w:val="en-US" w:eastAsia="zh-CN"/>
              </w:rPr>
              <w:t>5</w:t>
            </w:r>
            <w:r>
              <w:rPr>
                <w:rFonts w:hint="default" w:ascii="Times New Roman" w:hAnsi="Times New Roman" w:eastAsia="宋体" w:cs="Times New Roman"/>
                <w:color w:val="auto"/>
                <w:sz w:val="24"/>
                <w:szCs w:val="24"/>
                <w:lang w:val="en-US" w:eastAsia="zh-CN"/>
              </w:rPr>
              <w:t>、SS、氨氮。</w:t>
            </w:r>
          </w:p>
          <w:p w14:paraId="544C4D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②食堂用水</w:t>
            </w:r>
          </w:p>
          <w:p w14:paraId="786962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项目建成后，</w:t>
            </w:r>
            <w:r>
              <w:rPr>
                <w:rFonts w:hint="eastAsia" w:ascii="Times New Roman" w:hAnsi="Times New Roman" w:eastAsia="宋体" w:cs="Times New Roman"/>
                <w:color w:val="auto"/>
                <w:sz w:val="24"/>
                <w:szCs w:val="24"/>
                <w:lang w:val="en-US" w:eastAsia="zh-CN"/>
              </w:rPr>
              <w:t>食堂就餐人数150人，</w:t>
            </w:r>
            <w:r>
              <w:rPr>
                <w:rFonts w:hint="default" w:ascii="Times New Roman" w:hAnsi="Times New Roman" w:eastAsia="宋体" w:cs="Times New Roman"/>
                <w:color w:val="auto"/>
                <w:sz w:val="24"/>
                <w:szCs w:val="24"/>
                <w:lang w:val="en-US" w:eastAsia="zh-CN"/>
              </w:rPr>
              <w:t>食堂用水定额按20L/（人·d）计算，则项目食堂用水量为</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/d。食堂废水的产生量按用水量的80%计算，则食堂废水的产生量约为</w:t>
            </w:r>
            <w:r>
              <w:rPr>
                <w:rFonts w:hint="eastAsia"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p>
          <w:p w14:paraId="0F183FEA">
            <w:pPr>
              <w:pStyle w:val="12"/>
              <w:keepNext w:val="0"/>
              <w:keepLines w:val="0"/>
              <w:suppressLineNumbers w:val="0"/>
              <w:spacing w:beforeAutospacing="0" w:afterAutospacing="0"/>
              <w:ind w:left="0" w:firstLine="480" w:firstLineChars="200"/>
              <w:rPr>
                <w:rFonts w:hint="default"/>
                <w:color w:val="auto"/>
                <w:lang w:val="en-US" w:eastAsia="zh-CN"/>
              </w:rPr>
            </w:pPr>
            <w:r>
              <w:rPr>
                <w:rFonts w:hint="eastAsia" w:ascii="Times New Roman" w:hAnsi="Times New Roman" w:eastAsia="宋体" w:cs="Times New Roman"/>
                <w:color w:val="auto"/>
                <w:sz w:val="24"/>
                <w:szCs w:val="24"/>
                <w:lang w:val="en-US" w:eastAsia="zh-CN"/>
              </w:rPr>
              <w:t>综上可知，项目生活污水产生量为</w:t>
            </w:r>
            <w:r>
              <w:rPr>
                <w:rFonts w:hint="eastAsia" w:cs="Times New Roman"/>
                <w:color w:val="auto"/>
                <w:sz w:val="24"/>
                <w:szCs w:val="24"/>
                <w:lang w:val="en-US" w:eastAsia="zh-CN"/>
              </w:rPr>
              <w:t>14.4</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eastAsia" w:cs="Times New Roman"/>
                <w:color w:val="auto"/>
                <w:sz w:val="24"/>
                <w:szCs w:val="24"/>
                <w:lang w:val="en-US" w:eastAsia="zh-CN"/>
              </w:rPr>
              <w:t>。</w:t>
            </w:r>
          </w:p>
          <w:p w14:paraId="054329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（2）生产用水</w:t>
            </w:r>
          </w:p>
          <w:p w14:paraId="3F0641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lang w:val="en-US" w:eastAsia="zh-CN"/>
              </w:rPr>
              <w:t>水过滤器清洗水</w:t>
            </w:r>
            <w:r>
              <w:rPr>
                <w:rFonts w:hint="eastAsia" w:ascii="Times New Roman" w:hAnsi="Times New Roman" w:eastAsia="宋体" w:cs="Times New Roman"/>
                <w:color w:val="auto"/>
                <w:sz w:val="24"/>
                <w:lang w:eastAsia="zh-CN"/>
              </w:rPr>
              <w:t>（W</w:t>
            </w:r>
            <w:r>
              <w:rPr>
                <w:rFonts w:hint="eastAsia" w:cs="Times New Roman"/>
                <w:color w:val="auto"/>
                <w:sz w:val="24"/>
                <w:lang w:val="en-US" w:eastAsia="zh-CN"/>
              </w:rPr>
              <w:t>1</w:t>
            </w:r>
            <w:r>
              <w:rPr>
                <w:rFonts w:hint="eastAsia" w:ascii="Times New Roman" w:hAnsi="Times New Roman" w:eastAsia="宋体" w:cs="Times New Roman"/>
                <w:color w:val="auto"/>
                <w:sz w:val="24"/>
                <w:lang w:eastAsia="zh-CN"/>
              </w:rPr>
              <w:t>）</w:t>
            </w:r>
          </w:p>
          <w:p w14:paraId="74BEE1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项目水性涂料生产期间，</w:t>
            </w:r>
            <w:r>
              <w:rPr>
                <w:rFonts w:hint="default" w:ascii="Times New Roman" w:hAnsi="Times New Roman" w:eastAsia="宋体" w:cs="Times New Roman"/>
                <w:color w:val="auto"/>
                <w:sz w:val="24"/>
                <w:szCs w:val="24"/>
                <w:lang w:val="en-US" w:eastAsia="zh-CN"/>
              </w:rPr>
              <w:t>水是做为涂料的溶剂使用，</w:t>
            </w:r>
            <w:r>
              <w:rPr>
                <w:rFonts w:hint="eastAsia" w:ascii="Times New Roman" w:hAnsi="Times New Roman" w:eastAsia="宋体" w:cs="Times New Roman"/>
                <w:color w:val="auto"/>
                <w:sz w:val="24"/>
                <w:szCs w:val="24"/>
                <w:lang w:val="en-US" w:eastAsia="zh-CN"/>
              </w:rPr>
              <w:t>对水的质量有一定的要求</w:t>
            </w:r>
            <w:r>
              <w:rPr>
                <w:rFonts w:hint="default" w:ascii="Times New Roman" w:hAnsi="Times New Roman" w:eastAsia="宋体" w:cs="Times New Roman"/>
                <w:color w:val="auto"/>
                <w:sz w:val="24"/>
                <w:szCs w:val="24"/>
                <w:lang w:val="en-US" w:eastAsia="zh-CN"/>
              </w:rPr>
              <w:t>；因此在将水用于生产混合工序</w:t>
            </w:r>
            <w:r>
              <w:rPr>
                <w:rFonts w:hint="eastAsia" w:ascii="Times New Roman" w:hAnsi="Times New Roman" w:eastAsia="宋体" w:cs="Times New Roman"/>
                <w:color w:val="auto"/>
                <w:sz w:val="24"/>
                <w:szCs w:val="24"/>
                <w:lang w:val="en-US" w:eastAsia="zh-CN"/>
              </w:rPr>
              <w:t>前</w:t>
            </w:r>
            <w:r>
              <w:rPr>
                <w:rFonts w:hint="default" w:ascii="Times New Roman" w:hAnsi="Times New Roman" w:eastAsia="宋体" w:cs="Times New Roman"/>
                <w:color w:val="auto"/>
                <w:sz w:val="24"/>
                <w:szCs w:val="24"/>
                <w:lang w:val="en-US" w:eastAsia="zh-CN"/>
              </w:rPr>
              <w:t>，需对生产用水进行一定过滤；本项目使用滤布对自来水进行过滤，过滤后的水用于全厂。在过滤过程中，水中的杂质留在滤布上；每天生产结束后均需要对滤布和金属滤网进行反冲洗，以保证过滤装置的正常使用；</w:t>
            </w:r>
            <w:r>
              <w:rPr>
                <w:rFonts w:hint="eastAsia" w:ascii="Times New Roman" w:hAnsi="Times New Roman" w:eastAsia="宋体" w:cs="Times New Roman"/>
                <w:color w:val="auto"/>
                <w:sz w:val="24"/>
                <w:szCs w:val="24"/>
                <w:lang w:val="en-US" w:eastAsia="zh-CN"/>
              </w:rPr>
              <w:t>根据建设单位运行经验，</w:t>
            </w:r>
            <w:r>
              <w:rPr>
                <w:rFonts w:hint="default" w:ascii="Times New Roman" w:hAnsi="Times New Roman" w:eastAsia="宋体" w:cs="Times New Roman"/>
                <w:color w:val="auto"/>
                <w:sz w:val="24"/>
                <w:szCs w:val="24"/>
                <w:lang w:val="en-US" w:eastAsia="zh-CN"/>
              </w:rPr>
              <w:t>水过滤器清洗水</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/d，产生的冲洗废水量约为</w:t>
            </w:r>
            <w:r>
              <w:rPr>
                <w:rFonts w:hint="eastAsia"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lang w:val="en-US" w:eastAsia="zh-CN"/>
              </w:rPr>
              <w:t xml:space="preserve"> 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/d；水过滤器的反冲洗废水中主要污染物为SS</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经沉淀池沉淀后，</w:t>
            </w:r>
            <w:r>
              <w:rPr>
                <w:rFonts w:hint="eastAsia" w:ascii="Times New Roman" w:hAnsi="Times New Roman" w:eastAsia="宋体" w:cs="Times New Roman"/>
                <w:color w:val="auto"/>
                <w:sz w:val="24"/>
                <w:szCs w:val="24"/>
                <w:lang w:val="en-US" w:eastAsia="zh-CN"/>
              </w:rPr>
              <w:t>进入自建污水处理系统。</w:t>
            </w:r>
          </w:p>
          <w:p w14:paraId="6FCB3B6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0" w:right="0" w:rightChars="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lang w:val="en-US" w:eastAsia="zh-CN"/>
              </w:rPr>
              <w:t>检测废水</w:t>
            </w:r>
            <w:r>
              <w:rPr>
                <w:rFonts w:hint="eastAsia" w:ascii="Times New Roman" w:hAnsi="Times New Roman" w:eastAsia="宋体" w:cs="Times New Roman"/>
                <w:color w:val="auto"/>
                <w:sz w:val="24"/>
                <w:lang w:eastAsia="zh-CN"/>
              </w:rPr>
              <w:t>（W</w:t>
            </w:r>
            <w:r>
              <w:rPr>
                <w:rFonts w:hint="eastAsia" w:cs="Times New Roman"/>
                <w:color w:val="auto"/>
                <w:sz w:val="24"/>
                <w:lang w:val="en-US" w:eastAsia="zh-CN"/>
              </w:rPr>
              <w:t>2</w:t>
            </w:r>
            <w:r>
              <w:rPr>
                <w:rFonts w:hint="eastAsia" w:ascii="Times New Roman" w:hAnsi="Times New Roman" w:eastAsia="宋体" w:cs="Times New Roman"/>
                <w:color w:val="auto"/>
                <w:sz w:val="24"/>
                <w:lang w:eastAsia="zh-CN"/>
              </w:rPr>
              <w:t>）</w:t>
            </w:r>
          </w:p>
          <w:p w14:paraId="2E44DD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生产线设置有原料和产品的检测室，对原料和产品的质量进行控制，大多检测使用仪器进行，</w:t>
            </w:r>
            <w:r>
              <w:rPr>
                <w:rFonts w:hint="eastAsia" w:cs="Times New Roman"/>
                <w:color w:val="auto"/>
                <w:sz w:val="24"/>
                <w:szCs w:val="24"/>
                <w:lang w:val="en-US" w:eastAsia="zh-CN"/>
              </w:rPr>
              <w:t>根据建设单位运行经验，</w:t>
            </w:r>
            <w:r>
              <w:rPr>
                <w:rFonts w:hint="default" w:ascii="Times New Roman" w:hAnsi="Times New Roman" w:eastAsia="宋体" w:cs="Times New Roman"/>
                <w:color w:val="auto"/>
                <w:sz w:val="24"/>
                <w:szCs w:val="24"/>
                <w:lang w:val="en-US" w:eastAsia="zh-CN"/>
              </w:rPr>
              <w:t>检测室清洁用水和仪器清洗水用量按</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/d核算，污水产生量约为</w:t>
            </w:r>
            <w:r>
              <w:rPr>
                <w:rFonts w:hint="eastAsia" w:cs="Times New Roman"/>
                <w:color w:val="auto"/>
                <w:sz w:val="24"/>
                <w:szCs w:val="24"/>
                <w:lang w:val="en-US" w:eastAsia="zh-CN"/>
              </w:rPr>
              <w:t>0.8</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；水中污染物原料、产品外，还有一定的测试溶剂；因本项目污水处理系统在前工序已考虑进行PH值调整和混凝处理，因此检测废水直接进入污水处理系统。</w:t>
            </w:r>
          </w:p>
          <w:p w14:paraId="7A45B232">
            <w:pPr>
              <w:pStyle w:val="39"/>
              <w:ind w:firstLine="496"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③乳胶漆过滤器冲洗水（W3）</w:t>
            </w:r>
          </w:p>
          <w:p w14:paraId="43513C3A">
            <w:pPr>
              <w:pStyle w:val="39"/>
              <w:keepNext w:val="0"/>
              <w:keepLines w:val="0"/>
              <w:pageBreakBefore w:val="0"/>
              <w:widowControl w:val="0"/>
              <w:kinsoku/>
              <w:wordWrap/>
              <w:overflowPunct/>
              <w:topLinePunct w:val="0"/>
              <w:autoSpaceDE/>
              <w:autoSpaceDN/>
              <w:bidi w:val="0"/>
              <w:adjustRightInd/>
              <w:snapToGrid w:val="0"/>
              <w:ind w:firstLine="496"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乳胶漆成品混合后，为保证质量需进行一道金属滤网对产品进行过滤，乳胶漆成品过滤器反冲洗水的主要污染物为涂料，污染因子为</w:t>
            </w:r>
            <w:r>
              <w:rPr>
                <w:rFonts w:hint="eastAsia" w:ascii="Times New Roman" w:hAnsi="Times New Roman" w:cs="Times New Roman"/>
                <w:color w:val="auto"/>
                <w:sz w:val="24"/>
                <w:lang w:val="en-US" w:eastAsia="zh-CN"/>
              </w:rPr>
              <w:t>pH、</w:t>
            </w:r>
            <w:r>
              <w:rPr>
                <w:rFonts w:hint="default" w:ascii="Times New Roman" w:hAnsi="Times New Roman" w:eastAsia="宋体" w:cs="Times New Roman"/>
                <w:color w:val="auto"/>
                <w:sz w:val="24"/>
                <w:lang w:val="en-US" w:eastAsia="zh-CN"/>
              </w:rPr>
              <w:t>COD、SS、</w:t>
            </w:r>
            <w:r>
              <w:rPr>
                <w:rFonts w:hint="eastAsia" w:ascii="Times New Roman" w:hAnsi="Times New Roman" w:cs="Times New Roman"/>
                <w:color w:val="auto"/>
                <w:sz w:val="24"/>
                <w:lang w:val="en-US" w:eastAsia="zh-CN"/>
              </w:rPr>
              <w:t>色度</w:t>
            </w:r>
            <w:r>
              <w:rPr>
                <w:rFonts w:hint="default" w:ascii="Times New Roman" w:hAnsi="Times New Roman" w:eastAsia="宋体" w:cs="Times New Roman"/>
                <w:color w:val="auto"/>
                <w:sz w:val="24"/>
                <w:lang w:val="en-US" w:eastAsia="zh-CN"/>
              </w:rPr>
              <w:t>、石油类；</w:t>
            </w:r>
            <w:r>
              <w:rPr>
                <w:rFonts w:hint="eastAsia" w:cs="Times New Roman"/>
                <w:color w:val="auto"/>
                <w:sz w:val="24"/>
                <w:szCs w:val="24"/>
                <w:lang w:val="en-US" w:eastAsia="zh-CN"/>
              </w:rPr>
              <w:t>根据建设单位运行经验，</w:t>
            </w:r>
            <w:r>
              <w:rPr>
                <w:rFonts w:hint="eastAsia" w:ascii="Times New Roman" w:hAnsi="Times New Roman" w:eastAsia="宋体" w:cs="Times New Roman"/>
                <w:color w:val="auto"/>
                <w:sz w:val="24"/>
                <w:lang w:eastAsia="zh-CN"/>
              </w:rPr>
              <w:t>乳胶漆过滤器冲洗水</w:t>
            </w:r>
            <w:r>
              <w:rPr>
                <w:rFonts w:hint="eastAsia" w:ascii="Times New Roman" w:hAnsi="Times New Roman" w:cs="Times New Roman"/>
                <w:color w:val="auto"/>
                <w:sz w:val="24"/>
                <w:lang w:eastAsia="zh-CN"/>
              </w:rPr>
              <w:t>用量为</w:t>
            </w: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lang w:val="en-US" w:eastAsia="zh-CN"/>
              </w:rPr>
              <w:t>产生的冲洗废水量约为</w:t>
            </w:r>
            <w:r>
              <w:rPr>
                <w:rFonts w:hint="eastAsia" w:ascii="Times New Roman" w:hAnsi="Times New Roman" w:eastAsia="宋体" w:cs="Times New Roman"/>
                <w:color w:val="auto"/>
                <w:sz w:val="24"/>
                <w:lang w:val="en-US" w:eastAsia="zh-CN"/>
              </w:rPr>
              <w:t>2.4</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/d；过滤装置的冲洗水</w:t>
            </w:r>
            <w:r>
              <w:rPr>
                <w:rFonts w:hint="eastAsia" w:ascii="Times New Roman" w:hAnsi="Times New Roman" w:cs="Times New Roman"/>
                <w:color w:val="auto"/>
                <w:sz w:val="24"/>
                <w:lang w:val="en-US" w:eastAsia="zh-CN"/>
              </w:rPr>
              <w:t>进入</w:t>
            </w:r>
            <w:r>
              <w:rPr>
                <w:rFonts w:hint="default" w:ascii="Times New Roman" w:hAnsi="Times New Roman" w:eastAsia="宋体" w:cs="Times New Roman"/>
                <w:color w:val="auto"/>
                <w:sz w:val="24"/>
                <w:lang w:val="en-US" w:eastAsia="zh-CN"/>
              </w:rPr>
              <w:t>全部进入</w:t>
            </w:r>
            <w:r>
              <w:rPr>
                <w:rFonts w:hint="eastAsia" w:ascii="Times New Roman" w:hAnsi="Times New Roman" w:eastAsia="宋体" w:cs="Times New Roman"/>
                <w:color w:val="auto"/>
                <w:sz w:val="24"/>
                <w:lang w:val="en-US" w:eastAsia="zh-CN"/>
              </w:rPr>
              <w:t>自建</w:t>
            </w:r>
            <w:r>
              <w:rPr>
                <w:rFonts w:hint="default" w:ascii="Times New Roman" w:hAnsi="Times New Roman" w:eastAsia="宋体" w:cs="Times New Roman"/>
                <w:color w:val="auto"/>
                <w:sz w:val="24"/>
                <w:lang w:val="en-US" w:eastAsia="zh-CN"/>
              </w:rPr>
              <w:t>污水处理系统。</w:t>
            </w:r>
          </w:p>
          <w:p w14:paraId="12E9E843">
            <w:pPr>
              <w:pStyle w:val="39"/>
              <w:ind w:firstLine="496"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④</w:t>
            </w:r>
            <w:r>
              <w:rPr>
                <w:rFonts w:hint="default" w:ascii="Times New Roman" w:hAnsi="Times New Roman" w:eastAsia="宋体" w:cs="Times New Roman"/>
                <w:color w:val="auto"/>
                <w:sz w:val="24"/>
                <w:szCs w:val="24"/>
              </w:rPr>
              <w:t>乳胶漆包装包装机清洗水</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W</w:t>
            </w:r>
            <w:r>
              <w:rPr>
                <w:rFonts w:hint="eastAsia" w:ascii="Times New Roman" w:hAnsi="Times New Roman" w:cs="Times New Roman"/>
                <w:color w:val="auto"/>
                <w:sz w:val="24"/>
                <w:szCs w:val="24"/>
                <w:lang w:val="en-US" w:eastAsia="zh-CN"/>
              </w:rPr>
              <w:t>4</w:t>
            </w:r>
            <w:r>
              <w:rPr>
                <w:rFonts w:hint="eastAsia" w:ascii="Times New Roman" w:hAnsi="Times New Roman" w:eastAsia="宋体" w:cs="Times New Roman"/>
                <w:color w:val="auto"/>
                <w:sz w:val="24"/>
                <w:szCs w:val="24"/>
                <w:lang w:eastAsia="zh-CN"/>
              </w:rPr>
              <w:t>）</w:t>
            </w:r>
          </w:p>
          <w:p w14:paraId="66139A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76" w:firstLineChars="200"/>
              <w:textAlignment w:val="auto"/>
              <w:rPr>
                <w:rFonts w:hint="default"/>
                <w:color w:val="auto"/>
                <w:sz w:val="24"/>
                <w:szCs w:val="24"/>
              </w:rPr>
            </w:pPr>
            <w:r>
              <w:rPr>
                <w:rFonts w:hint="default"/>
                <w:color w:val="auto"/>
                <w:spacing w:val="-1"/>
                <w:sz w:val="24"/>
                <w:szCs w:val="24"/>
              </w:rPr>
              <w:t>乳胶漆成品包装机每天生产结束后需对出料嘴及管道进行冲洗，</w:t>
            </w:r>
            <w:r>
              <w:rPr>
                <w:rFonts w:hint="eastAsia" w:cs="Times New Roman"/>
                <w:color w:val="auto"/>
                <w:sz w:val="24"/>
                <w:szCs w:val="24"/>
                <w:lang w:val="en-US" w:eastAsia="zh-CN"/>
              </w:rPr>
              <w:t>根据建设单位运行经验，</w:t>
            </w:r>
            <w:r>
              <w:rPr>
                <w:rFonts w:hint="default" w:ascii="Times New Roman" w:eastAsia="Times New Roman"/>
                <w:color w:val="auto"/>
                <w:spacing w:val="-12"/>
                <w:sz w:val="24"/>
                <w:szCs w:val="24"/>
              </w:rPr>
              <w:t xml:space="preserve">2 </w:t>
            </w:r>
            <w:r>
              <w:rPr>
                <w:rFonts w:hint="default"/>
                <w:color w:val="auto"/>
                <w:spacing w:val="-3"/>
                <w:sz w:val="24"/>
                <w:szCs w:val="24"/>
              </w:rPr>
              <w:t>套乳胶生</w:t>
            </w:r>
            <w:r>
              <w:rPr>
                <w:rFonts w:hint="default"/>
                <w:color w:val="auto"/>
                <w:spacing w:val="-6"/>
                <w:sz w:val="24"/>
                <w:szCs w:val="24"/>
              </w:rPr>
              <w:t>产线的冲洗用水量约为</w:t>
            </w:r>
            <w:r>
              <w:rPr>
                <w:rFonts w:hint="default" w:ascii="Times New Roman" w:eastAsia="Times New Roman"/>
                <w:color w:val="auto"/>
                <w:sz w:val="24"/>
                <w:szCs w:val="24"/>
              </w:rPr>
              <w:t>4m</w:t>
            </w:r>
            <w:r>
              <w:rPr>
                <w:rFonts w:hint="eastAsia" w:ascii="Times New Roman" w:eastAsia="宋体"/>
                <w:color w:val="auto"/>
                <w:sz w:val="24"/>
                <w:szCs w:val="24"/>
                <w:vertAlign w:val="superscript"/>
                <w:lang w:val="en-US" w:eastAsia="zh-CN"/>
              </w:rPr>
              <w:t>3</w:t>
            </w:r>
            <w:r>
              <w:rPr>
                <w:rFonts w:hint="default" w:ascii="Times New Roman" w:eastAsia="Times New Roman"/>
                <w:color w:val="auto"/>
                <w:sz w:val="24"/>
                <w:szCs w:val="24"/>
              </w:rPr>
              <w:t>/d</w:t>
            </w:r>
            <w:r>
              <w:rPr>
                <w:rFonts w:hint="default"/>
                <w:color w:val="auto"/>
                <w:spacing w:val="-10"/>
                <w:sz w:val="24"/>
                <w:szCs w:val="24"/>
              </w:rPr>
              <w:t xml:space="preserve">，将产生约 </w:t>
            </w:r>
            <w:r>
              <w:rPr>
                <w:rFonts w:hint="default" w:ascii="Times New Roman" w:eastAsia="Times New Roman"/>
                <w:color w:val="auto"/>
                <w:sz w:val="24"/>
                <w:szCs w:val="24"/>
              </w:rPr>
              <w:t>3.7 m</w:t>
            </w:r>
            <w:r>
              <w:rPr>
                <w:rFonts w:hint="eastAsia" w:ascii="Times New Roman" w:eastAsia="宋体"/>
                <w:color w:val="auto"/>
                <w:sz w:val="24"/>
                <w:szCs w:val="24"/>
                <w:vertAlign w:val="superscript"/>
                <w:lang w:val="en-US" w:eastAsia="zh-CN"/>
              </w:rPr>
              <w:t>3</w:t>
            </w:r>
            <w:r>
              <w:rPr>
                <w:rFonts w:hint="default" w:ascii="Times New Roman" w:eastAsia="Times New Roman"/>
                <w:color w:val="auto"/>
                <w:sz w:val="24"/>
                <w:szCs w:val="24"/>
              </w:rPr>
              <w:t xml:space="preserve">/d </w:t>
            </w:r>
            <w:r>
              <w:rPr>
                <w:rFonts w:hint="default"/>
                <w:color w:val="auto"/>
                <w:sz w:val="24"/>
                <w:szCs w:val="24"/>
              </w:rPr>
              <w:t>的冲洗废水，废水中因含有生</w:t>
            </w:r>
            <w:r>
              <w:rPr>
                <w:rFonts w:hint="default"/>
                <w:color w:val="auto"/>
                <w:spacing w:val="-5"/>
                <w:sz w:val="24"/>
                <w:szCs w:val="24"/>
              </w:rPr>
              <w:t>产的涂料，水中污染物主要</w:t>
            </w:r>
            <w:r>
              <w:rPr>
                <w:rFonts w:hint="eastAsia" w:ascii="Times New Roman" w:hAnsi="Times New Roman" w:cs="Times New Roman"/>
                <w:color w:val="auto"/>
                <w:sz w:val="24"/>
                <w:lang w:val="en-US" w:eastAsia="zh-CN"/>
              </w:rPr>
              <w:t>pH、</w:t>
            </w:r>
            <w:r>
              <w:rPr>
                <w:rFonts w:hint="default" w:ascii="Times New Roman" w:hAnsi="Times New Roman" w:eastAsia="宋体" w:cs="Times New Roman"/>
                <w:color w:val="auto"/>
                <w:sz w:val="24"/>
                <w:lang w:val="en-US" w:eastAsia="zh-CN"/>
              </w:rPr>
              <w:t>COD、SS、</w:t>
            </w:r>
            <w:r>
              <w:rPr>
                <w:rFonts w:hint="eastAsia" w:ascii="Times New Roman" w:hAnsi="Times New Roman" w:cs="Times New Roman"/>
                <w:color w:val="auto"/>
                <w:sz w:val="24"/>
                <w:lang w:val="en-US" w:eastAsia="zh-CN"/>
              </w:rPr>
              <w:t>色度</w:t>
            </w:r>
            <w:r>
              <w:rPr>
                <w:rFonts w:hint="default" w:ascii="Times New Roman" w:hAnsi="Times New Roman" w:eastAsia="宋体" w:cs="Times New Roman"/>
                <w:color w:val="auto"/>
                <w:sz w:val="24"/>
                <w:lang w:val="en-US" w:eastAsia="zh-CN"/>
              </w:rPr>
              <w:t>、石油类</w:t>
            </w:r>
            <w:r>
              <w:rPr>
                <w:rFonts w:hint="default"/>
                <w:color w:val="auto"/>
                <w:sz w:val="24"/>
                <w:szCs w:val="24"/>
              </w:rPr>
              <w:t>；冲洗废水</w:t>
            </w:r>
            <w:r>
              <w:rPr>
                <w:rFonts w:hint="eastAsia"/>
                <w:color w:val="auto"/>
                <w:sz w:val="24"/>
                <w:szCs w:val="24"/>
                <w:lang w:eastAsia="zh-CN"/>
              </w:rPr>
              <w:t>进入自建污水处理系统</w:t>
            </w:r>
            <w:r>
              <w:rPr>
                <w:rFonts w:hint="default"/>
                <w:color w:val="auto"/>
                <w:sz w:val="24"/>
                <w:szCs w:val="24"/>
              </w:rPr>
              <w:t>进行处理。</w:t>
            </w:r>
          </w:p>
          <w:p w14:paraId="4B6A97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⑤</w:t>
            </w:r>
            <w:r>
              <w:rPr>
                <w:rFonts w:hint="default" w:ascii="Times New Roman" w:hAnsi="Times New Roman" w:eastAsia="宋体" w:cs="Times New Roman"/>
                <w:color w:val="auto"/>
                <w:sz w:val="24"/>
                <w:szCs w:val="24"/>
                <w:lang w:val="en-US" w:eastAsia="zh-CN"/>
              </w:rPr>
              <w:t>乳胶漆生产线洗缸废水（W5）</w:t>
            </w:r>
          </w:p>
          <w:p w14:paraId="32E593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乳胶漆生产线在产品种类不更改的生产过程中，为保证生产罐内涂料不挂壁和沉积在罐中，每周末清洗一次。如下星期生产的为同一体系产品，因其档次相同，配方近似，相同原料占 90%以上，兼容性强，故同系列产品洗罐水可回用在任一品种生产中，不会影响产品质量则存放于罐中做为下一批次配方用水。</w:t>
            </w:r>
            <w:r>
              <w:rPr>
                <w:rFonts w:hint="eastAsia" w:ascii="Times New Roman" w:hAnsi="Times New Roman" w:eastAsia="宋体" w:cs="Times New Roman"/>
                <w:color w:val="auto"/>
                <w:sz w:val="24"/>
                <w:szCs w:val="24"/>
                <w:lang w:val="en-US" w:eastAsia="zh-CN"/>
              </w:rPr>
              <w:t>若</w:t>
            </w:r>
            <w:r>
              <w:rPr>
                <w:rFonts w:hint="default" w:ascii="Times New Roman" w:hAnsi="Times New Roman" w:eastAsia="宋体" w:cs="Times New Roman"/>
                <w:color w:val="auto"/>
                <w:sz w:val="24"/>
                <w:szCs w:val="24"/>
                <w:lang w:val="en-US" w:eastAsia="zh-CN"/>
              </w:rPr>
              <w:t>下一星期生产的不是同一系列产品，为保证产品的质量，冲罐水全部进入污水处理系统进行处理。废水中因含有生产的涂料，水中污染物主要</w:t>
            </w:r>
            <w:r>
              <w:rPr>
                <w:rFonts w:hint="eastAsia" w:ascii="Times New Roman" w:hAnsi="Times New Roman" w:cs="Times New Roman"/>
                <w:color w:val="auto"/>
                <w:sz w:val="24"/>
                <w:lang w:val="en-US" w:eastAsia="zh-CN"/>
              </w:rPr>
              <w:t>pH、</w:t>
            </w:r>
            <w:r>
              <w:rPr>
                <w:rFonts w:hint="default" w:ascii="Times New Roman" w:hAnsi="Times New Roman" w:eastAsia="宋体" w:cs="Times New Roman"/>
                <w:color w:val="auto"/>
                <w:sz w:val="24"/>
                <w:lang w:val="en-US" w:eastAsia="zh-CN"/>
              </w:rPr>
              <w:t>COD、SS、</w:t>
            </w:r>
            <w:r>
              <w:rPr>
                <w:rFonts w:hint="eastAsia" w:ascii="Times New Roman" w:hAnsi="Times New Roman" w:cs="Times New Roman"/>
                <w:color w:val="auto"/>
                <w:sz w:val="24"/>
                <w:lang w:val="en-US" w:eastAsia="zh-CN"/>
              </w:rPr>
              <w:t>色度</w:t>
            </w:r>
            <w:r>
              <w:rPr>
                <w:rFonts w:hint="default" w:ascii="Times New Roman" w:hAnsi="Times New Roman" w:eastAsia="宋体" w:cs="Times New Roman"/>
                <w:color w:val="auto"/>
                <w:sz w:val="24"/>
                <w:lang w:val="en-US" w:eastAsia="zh-CN"/>
              </w:rPr>
              <w:t>、石油类</w:t>
            </w:r>
            <w:r>
              <w:rPr>
                <w:rFonts w:hint="default" w:ascii="Times New Roman" w:hAnsi="Times New Roman" w:eastAsia="宋体" w:cs="Times New Roman"/>
                <w:color w:val="auto"/>
                <w:sz w:val="24"/>
                <w:szCs w:val="24"/>
                <w:lang w:val="en-US" w:eastAsia="zh-CN"/>
              </w:rPr>
              <w:t>；冲洗废水全部进入废水处理系统进行处理。</w:t>
            </w:r>
            <w:r>
              <w:rPr>
                <w:rFonts w:hint="eastAsia" w:ascii="Times New Roman" w:hAnsi="Times New Roman" w:eastAsia="宋体" w:cs="Times New Roman"/>
                <w:color w:val="auto"/>
                <w:sz w:val="24"/>
                <w:szCs w:val="24"/>
                <w:lang w:val="en-US" w:eastAsia="zh-CN"/>
              </w:rPr>
              <w:t>根据建设单位运行经验，</w:t>
            </w:r>
            <w:r>
              <w:rPr>
                <w:rFonts w:hint="default" w:ascii="Times New Roman" w:hAnsi="Times New Roman" w:eastAsia="宋体" w:cs="Times New Roman"/>
                <w:color w:val="auto"/>
                <w:sz w:val="24"/>
                <w:szCs w:val="24"/>
                <w:lang w:val="en-US" w:eastAsia="zh-CN"/>
              </w:rPr>
              <w:t>2套乳胶生产线的洗缸用水量约为7m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/d，将产生约6.3 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 的冲洗废水</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乳胶漆生产线洗缸废水</w:t>
            </w:r>
            <w:r>
              <w:rPr>
                <w:rFonts w:hint="eastAsia" w:cs="Times New Roman"/>
                <w:color w:val="auto"/>
                <w:sz w:val="24"/>
                <w:szCs w:val="24"/>
                <w:lang w:val="en-US" w:eastAsia="zh-CN"/>
              </w:rPr>
              <w:t>进入自建污水处理系统进行处理。</w:t>
            </w:r>
          </w:p>
          <w:p w14:paraId="4E982B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⑥</w:t>
            </w:r>
            <w:r>
              <w:rPr>
                <w:rFonts w:hint="default" w:ascii="Times New Roman" w:hAnsi="Times New Roman" w:eastAsia="宋体" w:cs="Times New Roman"/>
                <w:color w:val="auto"/>
                <w:sz w:val="24"/>
                <w:szCs w:val="24"/>
                <w:lang w:val="en-US" w:eastAsia="zh-CN"/>
              </w:rPr>
              <w:t>车间设备和罐体外表面</w:t>
            </w:r>
            <w:r>
              <w:rPr>
                <w:rFonts w:hint="eastAsia" w:ascii="Times New Roman" w:hAnsi="Times New Roman" w:eastAsia="宋体" w:cs="Times New Roman"/>
                <w:color w:val="auto"/>
                <w:sz w:val="24"/>
                <w:szCs w:val="24"/>
                <w:lang w:val="en-US" w:eastAsia="zh-CN"/>
              </w:rPr>
              <w:t>清洁废水</w:t>
            </w:r>
            <w:r>
              <w:rPr>
                <w:rFonts w:hint="default" w:ascii="Times New Roman" w:hAnsi="Times New Roman" w:eastAsia="宋体" w:cs="Times New Roman"/>
                <w:color w:val="auto"/>
                <w:sz w:val="24"/>
                <w:szCs w:val="24"/>
                <w:lang w:val="en-US" w:eastAsia="zh-CN"/>
              </w:rPr>
              <w:t>（W6）</w:t>
            </w:r>
          </w:p>
          <w:p w14:paraId="48589B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生产车间的地面、设备、罐体表面需进行清洗；车间内的地板清洗方式为使用拖布进行清洁，设备和罐体采用抹布擦洗；废水中的污染物为生产设备和各罐体表面外泄的一些生产原料、助剂和产品，</w:t>
            </w:r>
            <w:r>
              <w:rPr>
                <w:rFonts w:hint="eastAsia" w:ascii="Times New Roman" w:hAnsi="Times New Roman" w:eastAsia="宋体" w:cs="Times New Roman"/>
                <w:color w:val="auto"/>
                <w:sz w:val="24"/>
                <w:szCs w:val="24"/>
                <w:lang w:val="en-US" w:eastAsia="zh-CN"/>
              </w:rPr>
              <w:t>根据建设单位长期运行经验，</w:t>
            </w:r>
            <w:r>
              <w:rPr>
                <w:rFonts w:hint="default" w:ascii="Times New Roman" w:hAnsi="Times New Roman" w:eastAsia="宋体" w:cs="Times New Roman"/>
                <w:color w:val="auto"/>
                <w:sz w:val="24"/>
                <w:szCs w:val="24"/>
                <w:lang w:val="en-US" w:eastAsia="zh-CN"/>
              </w:rPr>
              <w:t>清洁用水量约为5m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/d，将产生约4 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/d的</w:t>
            </w:r>
            <w:r>
              <w:rPr>
                <w:rFonts w:hint="eastAsia" w:ascii="Times New Roman" w:hAnsi="Times New Roman" w:eastAsia="宋体" w:cs="Times New Roman"/>
                <w:color w:val="auto"/>
                <w:sz w:val="24"/>
                <w:szCs w:val="24"/>
                <w:lang w:val="en-US" w:eastAsia="zh-CN"/>
              </w:rPr>
              <w:t>清洁</w:t>
            </w:r>
            <w:r>
              <w:rPr>
                <w:rFonts w:hint="default" w:ascii="Times New Roman" w:hAnsi="Times New Roman" w:eastAsia="宋体" w:cs="Times New Roman"/>
                <w:color w:val="auto"/>
                <w:sz w:val="24"/>
                <w:szCs w:val="24"/>
                <w:lang w:val="en-US" w:eastAsia="zh-CN"/>
              </w:rPr>
              <w:t>废水，废水中因含有生产的原料、助剂和涂料产品，水中污染物主要</w:t>
            </w:r>
            <w:r>
              <w:rPr>
                <w:rFonts w:hint="eastAsia" w:ascii="Times New Roman" w:hAnsi="Times New Roman" w:cs="Times New Roman"/>
                <w:color w:val="auto"/>
                <w:sz w:val="24"/>
                <w:lang w:val="en-US" w:eastAsia="zh-CN"/>
              </w:rPr>
              <w:t>pH、</w:t>
            </w:r>
            <w:r>
              <w:rPr>
                <w:rFonts w:hint="default" w:ascii="Times New Roman" w:hAnsi="Times New Roman" w:eastAsia="宋体" w:cs="Times New Roman"/>
                <w:color w:val="auto"/>
                <w:sz w:val="24"/>
                <w:lang w:val="en-US" w:eastAsia="zh-CN"/>
              </w:rPr>
              <w:t>COD、SS、</w:t>
            </w:r>
            <w:r>
              <w:rPr>
                <w:rFonts w:hint="eastAsia" w:ascii="Times New Roman" w:hAnsi="Times New Roman" w:cs="Times New Roman"/>
                <w:color w:val="auto"/>
                <w:sz w:val="24"/>
                <w:lang w:val="en-US" w:eastAsia="zh-CN"/>
              </w:rPr>
              <w:t>色度</w:t>
            </w:r>
            <w:r>
              <w:rPr>
                <w:rFonts w:hint="default" w:ascii="Times New Roman" w:hAnsi="Times New Roman" w:eastAsia="宋体" w:cs="Times New Roman"/>
                <w:color w:val="auto"/>
                <w:sz w:val="24"/>
                <w:lang w:val="en-US" w:eastAsia="zh-CN"/>
              </w:rPr>
              <w:t>、石油类</w:t>
            </w:r>
            <w:r>
              <w:rPr>
                <w:rFonts w:hint="default" w:ascii="Times New Roman" w:hAnsi="Times New Roman" w:eastAsia="宋体" w:cs="Times New Roman"/>
                <w:color w:val="auto"/>
                <w:sz w:val="24"/>
                <w:szCs w:val="24"/>
                <w:lang w:val="en-US" w:eastAsia="zh-CN"/>
              </w:rPr>
              <w:t>；清洁废水</w:t>
            </w:r>
            <w:r>
              <w:rPr>
                <w:rFonts w:hint="eastAsia" w:cs="Times New Roman"/>
                <w:color w:val="auto"/>
                <w:sz w:val="24"/>
                <w:szCs w:val="24"/>
                <w:lang w:val="en-US" w:eastAsia="zh-CN"/>
              </w:rPr>
              <w:t>进入自建污水处理系统进行处理。</w:t>
            </w:r>
          </w:p>
          <w:p w14:paraId="53B442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⑦</w:t>
            </w:r>
            <w:r>
              <w:rPr>
                <w:rFonts w:hint="default" w:ascii="Times New Roman" w:hAnsi="Times New Roman" w:eastAsia="宋体" w:cs="Times New Roman"/>
                <w:color w:val="auto"/>
                <w:sz w:val="24"/>
                <w:szCs w:val="24"/>
                <w:lang w:val="en-US" w:eastAsia="zh-CN"/>
              </w:rPr>
              <w:t>砂壁车间清洗水（W7）</w:t>
            </w:r>
          </w:p>
          <w:p w14:paraId="6C2A07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砂壁成品包装机每天生产结束后需对出料嘴及管道进行冲洗，</w:t>
            </w:r>
            <w:r>
              <w:rPr>
                <w:rFonts w:hint="eastAsia" w:cs="Times New Roman"/>
                <w:color w:val="auto"/>
                <w:sz w:val="24"/>
                <w:szCs w:val="24"/>
                <w:lang w:val="en-US" w:eastAsia="zh-CN"/>
              </w:rPr>
              <w:t>根据建设单位的运行经验，</w:t>
            </w:r>
            <w:r>
              <w:rPr>
                <w:rFonts w:hint="default" w:ascii="Times New Roman" w:hAnsi="Times New Roman" w:eastAsia="宋体" w:cs="Times New Roman"/>
                <w:color w:val="auto"/>
                <w:sz w:val="24"/>
                <w:szCs w:val="24"/>
                <w:lang w:val="en-US" w:eastAsia="zh-CN"/>
              </w:rPr>
              <w:t>1 套砂壁生产线的冲洗用水量约为 1.5m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/d，将产生约1.</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 xml:space="preserve"> 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 的冲洗废水，废水中因含有生产的涂料，水中污染物主要</w:t>
            </w:r>
            <w:r>
              <w:rPr>
                <w:rFonts w:hint="eastAsia" w:ascii="Times New Roman" w:hAnsi="Times New Roman" w:cs="Times New Roman"/>
                <w:color w:val="auto"/>
                <w:sz w:val="24"/>
                <w:lang w:val="en-US" w:eastAsia="zh-CN"/>
              </w:rPr>
              <w:t>pH、</w:t>
            </w:r>
            <w:r>
              <w:rPr>
                <w:rFonts w:hint="default" w:ascii="Times New Roman" w:hAnsi="Times New Roman" w:eastAsia="宋体" w:cs="Times New Roman"/>
                <w:color w:val="auto"/>
                <w:sz w:val="24"/>
                <w:lang w:val="en-US" w:eastAsia="zh-CN"/>
              </w:rPr>
              <w:t>COD、SS、</w:t>
            </w:r>
            <w:r>
              <w:rPr>
                <w:rFonts w:hint="eastAsia" w:ascii="Times New Roman" w:hAnsi="Times New Roman" w:cs="Times New Roman"/>
                <w:color w:val="auto"/>
                <w:sz w:val="24"/>
                <w:lang w:val="en-US" w:eastAsia="zh-CN"/>
              </w:rPr>
              <w:t>色度</w:t>
            </w:r>
            <w:r>
              <w:rPr>
                <w:rFonts w:hint="default" w:ascii="Times New Roman" w:hAnsi="Times New Roman" w:eastAsia="宋体" w:cs="Times New Roman"/>
                <w:color w:val="auto"/>
                <w:sz w:val="24"/>
                <w:lang w:val="en-US" w:eastAsia="zh-CN"/>
              </w:rPr>
              <w:t>、石油类</w:t>
            </w:r>
            <w:r>
              <w:rPr>
                <w:rFonts w:hint="default" w:ascii="Times New Roman" w:hAnsi="Times New Roman" w:eastAsia="宋体" w:cs="Times New Roman"/>
                <w:color w:val="auto"/>
                <w:sz w:val="24"/>
                <w:szCs w:val="24"/>
                <w:lang w:val="en-US" w:eastAsia="zh-CN"/>
              </w:rPr>
              <w:t>；冲洗废水</w:t>
            </w:r>
            <w:r>
              <w:rPr>
                <w:rFonts w:hint="eastAsia" w:cs="Times New Roman"/>
                <w:color w:val="auto"/>
                <w:sz w:val="24"/>
                <w:szCs w:val="24"/>
                <w:lang w:val="en-US" w:eastAsia="zh-CN"/>
              </w:rPr>
              <w:t>进入自建污水处理系统进行处理。</w:t>
            </w:r>
          </w:p>
          <w:p w14:paraId="62D64C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综上可知，</w:t>
            </w:r>
            <w:r>
              <w:rPr>
                <w:rFonts w:hint="eastAsia" w:cs="Times New Roman"/>
                <w:color w:val="auto"/>
                <w:sz w:val="24"/>
                <w:szCs w:val="24"/>
                <w:lang w:val="en-US" w:eastAsia="zh-CN"/>
              </w:rPr>
              <w:t>生产过程中，清洗废水产生量为20.15m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/d</w:t>
            </w:r>
            <w:r>
              <w:rPr>
                <w:rFonts w:hint="eastAsia" w:cs="Times New Roman"/>
                <w:color w:val="auto"/>
                <w:sz w:val="24"/>
                <w:szCs w:val="24"/>
                <w:lang w:val="en-US" w:eastAsia="zh-CN"/>
              </w:rPr>
              <w:t>。</w:t>
            </w:r>
          </w:p>
          <w:p w14:paraId="2DDBDA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⑧产品用水</w:t>
            </w:r>
          </w:p>
          <w:p w14:paraId="39DD83A4">
            <w:pPr>
              <w:pStyle w:val="19"/>
              <w:keepNext w:val="0"/>
              <w:keepLines w:val="0"/>
              <w:pageBreakBefore w:val="0"/>
              <w:widowControl w:val="0"/>
              <w:suppressLineNumbers w:val="0"/>
              <w:kinsoku/>
              <w:wordWrap/>
              <w:overflowPunct/>
              <w:topLinePunct w:val="0"/>
              <w:autoSpaceDE/>
              <w:autoSpaceDN/>
              <w:bidi w:val="0"/>
              <w:snapToGrid w:val="0"/>
              <w:spacing w:before="0" w:beforeAutospacing="0" w:afterAutospacing="0" w:line="360" w:lineRule="auto"/>
              <w:ind w:left="0" w:leftChars="0" w:right="0" w:firstLine="480" w:firstLineChars="200"/>
              <w:textAlignment w:val="auto"/>
              <w:rPr>
                <w:rFonts w:hint="default"/>
                <w:lang w:val="en-US" w:eastAsia="zh-CN"/>
              </w:rPr>
            </w:pPr>
            <w:r>
              <w:rPr>
                <w:rFonts w:hint="eastAsia" w:cs="Times New Roman"/>
                <w:color w:val="auto"/>
                <w:sz w:val="24"/>
                <w:szCs w:val="24"/>
                <w:lang w:val="en-US" w:eastAsia="zh-CN"/>
              </w:rPr>
              <w:t>根据物料平衡，进入砂壁产品的水量为2400.51m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a，8.73m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d；进入乳胶漆的水量为26906.25m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a，107.625m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d。</w:t>
            </w:r>
          </w:p>
          <w:p w14:paraId="50F83E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⑨</w:t>
            </w:r>
            <w:r>
              <w:rPr>
                <w:rFonts w:hint="eastAsia" w:ascii="Times New Roman" w:hAnsi="Times New Roman" w:eastAsia="宋体" w:cs="Times New Roman"/>
                <w:b w:val="0"/>
                <w:bCs w:val="0"/>
                <w:color w:val="auto"/>
                <w:sz w:val="24"/>
                <w:szCs w:val="24"/>
                <w:lang w:val="en-US" w:eastAsia="zh-CN"/>
              </w:rPr>
              <w:t>初期雨水</w:t>
            </w:r>
          </w:p>
          <w:p w14:paraId="309567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项目厂区内设置1个容积为976m</w:t>
            </w:r>
            <w:r>
              <w:rPr>
                <w:rFonts w:hint="eastAsia"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的</w:t>
            </w:r>
            <w:r>
              <w:rPr>
                <w:rFonts w:hint="eastAsia" w:cs="Times New Roman"/>
                <w:color w:val="auto"/>
                <w:sz w:val="24"/>
                <w:szCs w:val="24"/>
                <w:lang w:val="en-US" w:eastAsia="zh-CN"/>
              </w:rPr>
              <w:t>初期雨水收集沉淀池，用于收集全厂初期雨水</w:t>
            </w:r>
            <w:r>
              <w:rPr>
                <w:rFonts w:hint="eastAsia" w:ascii="Times New Roman" w:hAnsi="Times New Roman" w:cs="Times New Roman"/>
                <w:color w:val="auto"/>
                <w:sz w:val="24"/>
                <w:lang w:val="en-US" w:eastAsia="zh-CN"/>
              </w:rPr>
              <w:t>。</w:t>
            </w:r>
          </w:p>
          <w:p w14:paraId="0AF8F112">
            <w:pPr>
              <w:pStyle w:val="10"/>
              <w:keepNext w:val="0"/>
              <w:keepLines w:val="0"/>
              <w:pageBreakBefore w:val="0"/>
              <w:widowControl/>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项目采用最大暴雨的前15分钟雨量为初期雨水量，</w:t>
            </w:r>
            <w:r>
              <w:rPr>
                <w:rFonts w:hint="eastAsia" w:ascii="Times New Roman" w:hAnsi="Times New Roman" w:cs="Times New Roman"/>
                <w:color w:val="auto"/>
                <w:sz w:val="24"/>
                <w:szCs w:val="24"/>
                <w:lang w:val="en-US" w:eastAsia="zh-CN"/>
              </w:rPr>
              <w:t>初期雨水量</w:t>
            </w:r>
            <w:r>
              <w:rPr>
                <w:rFonts w:hint="default" w:ascii="Times New Roman" w:hAnsi="Times New Roman" w:eastAsia="宋体" w:cs="Times New Roman"/>
                <w:color w:val="auto"/>
                <w:sz w:val="24"/>
                <w:szCs w:val="24"/>
              </w:rPr>
              <w:t>参照《建筑与小区雨水利用工程技术规范》（GB50400-2006）</w:t>
            </w:r>
            <w:r>
              <w:rPr>
                <w:rFonts w:hint="eastAsia" w:ascii="Times New Roman" w:hAnsi="Times New Roman" w:eastAsia="宋体" w:cs="Times New Roman"/>
                <w:color w:val="auto"/>
                <w:sz w:val="24"/>
                <w:szCs w:val="24"/>
                <w:lang w:val="en-US" w:eastAsia="zh-CN"/>
              </w:rPr>
              <w:t>公式计算</w:t>
            </w:r>
            <w:r>
              <w:rPr>
                <w:rFonts w:hint="default" w:ascii="Times New Roman" w:hAnsi="Times New Roman" w:eastAsia="宋体" w:cs="Times New Roman"/>
                <w:color w:val="auto"/>
                <w:sz w:val="24"/>
                <w:szCs w:val="24"/>
              </w:rPr>
              <w:t>，估算公式如下：</w:t>
            </w:r>
          </w:p>
          <w:p w14:paraId="397F879B">
            <w:pPr>
              <w:pStyle w:val="106"/>
              <w:keepNext w:val="0"/>
              <w:keepLines w:val="0"/>
              <w:pageBreakBefore w:val="0"/>
              <w:widowControl/>
              <w:suppressLineNumbers w:val="0"/>
              <w:kinsoku/>
              <w:wordWrap/>
              <w:overflowPunct/>
              <w:topLinePunct w:val="0"/>
              <w:autoSpaceDE/>
              <w:autoSpaceDN/>
              <w:bidi w:val="0"/>
              <w:snapToGrid w:val="0"/>
              <w:spacing w:before="0" w:beforeAutospacing="0" w:after="0" w:afterAutospacing="0" w:line="360" w:lineRule="auto"/>
              <w:ind w:left="481" w:leftChars="229" w:right="0" w:firstLine="2040" w:firstLineChars="85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Wi=S×Q×ψ×10</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×1/4</w:t>
            </w:r>
          </w:p>
          <w:p w14:paraId="70908A1D">
            <w:pPr>
              <w:pStyle w:val="106"/>
              <w:keepNext w:val="0"/>
              <w:keepLines w:val="0"/>
              <w:pageBreakBefore w:val="0"/>
              <w:widowControl/>
              <w:suppressLineNumbers w:val="0"/>
              <w:kinsoku/>
              <w:wordWrap/>
              <w:overflowPunct/>
              <w:topLinePunct w:val="0"/>
              <w:autoSpaceDE/>
              <w:autoSpaceDN/>
              <w:bidi w:val="0"/>
              <w:snapToGrid w:val="0"/>
              <w:spacing w:before="0" w:beforeAutospacing="0" w:after="0" w:afterAutospacing="0" w:line="360" w:lineRule="auto"/>
              <w:ind w:left="481" w:leftChars="229" w:right="0" w:firstLine="1560" w:firstLineChars="65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式中Wi——</w:t>
            </w:r>
            <w:r>
              <w:rPr>
                <w:rFonts w:hint="eastAsia" w:cs="Times New Roman"/>
                <w:color w:val="auto"/>
                <w:sz w:val="24"/>
                <w:szCs w:val="24"/>
                <w:lang w:val="en-US" w:eastAsia="zh-CN"/>
              </w:rPr>
              <w:t>地表径流量</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p w14:paraId="265C755D">
            <w:pPr>
              <w:pStyle w:val="106"/>
              <w:keepNext w:val="0"/>
              <w:keepLines w:val="0"/>
              <w:pageBreakBefore w:val="0"/>
              <w:widowControl/>
              <w:suppressLineNumbers w:val="0"/>
              <w:kinsoku/>
              <w:wordWrap/>
              <w:overflowPunct/>
              <w:topLinePunct w:val="0"/>
              <w:autoSpaceDE/>
              <w:autoSpaceDN/>
              <w:bidi w:val="0"/>
              <w:snapToGrid w:val="0"/>
              <w:spacing w:before="0" w:beforeAutospacing="0" w:after="0" w:afterAutospacing="0" w:line="360" w:lineRule="auto"/>
              <w:ind w:left="0" w:right="0" w:firstLine="2640" w:firstLineChars="11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Q——降雨量（mm）</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rPr>
              <w:t>项目所在</w:t>
            </w:r>
            <w:r>
              <w:rPr>
                <w:rFonts w:hint="eastAsia" w:ascii="Times New Roman" w:hAnsi="Times New Roman" w:eastAsia="宋体" w:cs="Times New Roman"/>
                <w:color w:val="auto"/>
                <w:sz w:val="24"/>
                <w:lang w:val="en-US" w:eastAsia="zh-CN"/>
              </w:rPr>
              <w:t>富明县</w:t>
            </w:r>
            <w:r>
              <w:rPr>
                <w:rFonts w:hint="eastAsia" w:cs="Times New Roman"/>
                <w:color w:val="auto"/>
                <w:sz w:val="24"/>
                <w:szCs w:val="24"/>
                <w:lang w:eastAsia="zh-CN"/>
              </w:rPr>
              <w:t>小时最大暴雨量取</w:t>
            </w:r>
            <w:r>
              <w:rPr>
                <w:rFonts w:hint="eastAsia" w:cs="Times New Roman"/>
                <w:color w:val="auto"/>
                <w:sz w:val="24"/>
                <w:szCs w:val="24"/>
                <w:lang w:val="en-US" w:eastAsia="zh-CN"/>
              </w:rPr>
              <w:t>为46.5</w:t>
            </w:r>
            <w:r>
              <w:rPr>
                <w:rFonts w:hint="eastAsia" w:cs="Times New Roman"/>
                <w:color w:val="auto"/>
                <w:sz w:val="24"/>
                <w:szCs w:val="24"/>
                <w:lang w:eastAsia="zh-CN"/>
              </w:rPr>
              <w:t>mm</w:t>
            </w:r>
            <w:r>
              <w:rPr>
                <w:rFonts w:hint="eastAsia" w:cs="Times New Roman"/>
                <w:color w:val="auto"/>
                <w:sz w:val="24"/>
                <w:szCs w:val="24"/>
                <w:lang w:val="en-US" w:eastAsia="zh-CN"/>
              </w:rPr>
              <w:t>。</w:t>
            </w:r>
          </w:p>
          <w:p w14:paraId="3F30FFE3">
            <w:pPr>
              <w:pStyle w:val="106"/>
              <w:keepNext w:val="0"/>
              <w:keepLines w:val="0"/>
              <w:pageBreakBefore w:val="0"/>
              <w:widowControl/>
              <w:suppressLineNumbers w:val="0"/>
              <w:kinsoku/>
              <w:wordWrap/>
              <w:overflowPunct/>
              <w:topLinePunct w:val="0"/>
              <w:autoSpaceDE/>
              <w:autoSpaceDN/>
              <w:bidi w:val="0"/>
              <w:snapToGrid w:val="0"/>
              <w:spacing w:before="0" w:beforeAutospacing="0" w:after="0" w:afterAutospacing="0" w:line="360" w:lineRule="auto"/>
              <w:ind w:left="0" w:right="0" w:firstLine="2640" w:firstLineChars="11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S——汇水面积（m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汇水面积约</w:t>
            </w:r>
            <w:r>
              <w:rPr>
                <w:rFonts w:hint="eastAsia" w:cs="Times New Roman"/>
                <w:color w:val="auto"/>
                <w:sz w:val="24"/>
                <w:szCs w:val="24"/>
                <w:lang w:val="en-US" w:eastAsia="zh-CN"/>
              </w:rPr>
              <w:t>20000</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2</w:t>
            </w:r>
          </w:p>
          <w:p w14:paraId="693E6B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 xml:space="preserve"> </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z w:val="24"/>
                <w:szCs w:val="24"/>
              </w:rPr>
              <w:t>Ψ</w:t>
            </w:r>
            <w:r>
              <w:rPr>
                <w:rFonts w:hint="default" w:ascii="Times New Roman" w:hAnsi="Times New Roman" w:eastAsia="宋体" w:cs="Times New Roman"/>
                <w:color w:val="auto"/>
                <w:sz w:val="24"/>
                <w:szCs w:val="24"/>
                <w:lang w:eastAsia="zh-CN"/>
              </w:rPr>
              <w:t>——为径流系数（取</w:t>
            </w:r>
            <w:r>
              <w:rPr>
                <w:rFonts w:hint="default" w:ascii="Times New Roman" w:hAnsi="Times New Roman" w:eastAsia="宋体" w:cs="Times New Roman"/>
                <w:color w:val="auto"/>
                <w:sz w:val="24"/>
                <w:szCs w:val="24"/>
                <w:lang w:val="en-US" w:eastAsia="zh-CN"/>
              </w:rPr>
              <w:t>0.</w:t>
            </w:r>
            <w:r>
              <w:rPr>
                <w:rFonts w:hint="eastAsia" w:cs="Times New Roman"/>
                <w:color w:val="auto"/>
                <w:sz w:val="24"/>
                <w:szCs w:val="24"/>
                <w:lang w:val="en-US" w:eastAsia="zh-CN"/>
              </w:rPr>
              <w:t>9</w:t>
            </w:r>
            <w:r>
              <w:rPr>
                <w:rFonts w:hint="default" w:ascii="Times New Roman" w:hAnsi="Times New Roman" w:eastAsia="宋体" w:cs="Times New Roman"/>
                <w:color w:val="auto"/>
                <w:sz w:val="24"/>
                <w:szCs w:val="24"/>
                <w:lang w:eastAsia="zh-CN"/>
              </w:rPr>
              <w:t>）</w:t>
            </w:r>
          </w:p>
          <w:p w14:paraId="08C8D6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snapToGrid w:val="0"/>
                <w:color w:val="auto"/>
                <w:kern w:val="0"/>
                <w:sz w:val="24"/>
                <w:szCs w:val="24"/>
                <w:lang w:eastAsia="zh-CN"/>
              </w:rPr>
            </w:pPr>
            <w:r>
              <w:rPr>
                <w:rFonts w:hint="default" w:ascii="Times New Roman" w:hAnsi="Times New Roman" w:eastAsia="宋体" w:cs="Times New Roman"/>
                <w:color w:val="auto"/>
                <w:sz w:val="24"/>
                <w:szCs w:val="24"/>
              </w:rPr>
              <w:t>根据以上计算方法计算项目</w:t>
            </w:r>
            <w:r>
              <w:rPr>
                <w:rFonts w:hint="eastAsia" w:cs="Times New Roman"/>
                <w:color w:val="auto"/>
                <w:sz w:val="24"/>
                <w:szCs w:val="24"/>
                <w:lang w:val="en-US" w:eastAsia="zh-CN"/>
              </w:rPr>
              <w:t>扩建后全厂</w:t>
            </w:r>
            <w:r>
              <w:rPr>
                <w:rFonts w:hint="default" w:ascii="Times New Roman" w:hAnsi="Times New Roman" w:eastAsia="宋体" w:cs="Times New Roman"/>
                <w:color w:val="auto"/>
                <w:sz w:val="24"/>
                <w:szCs w:val="24"/>
              </w:rPr>
              <w:t>区</w:t>
            </w:r>
            <w:r>
              <w:rPr>
                <w:rFonts w:hint="eastAsia" w:cs="Times New Roman"/>
                <w:color w:val="auto"/>
                <w:sz w:val="24"/>
                <w:szCs w:val="24"/>
                <w:lang w:val="en-US" w:eastAsia="zh-CN"/>
              </w:rPr>
              <w:t>初期雨水量</w:t>
            </w:r>
            <w:r>
              <w:rPr>
                <w:rFonts w:hint="default" w:ascii="Times New Roman" w:hAnsi="Times New Roman" w:eastAsia="宋体" w:cs="Times New Roman"/>
                <w:color w:val="auto"/>
                <w:sz w:val="24"/>
                <w:szCs w:val="24"/>
              </w:rPr>
              <w:t>为</w:t>
            </w:r>
            <w:r>
              <w:rPr>
                <w:rFonts w:hint="eastAsia" w:cs="Times New Roman"/>
                <w:color w:val="auto"/>
                <w:sz w:val="24"/>
                <w:szCs w:val="24"/>
                <w:lang w:val="en-US" w:eastAsia="zh-CN"/>
              </w:rPr>
              <w:t>209</w:t>
            </w:r>
            <w:r>
              <w:rPr>
                <w:rFonts w:hint="default" w:ascii="Times New Roman" w:hAnsi="Times New Roman" w:eastAsia="宋体" w:cs="Times New Roman"/>
                <w:color w:val="auto"/>
                <w:sz w:val="24"/>
                <w:szCs w:val="24"/>
              </w:rPr>
              <w:t>m³</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次</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4.77</w:t>
            </w:r>
            <w:r>
              <w:rPr>
                <w:rFonts w:hint="default" w:ascii="Times New Roman" w:hAnsi="Times New Roman" w:eastAsia="宋体" w:cs="Times New Roman"/>
                <w:color w:val="auto"/>
                <w:sz w:val="24"/>
                <w:szCs w:val="24"/>
              </w:rPr>
              <w:t>m³</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d、</w:t>
            </w:r>
            <w:r>
              <w:rPr>
                <w:rFonts w:hint="eastAsia" w:cs="Times New Roman"/>
                <w:color w:val="auto"/>
                <w:sz w:val="24"/>
                <w:szCs w:val="24"/>
                <w:lang w:val="en-US" w:eastAsia="zh-CN"/>
              </w:rPr>
              <w:t>1740</w:t>
            </w:r>
            <w:r>
              <w:rPr>
                <w:rFonts w:hint="default" w:ascii="Times New Roman" w:hAnsi="Times New Roman" w:eastAsia="宋体" w:cs="Times New Roman"/>
                <w:color w:val="auto"/>
                <w:sz w:val="24"/>
                <w:szCs w:val="24"/>
              </w:rPr>
              <w:t>m³</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a</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雨天按</w:t>
            </w:r>
            <w:r>
              <w:rPr>
                <w:rFonts w:hint="eastAsia" w:ascii="Times New Roman" w:hAnsi="Times New Roman" w:eastAsia="宋体" w:cs="Times New Roman"/>
                <w:color w:val="auto"/>
                <w:sz w:val="24"/>
                <w:szCs w:val="24"/>
                <w:lang w:val="en-US" w:eastAsia="zh-CN"/>
              </w:rPr>
              <w:t>126</w:t>
            </w:r>
            <w:r>
              <w:rPr>
                <w:rFonts w:hint="default" w:ascii="Times New Roman" w:hAnsi="Times New Roman" w:eastAsia="宋体" w:cs="Times New Roman"/>
                <w:color w:val="auto"/>
                <w:sz w:val="24"/>
                <w:szCs w:val="24"/>
                <w:lang w:val="en-US" w:eastAsia="zh-CN"/>
              </w:rPr>
              <w:t>天计算</w:t>
            </w:r>
            <w:r>
              <w:rPr>
                <w:rFonts w:hint="eastAsia" w:cs="Times New Roman"/>
                <w:color w:val="auto"/>
                <w:sz w:val="24"/>
                <w:szCs w:val="24"/>
                <w:lang w:val="en-US" w:eastAsia="zh-CN"/>
              </w:rPr>
              <w:t>，考虑存在连续降雨天数，初期雨水收集次数按80次计</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p>
          <w:p w14:paraId="63FD0D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lang w:val="zh-CN"/>
              </w:rPr>
              <w:t>项目在</w:t>
            </w:r>
            <w:r>
              <w:rPr>
                <w:rFonts w:hint="eastAsia" w:cs="Times New Roman"/>
                <w:color w:val="auto"/>
                <w:sz w:val="24"/>
                <w:szCs w:val="24"/>
                <w:lang w:val="en-US" w:eastAsia="zh-CN"/>
              </w:rPr>
              <w:t>厂区南侧</w:t>
            </w:r>
            <w:r>
              <w:rPr>
                <w:rFonts w:hint="default" w:ascii="Times New Roman" w:hAnsi="Times New Roman" w:eastAsia="宋体" w:cs="Times New Roman"/>
                <w:color w:val="auto"/>
                <w:sz w:val="24"/>
                <w:szCs w:val="24"/>
                <w:lang w:val="zh-CN" w:eastAsia="zh-CN"/>
              </w:rPr>
              <w:t>建设</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zh-CN" w:eastAsia="zh-CN"/>
              </w:rPr>
              <w:t>个初期雨水</w:t>
            </w:r>
            <w:r>
              <w:rPr>
                <w:rFonts w:hint="default" w:ascii="Times New Roman" w:hAnsi="Times New Roman" w:eastAsia="宋体" w:cs="Times New Roman"/>
                <w:color w:val="auto"/>
                <w:sz w:val="24"/>
                <w:szCs w:val="24"/>
                <w:lang w:val="en-US" w:eastAsia="zh-CN"/>
              </w:rPr>
              <w:t>三级沉淀</w:t>
            </w:r>
            <w:r>
              <w:rPr>
                <w:rFonts w:hint="default" w:ascii="Times New Roman" w:hAnsi="Times New Roman" w:eastAsia="宋体" w:cs="Times New Roman"/>
                <w:color w:val="auto"/>
                <w:sz w:val="24"/>
                <w:szCs w:val="24"/>
                <w:lang w:val="zh-CN" w:eastAsia="zh-CN"/>
              </w:rPr>
              <w:t>池，</w:t>
            </w:r>
            <w:r>
              <w:rPr>
                <w:rFonts w:hint="default" w:ascii="Times New Roman" w:hAnsi="Times New Roman" w:eastAsia="宋体" w:cs="Times New Roman"/>
                <w:color w:val="auto"/>
                <w:sz w:val="24"/>
                <w:szCs w:val="24"/>
                <w:lang w:val="en-US" w:eastAsia="zh-CN"/>
              </w:rPr>
              <w:t>总容积约为</w:t>
            </w:r>
            <w:r>
              <w:rPr>
                <w:rFonts w:hint="eastAsia" w:ascii="Times New Roman" w:hAnsi="Times New Roman" w:eastAsia="宋体" w:cs="Times New Roman"/>
                <w:color w:val="auto"/>
                <w:sz w:val="24"/>
                <w:szCs w:val="24"/>
                <w:lang w:val="en-US" w:eastAsia="zh-CN"/>
              </w:rPr>
              <w:t>976</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vertAlign w:val="baseline"/>
                <w:lang w:eastAsia="zh-CN"/>
              </w:rPr>
              <w:t>，</w:t>
            </w:r>
            <w:r>
              <w:rPr>
                <w:rFonts w:hint="default" w:ascii="Times New Roman" w:hAnsi="Times New Roman" w:eastAsia="宋体" w:cs="Times New Roman"/>
                <w:color w:val="auto"/>
                <w:sz w:val="24"/>
                <w:szCs w:val="24"/>
                <w:lang w:val="zh-CN" w:eastAsia="zh-CN"/>
              </w:rPr>
              <w:t>设置控制阀门，前15min的初期雨水经</w:t>
            </w:r>
            <w:r>
              <w:rPr>
                <w:rFonts w:hint="eastAsia" w:cs="Times New Roman"/>
                <w:color w:val="auto"/>
                <w:sz w:val="24"/>
                <w:szCs w:val="24"/>
                <w:lang w:val="en-US" w:eastAsia="zh-CN"/>
              </w:rPr>
              <w:t>沉淀</w:t>
            </w:r>
            <w:r>
              <w:rPr>
                <w:rFonts w:hint="default" w:ascii="Times New Roman" w:hAnsi="Times New Roman" w:eastAsia="宋体" w:cs="Times New Roman"/>
                <w:color w:val="auto"/>
                <w:sz w:val="24"/>
                <w:szCs w:val="24"/>
                <w:lang w:val="zh-CN" w:eastAsia="zh-CN"/>
              </w:rPr>
              <w:t>后</w:t>
            </w:r>
            <w:r>
              <w:rPr>
                <w:rFonts w:hint="eastAsia" w:cs="Times New Roman"/>
                <w:color w:val="auto"/>
                <w:sz w:val="24"/>
                <w:szCs w:val="24"/>
                <w:lang w:val="en-US" w:eastAsia="zh-CN"/>
              </w:rPr>
              <w:t>排入园区污水管网，</w:t>
            </w:r>
            <w:r>
              <w:rPr>
                <w:rFonts w:hint="default" w:ascii="Times New Roman" w:hAnsi="Times New Roman" w:eastAsia="宋体" w:cs="Times New Roman"/>
                <w:color w:val="auto"/>
                <w:sz w:val="24"/>
                <w:szCs w:val="24"/>
                <w:lang w:val="zh-CN" w:eastAsia="zh-CN"/>
              </w:rPr>
              <w:t>15min</w:t>
            </w:r>
            <w:r>
              <w:rPr>
                <w:rFonts w:hint="eastAsia" w:ascii="Times New Roman" w:hAnsi="Times New Roman" w:eastAsia="宋体" w:cs="Times New Roman"/>
                <w:color w:val="auto"/>
                <w:sz w:val="24"/>
                <w:szCs w:val="24"/>
                <w:lang w:val="en-US" w:eastAsia="zh-CN"/>
              </w:rPr>
              <w:t>后的雨水进入园区雨水管网</w:t>
            </w:r>
            <w:r>
              <w:rPr>
                <w:rFonts w:hint="default" w:ascii="Times New Roman" w:hAnsi="Times New Roman" w:eastAsia="宋体" w:cs="Times New Roman"/>
                <w:color w:val="auto"/>
                <w:sz w:val="24"/>
                <w:szCs w:val="24"/>
                <w:vertAlign w:val="baseline"/>
                <w:lang w:eastAsia="zh-CN"/>
              </w:rPr>
              <w:t>。</w:t>
            </w:r>
          </w:p>
          <w:p w14:paraId="3F2B1B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本项目生活污水经隔油池</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化粪池预处理后，</w:t>
            </w:r>
            <w:r>
              <w:rPr>
                <w:rFonts w:hint="eastAsia" w:cs="Times New Roman"/>
                <w:color w:val="auto"/>
                <w:sz w:val="24"/>
                <w:szCs w:val="24"/>
                <w:lang w:val="en-US" w:eastAsia="zh-CN"/>
              </w:rPr>
              <w:t>同生产</w:t>
            </w:r>
            <w:r>
              <w:rPr>
                <w:rFonts w:hint="eastAsia" w:ascii="Times New Roman" w:hAnsi="Times New Roman" w:eastAsia="宋体" w:cs="Times New Roman"/>
                <w:color w:val="auto"/>
                <w:sz w:val="24"/>
                <w:szCs w:val="24"/>
                <w:lang w:val="en-US" w:eastAsia="zh-CN"/>
              </w:rPr>
              <w:t>废水一同进入自建的污水处理系统进行处理</w:t>
            </w:r>
            <w:r>
              <w:rPr>
                <w:rFonts w:hint="eastAsia" w:cs="Times New Roman"/>
                <w:color w:val="auto"/>
                <w:sz w:val="24"/>
                <w:szCs w:val="24"/>
                <w:lang w:val="en-US" w:eastAsia="zh-CN"/>
              </w:rPr>
              <w:t>，处理达《污水排入城镇下水道水质标准》（GB/T131962-2015）表1中A级标准后进入园区污水管网。</w:t>
            </w:r>
            <w:r>
              <w:rPr>
                <w:rFonts w:hint="default" w:ascii="Times New Roman" w:hAnsi="Times New Roman" w:eastAsia="宋体" w:cs="Times New Roman"/>
                <w:color w:val="auto"/>
                <w:sz w:val="24"/>
                <w:szCs w:val="24"/>
                <w:lang w:val="en-US" w:eastAsia="zh-CN"/>
              </w:rPr>
              <w:t>项目水量平衡详见图2-4。</w:t>
            </w:r>
          </w:p>
          <w:p w14:paraId="7DD175ED">
            <w:pPr>
              <w:pStyle w:val="12"/>
              <w:keepNext w:val="0"/>
              <w:keepLines w:val="0"/>
              <w:suppressLineNumbers w:val="0"/>
              <w:spacing w:beforeAutospacing="0" w:afterAutospacing="0"/>
              <w:ind w:left="0"/>
              <w:rPr>
                <w:rFonts w:hint="default"/>
                <w:lang w:val="en-US" w:eastAsia="zh-CN"/>
              </w:rPr>
            </w:pPr>
            <w:r>
              <w:rPr>
                <w:rFonts w:hint="default"/>
                <w:lang w:val="en-US" w:eastAsia="zh-CN"/>
              </w:rPr>
              <w:object>
                <v:shape id="_x0000_i1025" o:spt="75" type="#_x0000_t75" style="height:421.55pt;width:343.1pt;" o:ole="t" filled="f" o:preferrelative="t" stroked="f" coordsize="21600,21600">
                  <v:path/>
                  <v:fill on="f" focussize="0,0"/>
                  <v:stroke on="f"/>
                  <v:imagedata r:id="rId24" o:title=""/>
                  <o:lock v:ext="edit" aspectratio="f"/>
                  <w10:wrap type="none"/>
                  <w10:anchorlock/>
                </v:shape>
                <o:OLEObject Type="Embed" ProgID="Visio.Drawing.15" ShapeID="_x0000_i1025" DrawAspect="Content" ObjectID="_1468075725" r:id="rId23">
                  <o:LockedField>false</o:LockedField>
                </o:OLEObject>
              </w:object>
            </w:r>
          </w:p>
          <w:p w14:paraId="385EFB75">
            <w:pPr>
              <w:pStyle w:val="37"/>
              <w:keepNext/>
              <w:keepLines/>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textAlignment w:val="auto"/>
              <w:rPr>
                <w:rFonts w:hint="default" w:ascii="Times New Roman" w:hAnsi="Times New Roman" w:eastAsia="宋体" w:cs="Times New Roman"/>
                <w:color w:val="auto"/>
                <w:sz w:val="24"/>
                <w:szCs w:val="24"/>
                <w:lang w:val="en-US" w:eastAsia="zh-CN"/>
              </w:rPr>
            </w:pPr>
            <w:r>
              <w:rPr>
                <w:rFonts w:hint="eastAsia" w:hAnsi="Times New Roman" w:cs="Times New Roman"/>
                <w:b/>
                <w:bCs/>
                <w:color w:val="auto"/>
                <w:sz w:val="21"/>
                <w:szCs w:val="24"/>
                <w:lang w:eastAsia="zh-CN"/>
              </w:rPr>
              <w:t>图</w:t>
            </w:r>
            <w:r>
              <w:rPr>
                <w:rFonts w:hint="default" w:ascii="Times New Roman" w:hAnsi="Times New Roman" w:eastAsia="宋体" w:cs="Times New Roman"/>
                <w:b/>
                <w:bCs/>
                <w:color w:val="auto"/>
                <w:sz w:val="21"/>
                <w:szCs w:val="24"/>
                <w:lang w:val="en-US" w:eastAsia="zh-CN"/>
              </w:rPr>
              <w:t>2</w:t>
            </w:r>
            <w:r>
              <w:rPr>
                <w:rFonts w:hint="default" w:ascii="Times New Roman" w:hAnsi="Times New Roman" w:eastAsia="宋体" w:cs="Times New Roman"/>
                <w:b/>
                <w:bCs/>
                <w:color w:val="auto"/>
                <w:sz w:val="21"/>
                <w:szCs w:val="24"/>
              </w:rPr>
              <w:t>-</w:t>
            </w:r>
            <w:r>
              <w:rPr>
                <w:rFonts w:hint="eastAsia" w:hAnsi="Times New Roman" w:cs="Times New Roman"/>
                <w:b/>
                <w:bCs/>
                <w:color w:val="auto"/>
                <w:sz w:val="21"/>
                <w:szCs w:val="24"/>
                <w:lang w:val="en-US" w:eastAsia="zh-CN"/>
              </w:rPr>
              <w:t>1</w:t>
            </w:r>
            <w:r>
              <w:rPr>
                <w:rFonts w:hint="default" w:ascii="Times New Roman" w:hAnsi="Times New Roman" w:eastAsia="宋体" w:cs="Times New Roman"/>
                <w:b/>
                <w:bCs/>
                <w:color w:val="auto"/>
                <w:sz w:val="21"/>
                <w:szCs w:val="24"/>
                <w:lang w:val="en-US" w:eastAsia="zh-CN"/>
              </w:rPr>
              <w:t xml:space="preserve"> </w:t>
            </w:r>
            <w:r>
              <w:rPr>
                <w:rFonts w:hint="default" w:ascii="Times New Roman" w:hAnsi="Times New Roman" w:eastAsia="宋体" w:cs="Times New Roman"/>
                <w:b/>
                <w:bCs/>
                <w:color w:val="auto"/>
                <w:sz w:val="21"/>
                <w:szCs w:val="24"/>
              </w:rPr>
              <w:t xml:space="preserve"> </w:t>
            </w:r>
            <w:r>
              <w:rPr>
                <w:rFonts w:hint="eastAsia" w:cs="Times New Roman"/>
                <w:b/>
                <w:bCs/>
                <w:color w:val="auto"/>
                <w:sz w:val="21"/>
                <w:szCs w:val="24"/>
                <w:lang w:eastAsia="zh-CN"/>
              </w:rPr>
              <w:t>厂区</w:t>
            </w:r>
            <w:r>
              <w:rPr>
                <w:rFonts w:hint="default" w:ascii="Times New Roman" w:hAnsi="Times New Roman" w:eastAsia="宋体" w:cs="Times New Roman"/>
                <w:b/>
                <w:bCs/>
                <w:color w:val="auto"/>
                <w:sz w:val="21"/>
                <w:szCs w:val="24"/>
              </w:rPr>
              <w:t>水平衡图</w:t>
            </w:r>
            <w:r>
              <w:rPr>
                <w:rFonts w:hint="eastAsia" w:cs="Times New Roman"/>
                <w:b/>
                <w:bCs/>
                <w:color w:val="auto"/>
                <w:sz w:val="21"/>
                <w:szCs w:val="24"/>
                <w:lang w:val="en-US" w:eastAsia="zh-CN"/>
              </w:rPr>
              <w:t xml:space="preserve">   单位：m</w:t>
            </w:r>
            <w:r>
              <w:rPr>
                <w:rFonts w:hint="eastAsia" w:cs="Times New Roman"/>
                <w:b/>
                <w:bCs/>
                <w:color w:val="auto"/>
                <w:sz w:val="21"/>
                <w:szCs w:val="24"/>
                <w:vertAlign w:val="superscript"/>
                <w:lang w:val="en-US" w:eastAsia="zh-CN"/>
              </w:rPr>
              <w:t>3</w:t>
            </w:r>
            <w:r>
              <w:rPr>
                <w:rFonts w:hint="eastAsia" w:ascii="Times New Roman" w:hAnsi="Times New Roman" w:eastAsia="宋体" w:cs="Times New Roman"/>
                <w:b/>
                <w:bCs/>
                <w:color w:val="auto"/>
                <w:sz w:val="21"/>
                <w:szCs w:val="24"/>
                <w:lang w:val="en-US" w:eastAsia="zh-CN"/>
              </w:rPr>
              <w:t xml:space="preserve">/d  </w:t>
            </w:r>
          </w:p>
        </w:tc>
      </w:tr>
      <w:tr w14:paraId="7B3074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10" w:hRule="atLeast"/>
          <w:jc w:val="center"/>
        </w:trPr>
        <w:tc>
          <w:tcPr>
            <w:tcW w:w="448" w:type="dxa"/>
            <w:noWrap w:val="0"/>
            <w:vAlign w:val="center"/>
          </w:tcPr>
          <w:p w14:paraId="702A3D70">
            <w:pPr>
              <w:pStyle w:val="2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工艺流程和产排污环节</w:t>
            </w:r>
          </w:p>
        </w:tc>
        <w:tc>
          <w:tcPr>
            <w:tcW w:w="8612" w:type="dxa"/>
            <w:noWrap w:val="0"/>
            <w:vAlign w:val="top"/>
          </w:tcPr>
          <w:p w14:paraId="697D15C1">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spacing w:val="0"/>
                <w:w w:val="100"/>
                <w:position w:val="0"/>
                <w:sz w:val="24"/>
                <w:szCs w:val="24"/>
                <w:highlight w:val="none"/>
                <w:lang w:val="en-US" w:eastAsia="zh-CN"/>
              </w:rPr>
            </w:pPr>
            <w:r>
              <w:rPr>
                <w:rFonts w:hint="default" w:ascii="Times New Roman" w:hAnsi="Times New Roman" w:eastAsia="宋体" w:cs="Times New Roman"/>
                <w:b/>
                <w:bCs/>
                <w:color w:val="auto"/>
                <w:spacing w:val="0"/>
                <w:w w:val="100"/>
                <w:position w:val="0"/>
                <w:sz w:val="24"/>
                <w:szCs w:val="24"/>
                <w:highlight w:val="none"/>
                <w:lang w:val="en-US" w:eastAsia="zh-CN"/>
              </w:rPr>
              <w:t>主要流程简述（图示）：</w:t>
            </w:r>
          </w:p>
          <w:p w14:paraId="54A23013">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spacing w:val="0"/>
                <w:w w:val="100"/>
                <w:position w:val="0"/>
                <w:sz w:val="24"/>
                <w:szCs w:val="24"/>
                <w:highlight w:val="none"/>
                <w:lang w:val="en-US" w:eastAsia="zh-CN"/>
              </w:rPr>
            </w:pPr>
            <w:r>
              <w:rPr>
                <w:rFonts w:hint="default" w:ascii="Times New Roman" w:hAnsi="Times New Roman" w:eastAsia="宋体" w:cs="Times New Roman"/>
                <w:b/>
                <w:bCs/>
                <w:color w:val="auto"/>
                <w:spacing w:val="0"/>
                <w:w w:val="100"/>
                <w:position w:val="0"/>
                <w:sz w:val="24"/>
                <w:szCs w:val="24"/>
                <w:highlight w:val="none"/>
                <w:lang w:val="en-US" w:eastAsia="zh-CN"/>
              </w:rPr>
              <w:t>一、施工期工艺流程</w:t>
            </w:r>
          </w:p>
          <w:p w14:paraId="7633A5F6">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spacing w:val="0"/>
                <w:w w:val="100"/>
                <w:position w:val="0"/>
                <w:sz w:val="24"/>
                <w:szCs w:val="24"/>
                <w:highlight w:val="none"/>
                <w:lang w:val="en-US" w:eastAsia="zh-CN"/>
              </w:rPr>
            </w:pPr>
            <w:r>
              <w:rPr>
                <w:rFonts w:hint="default" w:ascii="Times New Roman" w:hAnsi="Times New Roman" w:eastAsia="宋体" w:cs="Times New Roman"/>
                <w:b/>
                <w:bCs/>
                <w:color w:val="auto"/>
                <w:spacing w:val="0"/>
                <w:w w:val="100"/>
                <w:position w:val="0"/>
                <w:sz w:val="24"/>
                <w:szCs w:val="24"/>
                <w:highlight w:val="none"/>
                <w:lang w:val="en-US" w:eastAsia="zh-CN"/>
              </w:rPr>
              <w:t>1、工艺流程简述</w:t>
            </w:r>
          </w:p>
          <w:p w14:paraId="21B3F2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w:t>
            </w:r>
            <w:r>
              <w:rPr>
                <w:rFonts w:hint="eastAsia" w:cs="Times New Roman"/>
                <w:color w:val="auto"/>
                <w:sz w:val="24"/>
                <w:szCs w:val="24"/>
                <w:lang w:eastAsia="zh-CN"/>
              </w:rPr>
              <w:t>为扩建项目，</w:t>
            </w:r>
            <w:r>
              <w:rPr>
                <w:rFonts w:hint="eastAsia" w:cs="Times New Roman"/>
                <w:color w:val="auto"/>
                <w:sz w:val="24"/>
                <w:szCs w:val="24"/>
                <w:lang w:val="en-US" w:eastAsia="zh-CN"/>
              </w:rPr>
              <w:t>依托</w:t>
            </w:r>
            <w:r>
              <w:rPr>
                <w:rFonts w:hint="eastAsia" w:ascii="Times New Roman" w:hAnsi="Times New Roman" w:eastAsia="宋体" w:cs="Times New Roman"/>
                <w:color w:val="auto"/>
                <w:sz w:val="24"/>
                <w:szCs w:val="24"/>
                <w:lang w:val="en-US" w:eastAsia="zh-CN"/>
              </w:rPr>
              <w:t>原有生产线进行扩建，</w:t>
            </w:r>
            <w:r>
              <w:rPr>
                <w:rFonts w:hint="default" w:ascii="Times New Roman" w:hAnsi="Times New Roman" w:eastAsia="宋体" w:cs="Times New Roman"/>
                <w:color w:val="auto"/>
                <w:sz w:val="24"/>
                <w:szCs w:val="24"/>
                <w:lang w:val="en-US" w:eastAsia="zh-CN"/>
              </w:rPr>
              <w:t>主体建筑均已建成，施工期主要进行生产线技术改进，设备更新、设备增加</w:t>
            </w:r>
            <w:r>
              <w:rPr>
                <w:rFonts w:hint="eastAsia" w:ascii="Times New Roman" w:hAnsi="Times New Roman" w:eastAsia="宋体" w:cs="Times New Roman"/>
                <w:color w:val="auto"/>
                <w:sz w:val="24"/>
                <w:szCs w:val="24"/>
                <w:lang w:val="en-US" w:eastAsia="zh-CN"/>
              </w:rPr>
              <w:t>、环保设施完善</w:t>
            </w:r>
            <w:r>
              <w:rPr>
                <w:rFonts w:hint="default" w:ascii="Times New Roman" w:hAnsi="Times New Roman" w:eastAsia="宋体" w:cs="Times New Roman"/>
                <w:color w:val="auto"/>
                <w:sz w:val="24"/>
                <w:szCs w:val="24"/>
                <w:lang w:val="en-US" w:eastAsia="zh-CN"/>
              </w:rPr>
              <w:t>等。</w:t>
            </w:r>
          </w:p>
          <w:p w14:paraId="21CDAB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项目施工期施工人员为</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人，聘用当地居民进行施工，项目区不设施工营地，施工人员不在项目区食宿</w:t>
            </w:r>
            <w:r>
              <w:rPr>
                <w:rFonts w:hint="default" w:ascii="Times New Roman" w:hAnsi="Times New Roman" w:eastAsia="宋体" w:cs="Times New Roman"/>
                <w:color w:val="auto"/>
                <w:sz w:val="24"/>
                <w:szCs w:val="24"/>
              </w:rPr>
              <w:t>。</w:t>
            </w:r>
          </w:p>
          <w:p w14:paraId="0B4F5304">
            <w:pPr>
              <w:pStyle w:val="19"/>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420" w:leftChars="200" w:right="0" w:firstLine="0" w:firstLineChars="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项目施工期工艺流程图</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p>
          <w:p w14:paraId="21E531E7">
            <w:pPr>
              <w:keepNext w:val="0"/>
              <w:keepLines w:val="0"/>
              <w:suppressLineNumbers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26" o:spt="75" type="#_x0000_t75" style="height:82.4pt;width:338.75pt;" o:ole="t" filled="f" o:preferrelative="t" stroked="f" coordsize="21600,21600">
                  <v:path/>
                  <v:fill on="f" focussize="0,0"/>
                  <v:stroke on="f"/>
                  <v:imagedata r:id="rId26" o:title=""/>
                  <o:lock v:ext="edit" aspectratio="t"/>
                  <w10:wrap type="none"/>
                  <w10:anchorlock/>
                </v:shape>
                <o:OLEObject Type="Embed" ProgID="Visio.Drawing.11" ShapeID="_x0000_i1026" DrawAspect="Content" ObjectID="_1468075726" r:id="rId25">
                  <o:LockedField>false</o:LockedField>
                </o:OLEObject>
              </w:object>
            </w:r>
          </w:p>
          <w:p w14:paraId="10DABBEF">
            <w:pPr>
              <w:pStyle w:val="15"/>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2"/>
                <w:szCs w:val="22"/>
              </w:rPr>
              <w:t>图</w:t>
            </w:r>
            <w:r>
              <w:rPr>
                <w:rFonts w:hint="default" w:ascii="Times New Roman" w:hAnsi="Times New Roman" w:eastAsia="宋体" w:cs="Times New Roman"/>
                <w:b/>
                <w:bCs/>
                <w:color w:val="auto"/>
                <w:sz w:val="22"/>
                <w:szCs w:val="22"/>
                <w:lang w:val="en-US" w:eastAsia="zh-CN"/>
              </w:rPr>
              <w:t>2-</w:t>
            </w:r>
            <w:r>
              <w:rPr>
                <w:rFonts w:hint="eastAsia" w:ascii="Times New Roman" w:hAnsi="Times New Roman" w:cs="Times New Roman"/>
                <w:b/>
                <w:bCs/>
                <w:color w:val="auto"/>
                <w:sz w:val="22"/>
                <w:szCs w:val="22"/>
                <w:lang w:val="en-US" w:eastAsia="zh-CN"/>
              </w:rPr>
              <w:t>2</w:t>
            </w:r>
            <w:r>
              <w:rPr>
                <w:rFonts w:hint="default" w:ascii="Times New Roman" w:hAnsi="Times New Roman" w:eastAsia="宋体" w:cs="Times New Roman"/>
                <w:b/>
                <w:bCs/>
                <w:color w:val="auto"/>
                <w:sz w:val="22"/>
                <w:szCs w:val="22"/>
              </w:rPr>
              <w:t xml:space="preserve">  施工</w:t>
            </w:r>
            <w:r>
              <w:rPr>
                <w:rFonts w:hint="default" w:ascii="Times New Roman" w:hAnsi="Times New Roman" w:eastAsia="宋体" w:cs="Times New Roman"/>
                <w:b/>
                <w:bCs/>
                <w:color w:val="auto"/>
                <w:sz w:val="22"/>
                <w:szCs w:val="22"/>
                <w:lang w:eastAsia="zh-CN"/>
              </w:rPr>
              <w:t>期工艺</w:t>
            </w:r>
            <w:r>
              <w:rPr>
                <w:rFonts w:hint="default" w:ascii="Times New Roman" w:hAnsi="Times New Roman" w:eastAsia="宋体" w:cs="Times New Roman"/>
                <w:b/>
                <w:bCs/>
                <w:color w:val="auto"/>
                <w:sz w:val="22"/>
                <w:szCs w:val="22"/>
              </w:rPr>
              <w:t>流程图</w:t>
            </w:r>
          </w:p>
          <w:p w14:paraId="1EFD333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baseline"/>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2、施工期产污环节简介</w:t>
            </w:r>
          </w:p>
          <w:p w14:paraId="0D0AB9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项目施工期主要在现有厂房内进行设备的安装及环保工程建设，主要产生的污染物为施工废水、扬尘、固废、噪声等。</w:t>
            </w:r>
          </w:p>
          <w:p w14:paraId="289EA8E9">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spacing w:val="0"/>
                <w:w w:val="100"/>
                <w:position w:val="0"/>
                <w:sz w:val="24"/>
                <w:szCs w:val="24"/>
                <w:highlight w:val="none"/>
                <w:lang w:val="en-US" w:eastAsia="zh-CN"/>
              </w:rPr>
            </w:pPr>
            <w:r>
              <w:rPr>
                <w:rFonts w:hint="default" w:ascii="Times New Roman" w:hAnsi="Times New Roman" w:eastAsia="宋体" w:cs="Times New Roman"/>
                <w:b/>
                <w:bCs/>
                <w:color w:val="auto"/>
                <w:spacing w:val="0"/>
                <w:w w:val="100"/>
                <w:position w:val="0"/>
                <w:sz w:val="24"/>
                <w:szCs w:val="24"/>
                <w:highlight w:val="none"/>
                <w:lang w:val="en-US" w:eastAsia="zh-CN"/>
              </w:rPr>
              <w:t>二、运营期工艺流程</w:t>
            </w:r>
          </w:p>
          <w:p w14:paraId="27D73391">
            <w:pPr>
              <w:pStyle w:val="69"/>
              <w:keepNext w:val="0"/>
              <w:keepLines w:val="0"/>
              <w:suppressLineNumbers w:val="0"/>
              <w:adjustRightInd/>
              <w:spacing w:before="0" w:beforeAutospacing="0" w:after="0" w:afterAutospacing="0"/>
              <w:ind w:left="0" w:right="0"/>
              <w:rPr>
                <w:rFonts w:hint="default" w:ascii="Times New Roman" w:hAnsi="Times New Roman" w:eastAsia="宋体" w:cs="Times New Roman"/>
                <w:color w:val="auto"/>
              </w:rPr>
            </w:pPr>
            <w:r>
              <w:rPr>
                <w:rFonts w:hint="eastAsia" w:cs="Times New Roman"/>
                <w:color w:val="auto"/>
                <w:lang w:eastAsia="zh-CN"/>
              </w:rPr>
              <w:t>厂区内共</w:t>
            </w:r>
            <w:r>
              <w:rPr>
                <w:rFonts w:hint="eastAsia" w:cs="Times New Roman"/>
                <w:color w:val="auto"/>
                <w:lang w:val="en-US" w:eastAsia="zh-CN"/>
              </w:rPr>
              <w:t>设置</w:t>
            </w:r>
            <w:r>
              <w:rPr>
                <w:rFonts w:hint="eastAsia" w:cs="Times New Roman"/>
                <w:color w:val="auto"/>
                <w:lang w:eastAsia="zh-CN"/>
              </w:rPr>
              <w:t>有</w:t>
            </w:r>
            <w:r>
              <w:rPr>
                <w:rFonts w:hint="eastAsia" w:cs="Times New Roman"/>
                <w:color w:val="auto"/>
                <w:lang w:val="en-US" w:eastAsia="zh-CN"/>
              </w:rPr>
              <w:t>5</w:t>
            </w:r>
            <w:r>
              <w:rPr>
                <w:rFonts w:hint="default" w:ascii="Times New Roman" w:hAnsi="Times New Roman" w:eastAsia="宋体" w:cs="Times New Roman"/>
                <w:color w:val="auto"/>
              </w:rPr>
              <w:t>条生产线（</w:t>
            </w:r>
            <w:r>
              <w:rPr>
                <w:rFonts w:hint="eastAsia" w:cs="Times New Roman"/>
                <w:color w:val="auto"/>
                <w:lang w:val="en-US" w:eastAsia="zh-CN"/>
              </w:rPr>
              <w:t>2</w:t>
            </w:r>
            <w:r>
              <w:rPr>
                <w:rFonts w:hint="default" w:ascii="Times New Roman" w:hAnsi="Times New Roman" w:eastAsia="宋体" w:cs="Times New Roman"/>
                <w:color w:val="auto"/>
              </w:rPr>
              <w:t>条</w:t>
            </w:r>
            <w:r>
              <w:rPr>
                <w:rFonts w:hint="eastAsia" w:cs="Times New Roman"/>
                <w:color w:val="auto"/>
                <w:lang w:eastAsia="zh-CN"/>
              </w:rPr>
              <w:t>乳胶漆</w:t>
            </w:r>
            <w:r>
              <w:rPr>
                <w:rFonts w:hint="default" w:ascii="Times New Roman" w:hAnsi="Times New Roman" w:eastAsia="宋体" w:cs="Times New Roman"/>
                <w:color w:val="auto"/>
              </w:rPr>
              <w:t>生产线、1条</w:t>
            </w:r>
            <w:r>
              <w:rPr>
                <w:rFonts w:hint="eastAsia" w:cs="Times New Roman"/>
                <w:color w:val="auto"/>
                <w:lang w:eastAsia="zh-CN"/>
              </w:rPr>
              <w:t>砂壁产品</w:t>
            </w:r>
            <w:r>
              <w:rPr>
                <w:rFonts w:hint="default" w:ascii="Times New Roman" w:hAnsi="Times New Roman" w:eastAsia="宋体" w:cs="Times New Roman"/>
                <w:color w:val="auto"/>
              </w:rPr>
              <w:t>生产线、</w:t>
            </w:r>
            <w:r>
              <w:rPr>
                <w:rFonts w:hint="eastAsia" w:cs="Times New Roman"/>
                <w:color w:val="auto"/>
                <w:lang w:val="en-US" w:eastAsia="zh-CN"/>
              </w:rPr>
              <w:t>2</w:t>
            </w:r>
            <w:r>
              <w:rPr>
                <w:rFonts w:hint="eastAsia" w:cs="Times New Roman"/>
                <w:color w:val="auto"/>
                <w:lang w:eastAsia="zh-CN"/>
              </w:rPr>
              <w:t>腻子粉</w:t>
            </w:r>
            <w:r>
              <w:rPr>
                <w:rFonts w:hint="default" w:ascii="Times New Roman" w:hAnsi="Times New Roman" w:eastAsia="宋体" w:cs="Times New Roman"/>
                <w:color w:val="auto"/>
              </w:rPr>
              <w:t>生产线），年产</w:t>
            </w:r>
            <w:r>
              <w:rPr>
                <w:rFonts w:hint="eastAsia" w:cs="Times New Roman"/>
                <w:color w:val="auto"/>
                <w:lang w:eastAsia="zh-CN"/>
              </w:rPr>
              <w:t>乳胶漆</w:t>
            </w:r>
            <w:r>
              <w:rPr>
                <w:rFonts w:hint="eastAsia" w:cs="Times New Roman"/>
                <w:color w:val="auto"/>
                <w:lang w:val="en-US" w:eastAsia="zh-CN"/>
              </w:rPr>
              <w:t>75000</w:t>
            </w:r>
            <w:r>
              <w:rPr>
                <w:rFonts w:hint="default" w:ascii="Times New Roman" w:hAnsi="Times New Roman" w:eastAsia="宋体" w:cs="Times New Roman"/>
                <w:color w:val="auto"/>
              </w:rPr>
              <w:t>吨、</w:t>
            </w:r>
            <w:r>
              <w:rPr>
                <w:rFonts w:hint="eastAsia" w:cs="Times New Roman"/>
                <w:color w:val="auto"/>
                <w:lang w:eastAsia="zh-CN"/>
              </w:rPr>
              <w:t>砂壁产品</w:t>
            </w:r>
            <w:r>
              <w:rPr>
                <w:rFonts w:hint="default" w:ascii="Times New Roman" w:hAnsi="Times New Roman" w:eastAsia="宋体" w:cs="Times New Roman"/>
                <w:color w:val="auto"/>
              </w:rPr>
              <w:t>2</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00</w:t>
            </w:r>
            <w:r>
              <w:rPr>
                <w:rFonts w:hint="eastAsia" w:cs="Times New Roman"/>
                <w:color w:val="auto"/>
                <w:lang w:val="en-US" w:eastAsia="zh-CN"/>
              </w:rPr>
              <w:t>0</w:t>
            </w:r>
            <w:r>
              <w:rPr>
                <w:rFonts w:hint="default" w:ascii="Times New Roman" w:hAnsi="Times New Roman" w:eastAsia="宋体" w:cs="Times New Roman"/>
                <w:color w:val="auto"/>
              </w:rPr>
              <w:t>吨、</w:t>
            </w:r>
            <w:r>
              <w:rPr>
                <w:rFonts w:hint="eastAsia" w:cs="Times New Roman"/>
                <w:color w:val="auto"/>
                <w:lang w:eastAsia="zh-CN"/>
              </w:rPr>
              <w:t>腻子粉</w:t>
            </w:r>
            <w:r>
              <w:rPr>
                <w:rFonts w:hint="eastAsia" w:cs="Times New Roman"/>
                <w:color w:val="auto"/>
                <w:lang w:val="en-US" w:eastAsia="zh-CN"/>
              </w:rPr>
              <w:t>120000</w:t>
            </w:r>
            <w:r>
              <w:rPr>
                <w:rFonts w:hint="default" w:ascii="Times New Roman" w:hAnsi="Times New Roman" w:eastAsia="宋体" w:cs="Times New Roman"/>
                <w:color w:val="auto"/>
              </w:rPr>
              <w:t>吨。</w:t>
            </w:r>
          </w:p>
          <w:p w14:paraId="47853B8C">
            <w:pPr>
              <w:pStyle w:val="69"/>
              <w:keepNext w:val="0"/>
              <w:keepLines w:val="0"/>
              <w:pageBreakBefore w:val="0"/>
              <w:widowControl w:val="0"/>
              <w:suppressLineNumbers w:val="0"/>
              <w:kinsoku/>
              <w:wordWrap/>
              <w:overflowPunct/>
              <w:topLinePunct w:val="0"/>
              <w:bidi w:val="0"/>
              <w:adjustRightInd/>
              <w:snapToGrid w:val="0"/>
              <w:spacing w:before="0" w:beforeAutospacing="0" w:after="0" w:afterAutospacing="0"/>
              <w:ind w:left="0" w:right="0"/>
              <w:textAlignment w:val="auto"/>
              <w:rPr>
                <w:rFonts w:hint="default" w:ascii="Times New Roman" w:hAnsi="Times New Roman" w:eastAsia="宋体" w:cs="Times New Roman"/>
                <w:b/>
                <w:bCs/>
                <w:color w:val="auto"/>
                <w:spacing w:val="0"/>
                <w:w w:val="100"/>
                <w:position w:val="0"/>
                <w:sz w:val="24"/>
                <w:szCs w:val="24"/>
                <w:highlight w:val="none"/>
                <w:lang w:val="en-US" w:eastAsia="zh-CN"/>
              </w:rPr>
            </w:pPr>
            <w:r>
              <w:rPr>
                <w:rFonts w:hint="default" w:ascii="Times New Roman" w:hAnsi="Times New Roman" w:eastAsia="宋体" w:cs="Times New Roman"/>
                <w:b/>
                <w:bCs/>
                <w:color w:val="auto"/>
                <w:spacing w:val="0"/>
                <w:w w:val="100"/>
                <w:position w:val="0"/>
                <w:sz w:val="24"/>
                <w:szCs w:val="24"/>
                <w:highlight w:val="none"/>
                <w:lang w:val="en-US" w:eastAsia="zh-CN"/>
              </w:rPr>
              <w:t>1、</w:t>
            </w:r>
            <w:r>
              <w:rPr>
                <w:rFonts w:hint="eastAsia" w:cs="Times New Roman"/>
                <w:b/>
                <w:bCs/>
                <w:color w:val="auto"/>
                <w:spacing w:val="0"/>
                <w:w w:val="100"/>
                <w:position w:val="0"/>
                <w:sz w:val="24"/>
                <w:szCs w:val="24"/>
                <w:highlight w:val="none"/>
                <w:lang w:val="en-US" w:eastAsia="zh-CN"/>
              </w:rPr>
              <w:t>乳胶漆</w:t>
            </w:r>
            <w:r>
              <w:rPr>
                <w:rFonts w:hint="default" w:ascii="Times New Roman" w:hAnsi="Times New Roman" w:eastAsia="宋体" w:cs="Times New Roman"/>
                <w:b/>
                <w:bCs/>
                <w:color w:val="auto"/>
                <w:spacing w:val="0"/>
                <w:w w:val="100"/>
                <w:position w:val="0"/>
                <w:sz w:val="24"/>
                <w:szCs w:val="24"/>
                <w:highlight w:val="none"/>
                <w:lang w:val="en-US" w:eastAsia="zh-CN"/>
              </w:rPr>
              <w:t>生产工艺</w:t>
            </w:r>
          </w:p>
          <w:p w14:paraId="35A03901">
            <w:pPr>
              <w:pStyle w:val="82"/>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firstLineChars="200"/>
              <w:jc w:val="left"/>
              <w:textAlignment w:val="auto"/>
              <w:rPr>
                <w:rFonts w:hint="default" w:ascii="Times New Roman" w:hAnsi="Times New Roman" w:eastAsia="宋体" w:cs="Times New Roman"/>
                <w:b w:val="0"/>
                <w:bCs w:val="0"/>
                <w:color w:val="auto"/>
                <w:sz w:val="24"/>
                <w:vertAlign w:val="baseline"/>
                <w:lang w:val="en-US" w:eastAsia="zh-CN"/>
              </w:rPr>
            </w:pPr>
            <w:r>
              <w:rPr>
                <w:rFonts w:hint="eastAsia" w:ascii="Times New Roman" w:hAnsi="Times New Roman" w:eastAsia="宋体" w:cs="Times New Roman"/>
                <w:b w:val="0"/>
                <w:bCs w:val="0"/>
                <w:color w:val="auto"/>
                <w:sz w:val="24"/>
                <w:vertAlign w:val="baseline"/>
                <w:lang w:val="en-US" w:eastAsia="zh-CN"/>
              </w:rPr>
              <w:t>①</w:t>
            </w:r>
            <w:r>
              <w:rPr>
                <w:rFonts w:hint="default" w:ascii="Times New Roman" w:hAnsi="Times New Roman" w:eastAsia="宋体" w:cs="Times New Roman"/>
                <w:b w:val="0"/>
                <w:bCs w:val="0"/>
                <w:color w:val="auto"/>
                <w:sz w:val="24"/>
                <w:vertAlign w:val="baseline"/>
                <w:lang w:val="en-US" w:eastAsia="zh-CN"/>
              </w:rPr>
              <w:t>原材料检验</w:t>
            </w:r>
          </w:p>
          <w:p w14:paraId="5154A69E">
            <w:pPr>
              <w:pStyle w:val="82"/>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firstLineChars="200"/>
              <w:jc w:val="left"/>
              <w:textAlignment w:val="auto"/>
              <w:rPr>
                <w:rFonts w:hint="default" w:ascii="Times New Roman" w:hAnsi="Times New Roman" w:eastAsia="宋体" w:cs="Times New Roman"/>
                <w:b w:val="0"/>
                <w:bCs w:val="0"/>
                <w:color w:val="auto"/>
                <w:sz w:val="24"/>
                <w:vertAlign w:val="baseline"/>
                <w:lang w:val="en-US" w:eastAsia="zh-CN"/>
              </w:rPr>
            </w:pPr>
            <w:r>
              <w:rPr>
                <w:rFonts w:hint="default" w:ascii="Times New Roman" w:hAnsi="Times New Roman" w:eastAsia="宋体" w:cs="Times New Roman"/>
                <w:b w:val="0"/>
                <w:bCs w:val="0"/>
                <w:color w:val="auto"/>
                <w:sz w:val="24"/>
                <w:vertAlign w:val="baseline"/>
                <w:lang w:val="en-US" w:eastAsia="zh-CN"/>
              </w:rPr>
              <w:t>对原材料进行投料前的检验，保证投入的原料符合生产要求。</w:t>
            </w:r>
          </w:p>
          <w:p w14:paraId="2E458E44">
            <w:pPr>
              <w:pStyle w:val="82"/>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firstLineChars="200"/>
              <w:jc w:val="left"/>
              <w:textAlignment w:val="auto"/>
              <w:rPr>
                <w:rFonts w:hint="default" w:ascii="Times New Roman" w:hAnsi="Times New Roman" w:eastAsia="宋体" w:cs="Times New Roman"/>
                <w:b w:val="0"/>
                <w:bCs w:val="0"/>
                <w:color w:val="auto"/>
                <w:sz w:val="24"/>
                <w:vertAlign w:val="baseline"/>
                <w:lang w:val="en-US" w:eastAsia="zh-CN"/>
              </w:rPr>
            </w:pPr>
            <w:r>
              <w:rPr>
                <w:rFonts w:hint="eastAsia" w:ascii="Times New Roman" w:hAnsi="Times New Roman" w:eastAsia="宋体" w:cs="Times New Roman"/>
                <w:b w:val="0"/>
                <w:bCs w:val="0"/>
                <w:color w:val="auto"/>
                <w:sz w:val="24"/>
                <w:vertAlign w:val="baseline"/>
                <w:lang w:val="en-US" w:eastAsia="zh-CN"/>
              </w:rPr>
              <w:t>②</w:t>
            </w:r>
            <w:r>
              <w:rPr>
                <w:rFonts w:hint="default" w:ascii="Times New Roman" w:hAnsi="Times New Roman" w:eastAsia="宋体" w:cs="Times New Roman"/>
                <w:b w:val="0"/>
                <w:bCs w:val="0"/>
                <w:color w:val="auto"/>
                <w:sz w:val="24"/>
                <w:vertAlign w:val="baseline"/>
                <w:lang w:val="en-US" w:eastAsia="zh-CN"/>
              </w:rPr>
              <w:t>上料</w:t>
            </w:r>
          </w:p>
          <w:p w14:paraId="76845A10">
            <w:pPr>
              <w:pStyle w:val="82"/>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firstLineChars="200"/>
              <w:jc w:val="left"/>
              <w:textAlignment w:val="auto"/>
              <w:rPr>
                <w:rFonts w:hint="default" w:ascii="Times New Roman" w:hAnsi="Times New Roman" w:eastAsia="宋体" w:cs="Times New Roman"/>
                <w:b w:val="0"/>
                <w:bCs w:val="0"/>
                <w:color w:val="auto"/>
                <w:sz w:val="24"/>
                <w:vertAlign w:val="baseline"/>
                <w:lang w:val="en-US" w:eastAsia="zh-CN"/>
              </w:rPr>
            </w:pPr>
            <w:r>
              <w:rPr>
                <w:rFonts w:hint="default" w:ascii="Times New Roman" w:hAnsi="Times New Roman" w:eastAsia="宋体" w:cs="Times New Roman"/>
                <w:b w:val="0"/>
                <w:bCs w:val="0"/>
                <w:color w:val="auto"/>
                <w:sz w:val="24"/>
                <w:vertAlign w:val="baseline"/>
                <w:lang w:val="en-US" w:eastAsia="zh-CN"/>
              </w:rPr>
              <w:t>自来水经过过滤器过滤后，用泵抽至储水罐中；增稠剂、分散剂用泵抽至助剂罐中；醋丙乳液、苯丙乳液用泵抽至乳液罐中；碳酸钙、钛白粉、高岭土人工加入漏斗形的投料糟中；</w:t>
            </w:r>
          </w:p>
          <w:p w14:paraId="5F9A5C55">
            <w:pPr>
              <w:pStyle w:val="82"/>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right="0" w:firstLineChars="200"/>
              <w:jc w:val="left"/>
              <w:textAlignment w:val="auto"/>
              <w:rPr>
                <w:rFonts w:hint="default" w:ascii="Times New Roman" w:hAnsi="Times New Roman" w:eastAsia="宋体" w:cs="Times New Roman"/>
                <w:b w:val="0"/>
                <w:bCs w:val="0"/>
                <w:color w:val="auto"/>
                <w:sz w:val="24"/>
                <w:vertAlign w:val="baseline"/>
                <w:lang w:val="en-US" w:eastAsia="zh-CN"/>
              </w:rPr>
            </w:pPr>
            <w:r>
              <w:rPr>
                <w:rFonts w:hint="eastAsia" w:ascii="Times New Roman" w:hAnsi="Times New Roman" w:eastAsia="宋体" w:cs="Times New Roman"/>
                <w:b w:val="0"/>
                <w:bCs w:val="0"/>
                <w:color w:val="auto"/>
                <w:sz w:val="24"/>
                <w:vertAlign w:val="baseline"/>
                <w:lang w:val="en-US" w:eastAsia="zh-CN"/>
              </w:rPr>
              <w:t>③</w:t>
            </w:r>
            <w:r>
              <w:rPr>
                <w:rFonts w:hint="default" w:ascii="Times New Roman" w:hAnsi="Times New Roman" w:eastAsia="宋体" w:cs="Times New Roman"/>
                <w:b w:val="0"/>
                <w:bCs w:val="0"/>
                <w:color w:val="auto"/>
                <w:sz w:val="24"/>
                <w:vertAlign w:val="baseline"/>
                <w:lang w:val="en-US" w:eastAsia="zh-CN"/>
              </w:rPr>
              <w:t>预混</w:t>
            </w:r>
          </w:p>
          <w:p w14:paraId="73009C1A">
            <w:pPr>
              <w:pStyle w:val="82"/>
              <w:keepNext w:val="0"/>
              <w:keepLines w:val="0"/>
              <w:suppressLineNumbers w:val="0"/>
              <w:spacing w:before="0" w:beforeAutospacing="0" w:after="0" w:afterAutospacing="0" w:line="360" w:lineRule="auto"/>
              <w:ind w:left="0" w:right="0" w:firstLineChars="200"/>
              <w:jc w:val="left"/>
              <w:rPr>
                <w:rFonts w:hint="default" w:ascii="Times New Roman" w:hAnsi="Times New Roman" w:eastAsia="宋体" w:cs="Times New Roman"/>
                <w:b w:val="0"/>
                <w:bCs w:val="0"/>
                <w:color w:val="auto"/>
                <w:sz w:val="24"/>
                <w:vertAlign w:val="baseline"/>
                <w:lang w:val="en-US" w:eastAsia="zh-CN"/>
              </w:rPr>
            </w:pPr>
            <w:r>
              <w:rPr>
                <w:rFonts w:hint="default" w:ascii="Times New Roman" w:hAnsi="Times New Roman" w:eastAsia="宋体" w:cs="Times New Roman"/>
                <w:b w:val="0"/>
                <w:bCs w:val="0"/>
                <w:color w:val="auto"/>
                <w:sz w:val="24"/>
                <w:vertAlign w:val="baseline"/>
                <w:lang w:val="en-US" w:eastAsia="zh-CN"/>
              </w:rPr>
              <w:t>预混/分散工艺过程在预混缸中根据不同产品品牌进行不同配方的预混。首先将储水罐中的水用泵抽至称量罐，按照配方称量后，进入预混罐，预混罐开启搅拌；将增稠剂、分散剂用泵抽至称重罐，称量后加入预混罐；预混罐开始高速搅拌，抽风机从粉料投料槽下部将碳酸钙、钛白粉、高岭土吸入预混罐，高速搅拌分散15分钟；</w:t>
            </w:r>
          </w:p>
          <w:p w14:paraId="47332196">
            <w:pPr>
              <w:pStyle w:val="82"/>
              <w:keepNext w:val="0"/>
              <w:keepLines w:val="0"/>
              <w:suppressLineNumbers w:val="0"/>
              <w:spacing w:before="0" w:beforeAutospacing="0" w:after="0" w:afterAutospacing="0" w:line="360" w:lineRule="auto"/>
              <w:ind w:left="0" w:right="0" w:firstLineChars="200"/>
              <w:jc w:val="left"/>
              <w:rPr>
                <w:rFonts w:hint="default" w:ascii="Times New Roman" w:hAnsi="Times New Roman" w:eastAsia="宋体" w:cs="Times New Roman"/>
                <w:b w:val="0"/>
                <w:bCs w:val="0"/>
                <w:color w:val="auto"/>
                <w:sz w:val="24"/>
                <w:vertAlign w:val="baseline"/>
                <w:lang w:val="en-US" w:eastAsia="zh-CN"/>
              </w:rPr>
            </w:pPr>
            <w:r>
              <w:rPr>
                <w:rFonts w:hint="eastAsia" w:ascii="Times New Roman" w:hAnsi="Times New Roman" w:eastAsia="宋体" w:cs="Times New Roman"/>
                <w:b w:val="0"/>
                <w:bCs w:val="0"/>
                <w:color w:val="auto"/>
                <w:sz w:val="24"/>
                <w:vertAlign w:val="baseline"/>
                <w:lang w:val="en-US" w:eastAsia="zh-CN"/>
              </w:rPr>
              <w:t>④</w:t>
            </w:r>
            <w:r>
              <w:rPr>
                <w:rFonts w:hint="default" w:ascii="Times New Roman" w:hAnsi="Times New Roman" w:eastAsia="宋体" w:cs="Times New Roman"/>
                <w:b w:val="0"/>
                <w:bCs w:val="0"/>
                <w:color w:val="auto"/>
                <w:sz w:val="24"/>
                <w:vertAlign w:val="baseline"/>
                <w:lang w:val="en-US" w:eastAsia="zh-CN"/>
              </w:rPr>
              <w:t>调稀</w:t>
            </w:r>
          </w:p>
          <w:p w14:paraId="3A65C778">
            <w:pPr>
              <w:pStyle w:val="82"/>
              <w:keepNext w:val="0"/>
              <w:keepLines w:val="0"/>
              <w:suppressLineNumbers w:val="0"/>
              <w:spacing w:before="0" w:beforeAutospacing="0" w:after="0" w:afterAutospacing="0" w:line="360" w:lineRule="auto"/>
              <w:ind w:left="0" w:right="0" w:firstLineChars="200"/>
              <w:jc w:val="left"/>
              <w:rPr>
                <w:rFonts w:hint="default" w:ascii="Times New Roman" w:hAnsi="Times New Roman" w:eastAsia="宋体" w:cs="Times New Roman"/>
                <w:b w:val="0"/>
                <w:bCs w:val="0"/>
                <w:color w:val="auto"/>
                <w:sz w:val="24"/>
                <w:vertAlign w:val="baseline"/>
                <w:lang w:val="en-US" w:eastAsia="zh-CN"/>
              </w:rPr>
            </w:pPr>
            <w:r>
              <w:rPr>
                <w:rFonts w:hint="default" w:ascii="Times New Roman" w:hAnsi="Times New Roman" w:eastAsia="宋体" w:cs="Times New Roman"/>
                <w:b w:val="0"/>
                <w:bCs w:val="0"/>
                <w:color w:val="auto"/>
                <w:sz w:val="24"/>
                <w:vertAlign w:val="baseline"/>
                <w:lang w:val="en-US" w:eastAsia="zh-CN"/>
              </w:rPr>
              <w:t>预混后，经检测，合格的预混浆用泵抽至调稀罐，开启调稀搅拌；将醋丙乳液、苯丙乳液罐中的乳液用泵抽至称量罐，按照配方称量后，进入调稀罐；将消泡剂、成膜剂、调稀水用泵抽至称量罐，称量后进入调稀罐；调稀罐低速搅拌10分钟；</w:t>
            </w:r>
          </w:p>
          <w:p w14:paraId="37741591">
            <w:pPr>
              <w:pStyle w:val="82"/>
              <w:keepNext w:val="0"/>
              <w:keepLines w:val="0"/>
              <w:suppressLineNumbers w:val="0"/>
              <w:spacing w:before="0" w:beforeAutospacing="0" w:after="0" w:afterAutospacing="0" w:line="360" w:lineRule="auto"/>
              <w:ind w:left="0" w:right="0" w:firstLineChars="200"/>
              <w:jc w:val="left"/>
              <w:rPr>
                <w:rFonts w:hint="default" w:ascii="Times New Roman" w:hAnsi="Times New Roman" w:eastAsia="宋体" w:cs="Times New Roman"/>
                <w:b w:val="0"/>
                <w:bCs w:val="0"/>
                <w:color w:val="auto"/>
                <w:sz w:val="24"/>
                <w:vertAlign w:val="baseline"/>
                <w:lang w:val="en-US" w:eastAsia="zh-CN"/>
              </w:rPr>
            </w:pPr>
            <w:r>
              <w:rPr>
                <w:rFonts w:hint="eastAsia" w:ascii="Times New Roman" w:hAnsi="Times New Roman" w:eastAsia="宋体" w:cs="Times New Roman"/>
                <w:b w:val="0"/>
                <w:bCs w:val="0"/>
                <w:color w:val="auto"/>
                <w:sz w:val="24"/>
                <w:vertAlign w:val="baseline"/>
                <w:lang w:val="en-US" w:eastAsia="zh-CN"/>
              </w:rPr>
              <w:t>⑤</w:t>
            </w:r>
            <w:r>
              <w:rPr>
                <w:rFonts w:hint="default" w:ascii="Times New Roman" w:hAnsi="Times New Roman" w:eastAsia="宋体" w:cs="Times New Roman"/>
                <w:b w:val="0"/>
                <w:bCs w:val="0"/>
                <w:color w:val="auto"/>
                <w:sz w:val="24"/>
                <w:vertAlign w:val="baseline"/>
                <w:lang w:val="en-US" w:eastAsia="zh-CN"/>
              </w:rPr>
              <w:t>过滤</w:t>
            </w:r>
          </w:p>
          <w:p w14:paraId="477ED0C4">
            <w:pPr>
              <w:pStyle w:val="82"/>
              <w:keepNext w:val="0"/>
              <w:keepLines w:val="0"/>
              <w:suppressLineNumbers w:val="0"/>
              <w:spacing w:before="0" w:beforeAutospacing="0" w:after="0" w:afterAutospacing="0" w:line="360" w:lineRule="auto"/>
              <w:ind w:left="0" w:right="0" w:firstLineChars="200"/>
              <w:jc w:val="left"/>
              <w:rPr>
                <w:rFonts w:hint="default" w:ascii="Times New Roman" w:hAnsi="Times New Roman" w:eastAsia="宋体" w:cs="Times New Roman"/>
                <w:b w:val="0"/>
                <w:bCs w:val="0"/>
                <w:color w:val="auto"/>
                <w:sz w:val="24"/>
                <w:vertAlign w:val="baseline"/>
                <w:lang w:val="en-US" w:eastAsia="zh-CN"/>
              </w:rPr>
            </w:pPr>
            <w:r>
              <w:rPr>
                <w:rFonts w:hint="default" w:ascii="Times New Roman" w:hAnsi="Times New Roman" w:eastAsia="宋体" w:cs="Times New Roman"/>
                <w:b w:val="0"/>
                <w:bCs w:val="0"/>
                <w:color w:val="auto"/>
                <w:sz w:val="24"/>
                <w:vertAlign w:val="baseline"/>
                <w:lang w:val="en-US" w:eastAsia="zh-CN"/>
              </w:rPr>
              <w:t>调稀后，经检测，合格的调稀浆通过缸底底阀进入成品过滤器，经过过滤器过滤后，过隔膜泵，进入到包装机进行罐装，送入不同包装机进行包装后进入产品库区存放。过滤器过滤出来的一些未搅拌完全的颗粒产品，返回搅拌工序。</w:t>
            </w:r>
          </w:p>
          <w:p w14:paraId="5DD29AC7">
            <w:pPr>
              <w:pStyle w:val="82"/>
              <w:keepNext w:val="0"/>
              <w:keepLines w:val="0"/>
              <w:suppressLineNumbers w:val="0"/>
              <w:spacing w:before="0" w:beforeAutospacing="0" w:after="0" w:afterAutospacing="0" w:line="360" w:lineRule="auto"/>
              <w:ind w:left="0" w:right="0" w:firstLineChars="200"/>
              <w:jc w:val="left"/>
              <w:rPr>
                <w:rFonts w:hint="default" w:ascii="Times New Roman" w:hAnsi="Times New Roman" w:eastAsia="宋体" w:cs="Times New Roman"/>
                <w:b w:val="0"/>
                <w:bCs w:val="0"/>
                <w:color w:val="auto"/>
                <w:sz w:val="24"/>
                <w:vertAlign w:val="baseline"/>
                <w:lang w:val="en-US" w:eastAsia="zh-CN"/>
              </w:rPr>
            </w:pPr>
            <w:r>
              <w:rPr>
                <w:rFonts w:hint="eastAsia" w:ascii="Times New Roman" w:hAnsi="Times New Roman" w:eastAsia="宋体" w:cs="Times New Roman"/>
                <w:b w:val="0"/>
                <w:bCs w:val="0"/>
                <w:color w:val="auto"/>
                <w:sz w:val="24"/>
                <w:vertAlign w:val="baseline"/>
                <w:lang w:val="en-US" w:eastAsia="zh-CN"/>
              </w:rPr>
              <w:t>⑥</w:t>
            </w:r>
            <w:r>
              <w:rPr>
                <w:rFonts w:hint="default" w:ascii="Times New Roman" w:hAnsi="Times New Roman" w:eastAsia="宋体" w:cs="Times New Roman"/>
                <w:b w:val="0"/>
                <w:bCs w:val="0"/>
                <w:color w:val="auto"/>
                <w:sz w:val="24"/>
                <w:vertAlign w:val="baseline"/>
                <w:lang w:val="en-US" w:eastAsia="zh-CN"/>
              </w:rPr>
              <w:t>包装</w:t>
            </w:r>
          </w:p>
          <w:p w14:paraId="074AD8DD">
            <w:pPr>
              <w:pStyle w:val="82"/>
              <w:keepNext w:val="0"/>
              <w:keepLines w:val="0"/>
              <w:suppressLineNumbers w:val="0"/>
              <w:spacing w:before="0" w:beforeAutospacing="0" w:after="0" w:afterAutospacing="0" w:line="360" w:lineRule="auto"/>
              <w:ind w:left="0" w:right="0" w:firstLineChars="200"/>
              <w:jc w:val="left"/>
              <w:rPr>
                <w:rFonts w:hint="default" w:ascii="Times New Roman" w:hAnsi="Times New Roman" w:eastAsia="宋体" w:cs="Times New Roman"/>
                <w:b w:val="0"/>
                <w:bCs w:val="0"/>
                <w:color w:val="auto"/>
                <w:sz w:val="24"/>
                <w:vertAlign w:val="baseline"/>
                <w:lang w:val="en-US" w:eastAsia="zh-CN"/>
              </w:rPr>
            </w:pPr>
            <w:r>
              <w:rPr>
                <w:rFonts w:hint="default" w:ascii="Times New Roman" w:hAnsi="Times New Roman" w:eastAsia="宋体" w:cs="Times New Roman"/>
                <w:b w:val="0"/>
                <w:bCs w:val="0"/>
                <w:color w:val="auto"/>
                <w:sz w:val="24"/>
                <w:vertAlign w:val="baseline"/>
                <w:lang w:val="en-US" w:eastAsia="zh-CN"/>
              </w:rPr>
              <w:t>自预混/分散完成后的产品通过隔膜泵送入包装机进行包装，包装前，拉缸采用平台或电动葫芦升高，包装采用自流方式，定量采用动态电子称进行，包装后产品送至库区存放。</w:t>
            </w:r>
          </w:p>
          <w:p w14:paraId="4B029180">
            <w:pPr>
              <w:pStyle w:val="82"/>
              <w:keepNext w:val="0"/>
              <w:keepLines w:val="0"/>
              <w:suppressLineNumbers w:val="0"/>
              <w:spacing w:before="0" w:beforeAutospacing="0" w:after="0" w:afterAutospacing="0" w:line="360" w:lineRule="auto"/>
              <w:ind w:left="0" w:right="0" w:firstLineChars="200"/>
              <w:jc w:val="left"/>
              <w:rPr>
                <w:rFonts w:hint="default" w:ascii="Times New Roman" w:hAnsi="Times New Roman" w:eastAsia="宋体" w:cs="Times New Roman"/>
                <w:b w:val="0"/>
                <w:bCs w:val="0"/>
                <w:color w:val="auto"/>
                <w:sz w:val="24"/>
                <w:vertAlign w:val="baseline"/>
                <w:lang w:val="en-US" w:eastAsia="zh-CN"/>
              </w:rPr>
            </w:pPr>
            <w:r>
              <w:rPr>
                <w:rFonts w:hint="default" w:ascii="Times New Roman" w:hAnsi="Times New Roman" w:eastAsia="宋体" w:cs="Times New Roman"/>
                <w:b w:val="0"/>
                <w:bCs w:val="0"/>
                <w:color w:val="auto"/>
                <w:sz w:val="24"/>
                <w:vertAlign w:val="baseline"/>
                <w:lang w:val="en-US" w:eastAsia="zh-CN"/>
              </w:rPr>
              <w:t>不合格产品：若检测不合格，则继续添加原料进行调整，直到检测合格为止，再进行下一工序。</w:t>
            </w:r>
          </w:p>
          <w:p w14:paraId="10A14061">
            <w:pPr>
              <w:pStyle w:val="82"/>
              <w:keepNext w:val="0"/>
              <w:keepLines w:val="0"/>
              <w:suppressLineNumbers w:val="0"/>
              <w:spacing w:before="0" w:beforeAutospacing="0" w:after="0" w:afterAutospacing="0" w:line="360" w:lineRule="auto"/>
              <w:ind w:left="0" w:right="0" w:firstLineChars="200"/>
              <w:jc w:val="left"/>
              <w:rPr>
                <w:rFonts w:hint="default" w:ascii="Times New Roman" w:hAnsi="Times New Roman" w:eastAsia="宋体" w:cs="Times New Roman"/>
                <w:b w:val="0"/>
                <w:bCs w:val="0"/>
                <w:color w:val="auto"/>
                <w:sz w:val="24"/>
                <w:vertAlign w:val="baseline"/>
                <w:lang w:val="en-US" w:eastAsia="zh-CN"/>
              </w:rPr>
            </w:pPr>
            <w:r>
              <w:rPr>
                <w:rFonts w:hint="eastAsia" w:ascii="Times New Roman" w:hAnsi="Times New Roman" w:eastAsia="宋体" w:cs="Times New Roman"/>
                <w:b w:val="0"/>
                <w:bCs w:val="0"/>
                <w:color w:val="auto"/>
                <w:sz w:val="24"/>
                <w:vertAlign w:val="baseline"/>
                <w:lang w:val="en-US" w:eastAsia="zh-CN"/>
              </w:rPr>
              <w:t>⑦</w:t>
            </w:r>
            <w:r>
              <w:rPr>
                <w:rFonts w:hint="default" w:ascii="Times New Roman" w:hAnsi="Times New Roman" w:eastAsia="宋体" w:cs="Times New Roman"/>
                <w:b w:val="0"/>
                <w:bCs w:val="0"/>
                <w:color w:val="auto"/>
                <w:sz w:val="24"/>
                <w:vertAlign w:val="baseline"/>
                <w:lang w:val="en-US" w:eastAsia="zh-CN"/>
              </w:rPr>
              <w:t>检测</w:t>
            </w:r>
          </w:p>
          <w:p w14:paraId="20096804">
            <w:pPr>
              <w:pStyle w:val="82"/>
              <w:keepNext w:val="0"/>
              <w:keepLines w:val="0"/>
              <w:suppressLineNumbers w:val="0"/>
              <w:spacing w:before="0" w:beforeAutospacing="0" w:after="0" w:afterAutospacing="0" w:line="360" w:lineRule="auto"/>
              <w:ind w:left="0" w:right="0" w:firstLineChars="200"/>
              <w:jc w:val="left"/>
              <w:rPr>
                <w:rFonts w:hint="default" w:ascii="Times New Roman" w:hAnsi="Times New Roman" w:eastAsia="宋体" w:cs="Times New Roman"/>
                <w:b w:val="0"/>
                <w:bCs w:val="0"/>
                <w:color w:val="auto"/>
                <w:sz w:val="24"/>
                <w:vertAlign w:val="baseline"/>
                <w:lang w:val="en-US" w:eastAsia="zh-CN"/>
              </w:rPr>
            </w:pPr>
            <w:r>
              <w:rPr>
                <w:rFonts w:hint="default" w:ascii="Times New Roman" w:hAnsi="Times New Roman" w:eastAsia="宋体" w:cs="Times New Roman"/>
                <w:b w:val="0"/>
                <w:bCs w:val="0"/>
                <w:color w:val="auto"/>
                <w:sz w:val="24"/>
                <w:vertAlign w:val="baseline"/>
                <w:lang w:val="en-US" w:eastAsia="zh-CN"/>
              </w:rPr>
              <w:t>以上每一步骤都需要取样并送检测室检验，以保证产品的合格率，检测室设置于车间内。</w:t>
            </w:r>
          </w:p>
          <w:p w14:paraId="425B338B">
            <w:pPr>
              <w:pStyle w:val="82"/>
              <w:keepNext w:val="0"/>
              <w:keepLines w:val="0"/>
              <w:suppressLineNumbers w:val="0"/>
              <w:spacing w:before="0" w:beforeAutospacing="0" w:after="0" w:afterAutospacing="0" w:line="360" w:lineRule="auto"/>
              <w:ind w:left="0" w:right="0" w:firstLineChars="200"/>
              <w:jc w:val="left"/>
              <w:rPr>
                <w:rFonts w:hint="default" w:ascii="Times New Roman" w:hAnsi="Times New Roman" w:eastAsia="宋体" w:cs="Times New Roman"/>
                <w:b w:val="0"/>
                <w:bCs w:val="0"/>
                <w:color w:val="auto"/>
                <w:sz w:val="24"/>
                <w:vertAlign w:val="baseline"/>
                <w:lang w:val="en-US" w:eastAsia="zh-CN"/>
              </w:rPr>
            </w:pPr>
            <w:r>
              <w:rPr>
                <w:rFonts w:hint="default" w:ascii="Times New Roman" w:hAnsi="Times New Roman" w:eastAsia="宋体" w:cs="Times New Roman"/>
                <w:b w:val="0"/>
                <w:bCs w:val="0"/>
                <w:color w:val="auto"/>
                <w:sz w:val="24"/>
                <w:vertAlign w:val="baseline"/>
                <w:lang w:val="en-US" w:eastAsia="zh-CN"/>
              </w:rPr>
              <w:t>水性乳胶漆</w:t>
            </w:r>
            <w:r>
              <w:rPr>
                <w:rFonts w:hint="eastAsia" w:ascii="Times New Roman" w:hAnsi="Times New Roman" w:eastAsia="宋体" w:cs="Times New Roman"/>
                <w:b w:val="0"/>
                <w:bCs w:val="0"/>
                <w:color w:val="auto"/>
                <w:sz w:val="24"/>
                <w:vertAlign w:val="baseline"/>
                <w:lang w:val="en-US" w:eastAsia="zh-CN"/>
              </w:rPr>
              <w:t>生产线设置1个投料间，</w:t>
            </w:r>
            <w:r>
              <w:rPr>
                <w:rFonts w:hint="default" w:ascii="Times New Roman" w:hAnsi="Times New Roman" w:eastAsia="宋体" w:cs="Times New Roman"/>
                <w:b w:val="0"/>
                <w:bCs w:val="0"/>
                <w:color w:val="auto"/>
                <w:sz w:val="24"/>
                <w:vertAlign w:val="baseline"/>
                <w:lang w:val="en-US" w:eastAsia="zh-CN"/>
              </w:rPr>
              <w:t>在投料口上设置</w:t>
            </w:r>
            <w:r>
              <w:rPr>
                <w:rFonts w:hint="eastAsia" w:ascii="Times New Roman" w:hAnsi="Times New Roman" w:eastAsia="宋体" w:cs="Times New Roman"/>
                <w:b w:val="0"/>
                <w:bCs w:val="0"/>
                <w:color w:val="auto"/>
                <w:sz w:val="24"/>
                <w:vertAlign w:val="baseline"/>
                <w:lang w:val="en-US" w:eastAsia="zh-CN"/>
              </w:rPr>
              <w:t>集气罩</w:t>
            </w:r>
            <w:r>
              <w:rPr>
                <w:rFonts w:hint="default" w:ascii="Times New Roman" w:hAnsi="Times New Roman" w:eastAsia="宋体" w:cs="Times New Roman"/>
                <w:b w:val="0"/>
                <w:bCs w:val="0"/>
                <w:color w:val="auto"/>
                <w:sz w:val="24"/>
                <w:vertAlign w:val="baseline"/>
                <w:lang w:val="en-US" w:eastAsia="zh-CN"/>
              </w:rPr>
              <w:t>，投料口</w:t>
            </w:r>
            <w:r>
              <w:rPr>
                <w:rFonts w:hint="eastAsia" w:ascii="Times New Roman" w:hAnsi="Times New Roman" w:eastAsia="宋体" w:cs="Times New Roman"/>
                <w:b w:val="0"/>
                <w:bCs w:val="0"/>
                <w:color w:val="auto"/>
                <w:sz w:val="24"/>
                <w:vertAlign w:val="baseline"/>
                <w:lang w:val="en-US" w:eastAsia="zh-CN"/>
              </w:rPr>
              <w:t>产生的颗粒物</w:t>
            </w:r>
            <w:r>
              <w:rPr>
                <w:rFonts w:hint="default" w:ascii="Times New Roman" w:hAnsi="Times New Roman" w:eastAsia="宋体" w:cs="Times New Roman"/>
                <w:b w:val="0"/>
                <w:bCs w:val="0"/>
                <w:color w:val="auto"/>
                <w:sz w:val="24"/>
                <w:vertAlign w:val="baseline"/>
                <w:lang w:val="en-US" w:eastAsia="zh-CN"/>
              </w:rPr>
              <w:t>气进入一套布袋处理装置进行处理后，经1根15m高排气筒外排。</w:t>
            </w:r>
            <w:r>
              <w:rPr>
                <w:rFonts w:hint="eastAsia" w:ascii="Times New Roman" w:hAnsi="Times New Roman" w:eastAsia="宋体" w:cs="Times New Roman"/>
                <w:b w:val="0"/>
                <w:bCs w:val="0"/>
                <w:color w:val="auto"/>
                <w:sz w:val="24"/>
                <w:vertAlign w:val="baseline"/>
                <w:lang w:val="en-US" w:eastAsia="zh-CN"/>
              </w:rPr>
              <w:t>助剂通过管道采用空气压力打到搅拌罐内，防冻剂为丙二醇，在拆分、输送环节有部分挥发性有机废气产生，在密闭的投料间自然扩散。</w:t>
            </w:r>
          </w:p>
          <w:p w14:paraId="7CDAFDED">
            <w:pPr>
              <w:pStyle w:val="82"/>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val="0"/>
                <w:bCs w:val="0"/>
                <w:color w:val="auto"/>
                <w:sz w:val="24"/>
                <w:vertAlign w:val="baseline"/>
                <w:lang w:val="en-US" w:eastAsia="zh-CN"/>
              </w:rPr>
            </w:pPr>
            <w:r>
              <w:rPr>
                <w:rFonts w:hint="default" w:ascii="Times New Roman" w:hAnsi="Times New Roman" w:eastAsia="宋体" w:cs="Times New Roman"/>
                <w:b w:val="0"/>
                <w:bCs w:val="0"/>
                <w:color w:val="auto"/>
                <w:sz w:val="24"/>
                <w:vertAlign w:val="baseline"/>
                <w:lang w:val="en-US" w:eastAsia="zh-CN"/>
              </w:rPr>
              <w:drawing>
                <wp:inline distT="0" distB="0" distL="114300" distR="114300">
                  <wp:extent cx="5330190" cy="3662680"/>
                  <wp:effectExtent l="0" t="0" r="3810" b="13970"/>
                  <wp:docPr id="3" name="图片 3" descr="乳胶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乳胶漆"/>
                          <pic:cNvPicPr>
                            <a:picLocks noChangeAspect="1"/>
                          </pic:cNvPicPr>
                        </pic:nvPicPr>
                        <pic:blipFill>
                          <a:blip r:embed="rId27"/>
                          <a:stretch>
                            <a:fillRect/>
                          </a:stretch>
                        </pic:blipFill>
                        <pic:spPr>
                          <a:xfrm>
                            <a:off x="0" y="0"/>
                            <a:ext cx="5330190" cy="3662680"/>
                          </a:xfrm>
                          <a:prstGeom prst="rect">
                            <a:avLst/>
                          </a:prstGeom>
                        </pic:spPr>
                      </pic:pic>
                    </a:graphicData>
                  </a:graphic>
                </wp:inline>
              </w:drawing>
            </w:r>
          </w:p>
          <w:p w14:paraId="5BA69150">
            <w:pPr>
              <w:pStyle w:val="82"/>
              <w:keepNext w:val="0"/>
              <w:keepLines w:val="0"/>
              <w:suppressLineNumbers w:val="0"/>
              <w:spacing w:before="0" w:beforeAutospacing="0" w:after="0" w:afterAutospacing="0" w:line="360" w:lineRule="auto"/>
              <w:ind w:left="0" w:right="0" w:firstLineChars="20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图2-</w:t>
            </w:r>
            <w:r>
              <w:rPr>
                <w:rFonts w:hint="eastAsia" w:ascii="Times New Roman" w:hAnsi="Times New Roman" w:eastAsia="宋体" w:cs="Times New Roman"/>
                <w:b/>
                <w:bCs/>
                <w:color w:val="auto"/>
                <w:sz w:val="21"/>
                <w:szCs w:val="21"/>
                <w:vertAlign w:val="baseline"/>
                <w:lang w:val="en-US" w:eastAsia="zh-CN"/>
              </w:rPr>
              <w:t>3</w:t>
            </w:r>
            <w:r>
              <w:rPr>
                <w:rFonts w:hint="default" w:ascii="Times New Roman" w:hAnsi="Times New Roman" w:eastAsia="宋体" w:cs="Times New Roman"/>
                <w:b/>
                <w:bCs/>
                <w:color w:val="auto"/>
                <w:sz w:val="21"/>
                <w:szCs w:val="21"/>
                <w:vertAlign w:val="baseline"/>
                <w:lang w:val="en-US" w:eastAsia="zh-CN"/>
              </w:rPr>
              <w:t xml:space="preserve"> </w:t>
            </w:r>
            <w:r>
              <w:rPr>
                <w:rFonts w:hint="eastAsia" w:ascii="Times New Roman" w:hAnsi="Times New Roman" w:eastAsia="宋体" w:cs="Times New Roman"/>
                <w:b/>
                <w:bCs/>
                <w:color w:val="auto"/>
                <w:sz w:val="21"/>
                <w:szCs w:val="21"/>
                <w:vertAlign w:val="baseline"/>
                <w:lang w:val="en-US" w:eastAsia="zh-CN"/>
              </w:rPr>
              <w:t>乳胶漆生产</w:t>
            </w:r>
            <w:r>
              <w:rPr>
                <w:rFonts w:hint="default" w:ascii="Times New Roman" w:hAnsi="Times New Roman" w:eastAsia="宋体" w:cs="Times New Roman"/>
                <w:b/>
                <w:bCs/>
                <w:color w:val="auto"/>
                <w:sz w:val="21"/>
                <w:szCs w:val="21"/>
                <w:vertAlign w:val="baseline"/>
                <w:lang w:val="en-US" w:eastAsia="zh-CN"/>
              </w:rPr>
              <w:t>工艺流程图</w:t>
            </w:r>
          </w:p>
          <w:p w14:paraId="34BAAA8A">
            <w:pPr>
              <w:pStyle w:val="82"/>
              <w:keepNext w:val="0"/>
              <w:keepLines w:val="0"/>
              <w:suppressLineNumbers w:val="0"/>
              <w:spacing w:before="0" w:beforeAutospacing="0" w:after="0" w:afterAutospacing="0" w:line="360" w:lineRule="auto"/>
              <w:ind w:left="0" w:right="0" w:firstLineChars="200"/>
              <w:jc w:val="left"/>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lang w:val="en-US" w:eastAsia="zh-CN"/>
              </w:rPr>
              <w:t>2</w:t>
            </w:r>
            <w:r>
              <w:rPr>
                <w:rFonts w:hint="default"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eastAsia="zh-CN"/>
              </w:rPr>
              <w:t>砂壁产品</w:t>
            </w:r>
            <w:r>
              <w:rPr>
                <w:rFonts w:hint="default" w:ascii="Times New Roman" w:hAnsi="Times New Roman" w:eastAsia="宋体" w:cs="Times New Roman"/>
                <w:bCs/>
                <w:color w:val="auto"/>
                <w:sz w:val="24"/>
                <w:lang w:eastAsia="zh-CN"/>
              </w:rPr>
              <w:t>生产工艺</w:t>
            </w:r>
          </w:p>
          <w:p w14:paraId="486EA76D">
            <w:pPr>
              <w:pStyle w:val="82"/>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color w:val="auto"/>
                <w:sz w:val="24"/>
                <w:lang w:eastAsia="zh-CN"/>
              </w:rPr>
            </w:pPr>
            <w:r>
              <w:rPr>
                <w:rFonts w:hint="default" w:ascii="Times New Roman" w:hAnsi="Times New Roman" w:eastAsia="宋体" w:cs="Times New Roman"/>
                <w:b w:val="0"/>
                <w:bCs/>
                <w:color w:val="auto"/>
                <w:sz w:val="24"/>
                <w:lang w:eastAsia="zh-CN"/>
              </w:rPr>
              <w:fldChar w:fldCharType="begin"/>
            </w:r>
            <w:r>
              <w:rPr>
                <w:rFonts w:hint="default" w:ascii="Times New Roman" w:hAnsi="Times New Roman" w:eastAsia="宋体" w:cs="Times New Roman"/>
                <w:b w:val="0"/>
                <w:bCs/>
                <w:color w:val="auto"/>
                <w:sz w:val="24"/>
                <w:lang w:eastAsia="zh-CN"/>
              </w:rPr>
              <w:instrText xml:space="preserve"> HYPERLINK "http://baike.baidu.com/view/4137445.htm" \h </w:instrText>
            </w:r>
            <w:r>
              <w:rPr>
                <w:rFonts w:hint="default" w:ascii="Times New Roman" w:hAnsi="Times New Roman" w:eastAsia="宋体" w:cs="Times New Roman"/>
                <w:b w:val="0"/>
                <w:bCs/>
                <w:color w:val="auto"/>
                <w:sz w:val="24"/>
                <w:lang w:eastAsia="zh-CN"/>
              </w:rPr>
              <w:fldChar w:fldCharType="separate"/>
            </w:r>
            <w:r>
              <w:rPr>
                <w:rFonts w:hint="default" w:ascii="Times New Roman" w:hAnsi="Times New Roman" w:eastAsia="宋体" w:cs="Times New Roman"/>
                <w:b w:val="0"/>
                <w:bCs/>
                <w:color w:val="auto"/>
                <w:sz w:val="24"/>
                <w:lang w:eastAsia="zh-CN"/>
              </w:rPr>
              <w:t>砂壁漆是</w:t>
            </w:r>
            <w:r>
              <w:rPr>
                <w:rFonts w:hint="default" w:ascii="Times New Roman" w:hAnsi="Times New Roman" w:eastAsia="宋体" w:cs="Times New Roman"/>
                <w:b w:val="0"/>
                <w:bCs/>
                <w:color w:val="auto"/>
                <w:sz w:val="24"/>
                <w:lang w:eastAsia="zh-CN"/>
              </w:rPr>
              <w:fldChar w:fldCharType="end"/>
            </w:r>
            <w:r>
              <w:rPr>
                <w:rFonts w:hint="default" w:ascii="Times New Roman" w:hAnsi="Times New Roman" w:eastAsia="宋体" w:cs="Times New Roman"/>
                <w:b w:val="0"/>
                <w:bCs/>
                <w:color w:val="auto"/>
                <w:sz w:val="24"/>
                <w:lang w:eastAsia="zh-CN"/>
              </w:rPr>
              <w:t xml:space="preserve">以水性丙烯酸粘合剂及其它助剂生产而成，属于弹性质感涂料的一种，具有优异的耐候性，耐紫外线、耐老化，让墙体历久长新。特别设计的粘度结构，柔韧性佳，能桥连细小的墙体裂缝。耐洗刷，厚浆涂层更有效保护建筑物，砂壁百变状质感装饰效果。其生产工艺流程与水性乳胶漆生产工艺流程基本是相同的，只是砂壁会根据市场订单， 通过原料白砂或是色浆进行调色，产品不局限于白色系产品；其产品的粘度要高于乳胶漆。工艺流程及污染物产生节点见图 </w:t>
            </w:r>
            <w:r>
              <w:rPr>
                <w:rFonts w:hint="eastAsia" w:ascii="Times New Roman" w:hAnsi="Times New Roman" w:eastAsia="宋体" w:cs="Times New Roman"/>
                <w:b w:val="0"/>
                <w:bCs/>
                <w:color w:val="auto"/>
                <w:sz w:val="24"/>
                <w:lang w:val="en-US" w:eastAsia="zh-CN"/>
              </w:rPr>
              <w:t>2-4</w:t>
            </w:r>
            <w:r>
              <w:rPr>
                <w:rFonts w:hint="default" w:ascii="Times New Roman" w:hAnsi="Times New Roman" w:eastAsia="宋体" w:cs="Times New Roman"/>
                <w:b w:val="0"/>
                <w:bCs/>
                <w:color w:val="auto"/>
                <w:sz w:val="24"/>
                <w:lang w:eastAsia="zh-CN"/>
              </w:rPr>
              <w:t>。</w:t>
            </w:r>
          </w:p>
          <w:p w14:paraId="16668E7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drawing>
                <wp:inline distT="0" distB="0" distL="114300" distR="114300">
                  <wp:extent cx="5324475" cy="4203700"/>
                  <wp:effectExtent l="0" t="0" r="9525" b="6350"/>
                  <wp:docPr id="7" name="图片 7" descr="砂壁产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砂壁产品"/>
                          <pic:cNvPicPr>
                            <a:picLocks noChangeAspect="1"/>
                          </pic:cNvPicPr>
                        </pic:nvPicPr>
                        <pic:blipFill>
                          <a:blip r:embed="rId28"/>
                          <a:stretch>
                            <a:fillRect/>
                          </a:stretch>
                        </pic:blipFill>
                        <pic:spPr>
                          <a:xfrm>
                            <a:off x="0" y="0"/>
                            <a:ext cx="5324475" cy="4203700"/>
                          </a:xfrm>
                          <a:prstGeom prst="rect">
                            <a:avLst/>
                          </a:prstGeom>
                        </pic:spPr>
                      </pic:pic>
                    </a:graphicData>
                  </a:graphic>
                </wp:inline>
              </w:drawing>
            </w:r>
          </w:p>
          <w:p w14:paraId="28F5BBCF">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bCs/>
                <w:color w:val="auto"/>
                <w:sz w:val="24"/>
                <w:szCs w:val="24"/>
              </w:rPr>
              <w:t>图</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w:t>
            </w: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eastAsia" w:cs="Times New Roman"/>
                <w:b/>
                <w:bCs/>
                <w:color w:val="auto"/>
                <w:sz w:val="24"/>
                <w:szCs w:val="24"/>
                <w:lang w:val="en-US" w:eastAsia="zh-CN"/>
              </w:rPr>
              <w:t>砂壁产品</w:t>
            </w:r>
            <w:r>
              <w:rPr>
                <w:rFonts w:hint="default" w:ascii="Times New Roman" w:hAnsi="Times New Roman" w:eastAsia="宋体" w:cs="Times New Roman"/>
                <w:b/>
                <w:bCs/>
                <w:color w:val="auto"/>
                <w:sz w:val="24"/>
                <w:szCs w:val="24"/>
              </w:rPr>
              <w:t>生产工艺流程图</w:t>
            </w:r>
          </w:p>
          <w:p w14:paraId="0D97FE67">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3</w:t>
            </w:r>
            <w:r>
              <w:rPr>
                <w:rFonts w:hint="default" w:ascii="Times New Roman" w:hAnsi="Times New Roman" w:eastAsia="宋体" w:cs="Times New Roman"/>
                <w:b/>
                <w:color w:val="auto"/>
                <w:sz w:val="24"/>
                <w:szCs w:val="24"/>
              </w:rPr>
              <w:t>、</w:t>
            </w:r>
            <w:r>
              <w:rPr>
                <w:rFonts w:hint="eastAsia" w:cs="Times New Roman"/>
                <w:b/>
                <w:color w:val="auto"/>
                <w:sz w:val="24"/>
                <w:szCs w:val="24"/>
                <w:lang w:eastAsia="zh-CN"/>
              </w:rPr>
              <w:t>腻子粉</w:t>
            </w:r>
            <w:r>
              <w:rPr>
                <w:rFonts w:hint="default" w:ascii="Times New Roman" w:hAnsi="Times New Roman" w:eastAsia="宋体" w:cs="Times New Roman"/>
                <w:b/>
                <w:color w:val="auto"/>
                <w:sz w:val="24"/>
                <w:szCs w:val="24"/>
              </w:rPr>
              <w:t>生产工艺</w:t>
            </w:r>
          </w:p>
          <w:p w14:paraId="2BB88D9B">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rPr>
            </w:pPr>
            <w:r>
              <w:rPr>
                <w:rFonts w:hint="eastAsia" w:cs="Times New Roman"/>
                <w:b w:val="0"/>
                <w:bCs w:val="0"/>
                <w:color w:val="auto"/>
                <w:sz w:val="24"/>
                <w:szCs w:val="24"/>
                <w:lang w:eastAsia="zh-CN"/>
              </w:rPr>
              <w:t>①</w:t>
            </w:r>
            <w:r>
              <w:rPr>
                <w:rFonts w:hint="default" w:ascii="Times New Roman" w:hAnsi="Times New Roman" w:eastAsia="宋体" w:cs="Times New Roman"/>
                <w:b w:val="0"/>
                <w:bCs w:val="0"/>
                <w:color w:val="auto"/>
                <w:sz w:val="24"/>
                <w:szCs w:val="24"/>
              </w:rPr>
              <w:t>原材料检验</w:t>
            </w:r>
          </w:p>
          <w:p w14:paraId="2A8FD0DE">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rPr>
              <w:t>为保证原料符合生产要求，对生产腻子粉的原材料进行检验，并分装到不同的贮罐中</w:t>
            </w:r>
            <w:r>
              <w:rPr>
                <w:rFonts w:hint="eastAsia" w:cs="Times New Roman"/>
                <w:b w:val="0"/>
                <w:bCs w:val="0"/>
                <w:color w:val="auto"/>
                <w:sz w:val="24"/>
                <w:szCs w:val="24"/>
                <w:lang w:val="en-US" w:eastAsia="zh-CN"/>
              </w:rPr>
              <w:t>。</w:t>
            </w:r>
          </w:p>
          <w:p w14:paraId="43C5BF82">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rPr>
            </w:pPr>
            <w:r>
              <w:rPr>
                <w:rFonts w:hint="eastAsia" w:cs="Times New Roman"/>
                <w:b w:val="0"/>
                <w:bCs w:val="0"/>
                <w:color w:val="auto"/>
                <w:sz w:val="24"/>
                <w:szCs w:val="24"/>
                <w:lang w:eastAsia="zh-CN"/>
              </w:rPr>
              <w:t>②</w:t>
            </w:r>
            <w:r>
              <w:rPr>
                <w:rFonts w:hint="default" w:ascii="Times New Roman" w:hAnsi="Times New Roman" w:eastAsia="宋体" w:cs="Times New Roman"/>
                <w:b w:val="0"/>
                <w:bCs w:val="0"/>
                <w:color w:val="auto"/>
                <w:sz w:val="24"/>
                <w:szCs w:val="24"/>
              </w:rPr>
              <w:t>上料</w:t>
            </w:r>
          </w:p>
          <w:p w14:paraId="4223716A">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rPr>
              <w:t>根据所需腻子粉的型号，按不同比例投料，并由泵抽至混合罐中，通过充分搅拌混合后，成为腻子粉产品；</w:t>
            </w:r>
            <w:r>
              <w:rPr>
                <w:rFonts w:hint="eastAsia" w:cs="Times New Roman"/>
                <w:b w:val="0"/>
                <w:bCs w:val="0"/>
                <w:color w:val="auto"/>
                <w:sz w:val="24"/>
                <w:szCs w:val="24"/>
                <w:lang w:val="en-US" w:eastAsia="zh-CN"/>
              </w:rPr>
              <w:t>上料、配料、搅拌产生的粉尘经集气罩收集集中式滤筒除尘器除尘后15m高的排气筒排放。</w:t>
            </w:r>
          </w:p>
          <w:p w14:paraId="255905FE">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rPr>
            </w:pPr>
            <w:r>
              <w:rPr>
                <w:rFonts w:hint="eastAsia" w:cs="Times New Roman"/>
                <w:b w:val="0"/>
                <w:bCs w:val="0"/>
                <w:color w:val="auto"/>
                <w:sz w:val="24"/>
                <w:szCs w:val="24"/>
                <w:lang w:eastAsia="zh-CN"/>
              </w:rPr>
              <w:t>③</w:t>
            </w:r>
            <w:r>
              <w:rPr>
                <w:rFonts w:hint="default" w:ascii="Times New Roman" w:hAnsi="Times New Roman" w:eastAsia="宋体" w:cs="Times New Roman"/>
                <w:b w:val="0"/>
                <w:bCs w:val="0"/>
                <w:color w:val="auto"/>
                <w:sz w:val="24"/>
                <w:szCs w:val="24"/>
              </w:rPr>
              <w:t>检验</w:t>
            </w:r>
          </w:p>
          <w:p w14:paraId="4D9AA30A">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混合后的产品，抽样送至成品检测室，检测其密度、对比度（遮盖率）和细度（白度、PH、施工性）后，成品通过一个细管通过入纸质包装袋，随即封口。</w:t>
            </w:r>
          </w:p>
          <w:p w14:paraId="29702CDC">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szCs w:val="24"/>
              </w:rPr>
            </w:pPr>
            <w:r>
              <w:rPr>
                <w:rFonts w:hint="eastAsia" w:cs="Times New Roman"/>
                <w:b w:val="0"/>
                <w:bCs w:val="0"/>
                <w:color w:val="auto"/>
                <w:sz w:val="24"/>
                <w:szCs w:val="24"/>
                <w:lang w:val="en-US" w:eastAsia="zh-CN"/>
              </w:rPr>
              <w:t>包装产生的粉尘经集气罩收集，旋风除尘器除尘有无组织排放。</w:t>
            </w:r>
            <w:r>
              <w:rPr>
                <w:rFonts w:hint="default" w:ascii="Times New Roman" w:hAnsi="Times New Roman" w:eastAsia="宋体" w:cs="Times New Roman"/>
                <w:b w:val="0"/>
                <w:bCs w:val="0"/>
                <w:color w:val="auto"/>
                <w:sz w:val="24"/>
                <w:szCs w:val="24"/>
              </w:rPr>
              <w:t>工艺流程图见图</w:t>
            </w:r>
            <w:r>
              <w:rPr>
                <w:rFonts w:hint="default"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rPr>
              <w:t>-</w:t>
            </w:r>
            <w:r>
              <w:rPr>
                <w:rFonts w:hint="eastAsia"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rPr>
              <w:t>。</w:t>
            </w:r>
          </w:p>
          <w:p w14:paraId="36A67FF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drawing>
                <wp:inline distT="0" distB="0" distL="114300" distR="114300">
                  <wp:extent cx="4819650" cy="2451100"/>
                  <wp:effectExtent l="0" t="0" r="6350" b="0"/>
                  <wp:docPr id="9" name="图片 9" descr="腻子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腻子粉"/>
                          <pic:cNvPicPr>
                            <a:picLocks noChangeAspect="1"/>
                          </pic:cNvPicPr>
                        </pic:nvPicPr>
                        <pic:blipFill>
                          <a:blip r:embed="rId29"/>
                          <a:stretch>
                            <a:fillRect/>
                          </a:stretch>
                        </pic:blipFill>
                        <pic:spPr>
                          <a:xfrm>
                            <a:off x="0" y="0"/>
                            <a:ext cx="4819650" cy="2451100"/>
                          </a:xfrm>
                          <a:prstGeom prst="rect">
                            <a:avLst/>
                          </a:prstGeom>
                        </pic:spPr>
                      </pic:pic>
                    </a:graphicData>
                  </a:graphic>
                </wp:inline>
              </w:drawing>
            </w:r>
          </w:p>
          <w:p w14:paraId="12682CB4">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bCs/>
                <w:color w:val="auto"/>
                <w:sz w:val="24"/>
                <w:szCs w:val="24"/>
              </w:rPr>
              <w:t>图</w:t>
            </w:r>
            <w:r>
              <w:rPr>
                <w:rFonts w:hint="default" w:ascii="Times New Roman" w:hAnsi="Times New Roman" w:eastAsia="宋体" w:cs="Times New Roman"/>
                <w:b/>
                <w:bCs/>
                <w:color w:val="auto"/>
                <w:sz w:val="24"/>
                <w:szCs w:val="24"/>
                <w:lang w:val="en-US" w:eastAsia="zh-CN"/>
              </w:rPr>
              <w:t>2</w:t>
            </w:r>
            <w:r>
              <w:rPr>
                <w:rFonts w:hint="eastAsia" w:cs="Times New Roman"/>
                <w:b/>
                <w:bCs/>
                <w:color w:val="auto"/>
                <w:sz w:val="24"/>
                <w:szCs w:val="24"/>
                <w:lang w:val="en-US" w:eastAsia="zh-CN"/>
              </w:rPr>
              <w:t>-5</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eastAsia" w:cs="Times New Roman"/>
                <w:b/>
                <w:bCs/>
                <w:color w:val="auto"/>
                <w:sz w:val="24"/>
                <w:szCs w:val="24"/>
                <w:lang w:eastAsia="zh-CN"/>
              </w:rPr>
              <w:t>腻子粉</w:t>
            </w:r>
            <w:r>
              <w:rPr>
                <w:rFonts w:hint="default" w:ascii="Times New Roman" w:hAnsi="Times New Roman" w:eastAsia="宋体" w:cs="Times New Roman"/>
                <w:b/>
                <w:bCs/>
                <w:color w:val="auto"/>
                <w:sz w:val="24"/>
                <w:szCs w:val="24"/>
              </w:rPr>
              <w:t>生产工艺流程图</w:t>
            </w:r>
          </w:p>
          <w:p w14:paraId="636C0936">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eastAsia" w:cs="Times New Roman"/>
                <w:b/>
                <w:bCs/>
                <w:color w:val="auto"/>
                <w:sz w:val="24"/>
                <w:szCs w:val="28"/>
                <w:lang w:val="en-US" w:eastAsia="zh-CN"/>
              </w:rPr>
            </w:pPr>
            <w:r>
              <w:rPr>
                <w:rFonts w:hint="eastAsia" w:cs="Times New Roman"/>
                <w:b/>
                <w:bCs/>
                <w:color w:val="auto"/>
                <w:sz w:val="24"/>
                <w:szCs w:val="28"/>
                <w:lang w:val="en-US" w:eastAsia="zh-CN"/>
              </w:rPr>
              <w:t>4、其他产污环节</w:t>
            </w:r>
          </w:p>
          <w:p w14:paraId="258F3D83">
            <w:pPr>
              <w:pStyle w:val="20"/>
              <w:keepNext w:val="0"/>
              <w:keepLines w:val="0"/>
              <w:suppressLineNumbers w:val="0"/>
              <w:spacing w:beforeAutospacing="0" w:afterAutospacing="0"/>
              <w:ind w:left="0"/>
              <w:jc w:val="center"/>
              <w:rPr>
                <w:rFonts w:hint="default"/>
                <w:color w:val="auto"/>
                <w:lang w:val="en-US" w:eastAsia="zh-CN"/>
              </w:rPr>
            </w:pPr>
            <w:r>
              <w:rPr>
                <w:rFonts w:hint="default"/>
                <w:color w:val="auto"/>
                <w:lang w:val="en-US" w:eastAsia="zh-CN"/>
              </w:rPr>
              <w:object>
                <v:shape id="_x0000_i1027" o:spt="75" type="#_x0000_t75" style="height:238.7pt;width:304.1pt;" o:ole="t" filled="f" o:preferrelative="t" stroked="f" coordsize="21600,21600">
                  <v:path/>
                  <v:fill on="f" focussize="0,0"/>
                  <v:stroke on="f"/>
                  <v:imagedata r:id="rId31" o:title=""/>
                  <o:lock v:ext="edit" aspectratio="f"/>
                  <w10:wrap type="none"/>
                  <w10:anchorlock/>
                </v:shape>
                <o:OLEObject Type="Embed" ProgID="Visio.Drawing.15" ShapeID="_x0000_i1027" DrawAspect="Content" ObjectID="_1468075727" r:id="rId30">
                  <o:LockedField>false</o:LockedField>
                </o:OLEObject>
              </w:object>
            </w:r>
          </w:p>
          <w:p w14:paraId="7F13F7CE">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图2-6 厂区其他环节产污情况图</w:t>
            </w:r>
          </w:p>
          <w:p w14:paraId="2B5E88BF">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rPr>
            </w:pPr>
            <w:r>
              <w:rPr>
                <w:rFonts w:hint="default" w:ascii="Times New Roman" w:hAnsi="Times New Roman" w:eastAsia="宋体" w:cs="Times New Roman"/>
                <w:b/>
                <w:bCs/>
                <w:color w:val="auto"/>
                <w:sz w:val="24"/>
                <w:szCs w:val="28"/>
                <w:lang w:val="en-US" w:eastAsia="zh-CN"/>
              </w:rPr>
              <w:t>6、</w:t>
            </w:r>
            <w:r>
              <w:rPr>
                <w:rFonts w:hint="default" w:ascii="Times New Roman" w:hAnsi="Times New Roman" w:eastAsia="宋体" w:cs="Times New Roman"/>
                <w:b/>
                <w:bCs/>
                <w:color w:val="auto"/>
                <w:sz w:val="24"/>
                <w:szCs w:val="28"/>
              </w:rPr>
              <w:t>运营期主要污染工序</w:t>
            </w:r>
          </w:p>
          <w:p w14:paraId="7A44D9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本项目运营期主要污染工序详见表2-</w:t>
            </w:r>
            <w:r>
              <w:rPr>
                <w:rFonts w:hint="eastAsia"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w:t>
            </w:r>
          </w:p>
          <w:p w14:paraId="018650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15</w:t>
            </w:r>
            <w:r>
              <w:rPr>
                <w:rFonts w:hint="default" w:ascii="Times New Roman" w:hAnsi="Times New Roman" w:eastAsia="宋体" w:cs="Times New Roman"/>
                <w:b/>
                <w:bCs/>
                <w:color w:val="auto"/>
                <w:sz w:val="21"/>
                <w:szCs w:val="21"/>
                <w:lang w:val="en-US" w:eastAsia="zh-CN"/>
              </w:rPr>
              <w:t xml:space="preserve">  运营期主要污染工序一览表</w:t>
            </w:r>
          </w:p>
          <w:tbl>
            <w:tblPr>
              <w:tblStyle w:val="2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963"/>
              <w:gridCol w:w="1500"/>
              <w:gridCol w:w="1828"/>
              <w:gridCol w:w="2568"/>
              <w:gridCol w:w="894"/>
            </w:tblGrid>
            <w:tr w14:paraId="297C1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tcBorders>
                    <w:tl2br w:val="nil"/>
                    <w:tr2bl w:val="nil"/>
                  </w:tcBorders>
                  <w:noWrap w:val="0"/>
                  <w:vAlign w:val="center"/>
                </w:tcPr>
                <w:p w14:paraId="1D0FFD6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污染类别</w:t>
                  </w:r>
                </w:p>
              </w:tc>
              <w:tc>
                <w:tcPr>
                  <w:tcW w:w="575" w:type="pct"/>
                  <w:tcBorders>
                    <w:tl2br w:val="nil"/>
                    <w:tr2bl w:val="nil"/>
                  </w:tcBorders>
                  <w:noWrap w:val="0"/>
                  <w:vAlign w:val="center"/>
                </w:tcPr>
                <w:p w14:paraId="386A14E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编号</w:t>
                  </w:r>
                </w:p>
              </w:tc>
              <w:tc>
                <w:tcPr>
                  <w:tcW w:w="896" w:type="pct"/>
                  <w:tcBorders>
                    <w:tl2br w:val="nil"/>
                    <w:tr2bl w:val="nil"/>
                  </w:tcBorders>
                  <w:noWrap w:val="0"/>
                  <w:vAlign w:val="center"/>
                </w:tcPr>
                <w:p w14:paraId="6410883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产污环节</w:t>
                  </w:r>
                </w:p>
              </w:tc>
              <w:tc>
                <w:tcPr>
                  <w:tcW w:w="1092" w:type="pct"/>
                  <w:tcBorders>
                    <w:tl2br w:val="nil"/>
                    <w:tr2bl w:val="nil"/>
                  </w:tcBorders>
                  <w:noWrap w:val="0"/>
                  <w:vAlign w:val="center"/>
                </w:tcPr>
                <w:p w14:paraId="7EA91FC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主要</w:t>
                  </w:r>
                  <w:r>
                    <w:rPr>
                      <w:rFonts w:hint="default" w:ascii="Times New Roman" w:hAnsi="Times New Roman" w:eastAsia="宋体" w:cs="Times New Roman"/>
                      <w:b/>
                      <w:color w:val="auto"/>
                      <w:sz w:val="21"/>
                      <w:szCs w:val="21"/>
                      <w:highlight w:val="none"/>
                    </w:rPr>
                    <w:t>污染物</w:t>
                  </w:r>
                </w:p>
              </w:tc>
              <w:tc>
                <w:tcPr>
                  <w:tcW w:w="1534" w:type="pct"/>
                  <w:tcBorders>
                    <w:tl2br w:val="nil"/>
                    <w:tr2bl w:val="nil"/>
                  </w:tcBorders>
                  <w:noWrap w:val="0"/>
                  <w:vAlign w:val="center"/>
                </w:tcPr>
                <w:p w14:paraId="41B79C4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治理措施</w:t>
                  </w:r>
                </w:p>
              </w:tc>
              <w:tc>
                <w:tcPr>
                  <w:tcW w:w="534" w:type="pct"/>
                  <w:tcBorders>
                    <w:tl2br w:val="nil"/>
                    <w:tr2bl w:val="nil"/>
                  </w:tcBorders>
                  <w:noWrap w:val="0"/>
                  <w:vAlign w:val="center"/>
                </w:tcPr>
                <w:p w14:paraId="77A947E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排放方式</w:t>
                  </w:r>
                </w:p>
              </w:tc>
            </w:tr>
            <w:tr w14:paraId="49F8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restart"/>
                  <w:tcBorders>
                    <w:tl2br w:val="nil"/>
                    <w:tr2bl w:val="nil"/>
                  </w:tcBorders>
                  <w:noWrap w:val="0"/>
                  <w:vAlign w:val="center"/>
                </w:tcPr>
                <w:p w14:paraId="4385098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w:t>
                  </w:r>
                </w:p>
              </w:tc>
              <w:tc>
                <w:tcPr>
                  <w:tcW w:w="575" w:type="pct"/>
                  <w:tcBorders>
                    <w:tl2br w:val="nil"/>
                    <w:tr2bl w:val="nil"/>
                  </w:tcBorders>
                  <w:noWrap w:val="0"/>
                  <w:vAlign w:val="center"/>
                </w:tcPr>
                <w:p w14:paraId="3040146F">
                  <w:pPr>
                    <w:pStyle w:val="20"/>
                    <w:keepNext w:val="0"/>
                    <w:keepLines w:val="0"/>
                    <w:suppressLineNumbers w:val="0"/>
                    <w:spacing w:beforeAutospacing="0" w:after="0" w:afterAutospacing="0"/>
                    <w:ind w:lef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G1</w:t>
                  </w:r>
                </w:p>
              </w:tc>
              <w:tc>
                <w:tcPr>
                  <w:tcW w:w="896" w:type="pct"/>
                  <w:tcBorders>
                    <w:tl2br w:val="nil"/>
                    <w:tr2bl w:val="nil"/>
                  </w:tcBorders>
                  <w:noWrap w:val="0"/>
                  <w:vAlign w:val="center"/>
                </w:tcPr>
                <w:p w14:paraId="0A8608A6">
                  <w:pPr>
                    <w:pStyle w:val="20"/>
                    <w:keepNext w:val="0"/>
                    <w:keepLines w:val="0"/>
                    <w:suppressLineNumbers w:val="0"/>
                    <w:spacing w:beforeAutospacing="0" w:after="0" w:afterAutospacing="0"/>
                    <w:ind w:lef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乳胶漆生产线投料间投料粉尘</w:t>
                  </w:r>
                </w:p>
              </w:tc>
              <w:tc>
                <w:tcPr>
                  <w:tcW w:w="1092" w:type="pct"/>
                  <w:tcBorders>
                    <w:tl2br w:val="nil"/>
                    <w:tr2bl w:val="nil"/>
                  </w:tcBorders>
                  <w:noWrap w:val="0"/>
                  <w:vAlign w:val="center"/>
                </w:tcPr>
                <w:p w14:paraId="7238F0DC">
                  <w:pPr>
                    <w:pStyle w:val="20"/>
                    <w:keepNext w:val="0"/>
                    <w:keepLines w:val="0"/>
                    <w:suppressLineNumbers w:val="0"/>
                    <w:spacing w:beforeAutospacing="0" w:after="0" w:afterAutospacing="0"/>
                    <w:ind w:lef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颗粒物</w:t>
                  </w:r>
                </w:p>
              </w:tc>
              <w:tc>
                <w:tcPr>
                  <w:tcW w:w="1534" w:type="pct"/>
                  <w:vMerge w:val="restart"/>
                  <w:tcBorders>
                    <w:tl2br w:val="nil"/>
                    <w:tr2bl w:val="nil"/>
                  </w:tcBorders>
                  <w:noWrap w:val="0"/>
                  <w:vAlign w:val="center"/>
                </w:tcPr>
                <w:p w14:paraId="2FDF8D07">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设置5个集气罩+布袋除尘+UV光氧催化+活性炭吸附装置处理后15m高的排气筒排放（DA002）</w:t>
                  </w:r>
                </w:p>
              </w:tc>
              <w:tc>
                <w:tcPr>
                  <w:tcW w:w="534" w:type="pct"/>
                  <w:vMerge w:val="restart"/>
                  <w:tcBorders>
                    <w:tl2br w:val="nil"/>
                    <w:tr2bl w:val="nil"/>
                  </w:tcBorders>
                  <w:noWrap w:val="0"/>
                  <w:vAlign w:val="center"/>
                </w:tcPr>
                <w:p w14:paraId="3D110413">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有组织</w:t>
                  </w:r>
                </w:p>
              </w:tc>
            </w:tr>
            <w:tr w14:paraId="150B2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5E28BF7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40A981D0">
                  <w:pPr>
                    <w:pStyle w:val="20"/>
                    <w:keepNext w:val="0"/>
                    <w:keepLines w:val="0"/>
                    <w:suppressLineNumbers w:val="0"/>
                    <w:spacing w:beforeAutospacing="0" w:after="0" w:afterAutospacing="0"/>
                    <w:ind w:lef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G2</w:t>
                  </w:r>
                </w:p>
              </w:tc>
              <w:tc>
                <w:tcPr>
                  <w:tcW w:w="896" w:type="pct"/>
                  <w:tcBorders>
                    <w:tl2br w:val="nil"/>
                    <w:tr2bl w:val="nil"/>
                  </w:tcBorders>
                  <w:noWrap w:val="0"/>
                  <w:vAlign w:val="center"/>
                </w:tcPr>
                <w:p w14:paraId="12D36724">
                  <w:pPr>
                    <w:pStyle w:val="20"/>
                    <w:keepNext w:val="0"/>
                    <w:keepLines w:val="0"/>
                    <w:suppressLineNumbers w:val="0"/>
                    <w:spacing w:beforeAutospacing="0" w:after="0" w:afterAutospacing="0"/>
                    <w:ind w:lef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砂壁生产线投料间粉尘</w:t>
                  </w:r>
                </w:p>
              </w:tc>
              <w:tc>
                <w:tcPr>
                  <w:tcW w:w="1092" w:type="pct"/>
                  <w:tcBorders>
                    <w:tl2br w:val="nil"/>
                    <w:tr2bl w:val="nil"/>
                  </w:tcBorders>
                  <w:noWrap w:val="0"/>
                  <w:vAlign w:val="center"/>
                </w:tcPr>
                <w:p w14:paraId="7D74F197">
                  <w:pPr>
                    <w:pStyle w:val="20"/>
                    <w:keepNext w:val="0"/>
                    <w:keepLines w:val="0"/>
                    <w:suppressLineNumbers w:val="0"/>
                    <w:spacing w:beforeAutospacing="0" w:after="0" w:afterAutospacing="0"/>
                    <w:ind w:lef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eastAsia="zh-CN"/>
                    </w:rPr>
                    <w:t>颗粒物</w:t>
                  </w:r>
                </w:p>
              </w:tc>
              <w:tc>
                <w:tcPr>
                  <w:tcW w:w="1534" w:type="pct"/>
                  <w:vMerge w:val="continue"/>
                  <w:tcBorders>
                    <w:tl2br w:val="nil"/>
                    <w:tr2bl w:val="nil"/>
                  </w:tcBorders>
                  <w:noWrap w:val="0"/>
                  <w:vAlign w:val="center"/>
                </w:tcPr>
                <w:p w14:paraId="49B1820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c>
                <w:tcPr>
                  <w:tcW w:w="534" w:type="pct"/>
                  <w:vMerge w:val="continue"/>
                  <w:tcBorders>
                    <w:tl2br w:val="nil"/>
                    <w:tr2bl w:val="nil"/>
                  </w:tcBorders>
                  <w:noWrap w:val="0"/>
                  <w:vAlign w:val="center"/>
                </w:tcPr>
                <w:p w14:paraId="7B8782C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p>
              </w:tc>
            </w:tr>
            <w:tr w14:paraId="1F017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368" w:type="pct"/>
                  <w:vMerge w:val="continue"/>
                  <w:tcBorders>
                    <w:tl2br w:val="nil"/>
                    <w:tr2bl w:val="nil"/>
                  </w:tcBorders>
                  <w:noWrap w:val="0"/>
                  <w:vAlign w:val="center"/>
                </w:tcPr>
                <w:p w14:paraId="2D3DE09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169D4A86">
                  <w:pPr>
                    <w:pStyle w:val="20"/>
                    <w:keepNext w:val="0"/>
                    <w:keepLines w:val="0"/>
                    <w:suppressLineNumbers w:val="0"/>
                    <w:spacing w:beforeAutospacing="0" w:after="0" w:afterAutospacing="0"/>
                    <w:ind w:left="0" w:leftChars="0"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G</w:t>
                  </w:r>
                  <w:r>
                    <w:rPr>
                      <w:rFonts w:hint="eastAsia" w:cs="Times New Roman"/>
                      <w:color w:val="auto"/>
                      <w:sz w:val="21"/>
                      <w:szCs w:val="21"/>
                      <w:lang w:val="en-US" w:eastAsia="zh-CN"/>
                    </w:rPr>
                    <w:t>4</w:t>
                  </w:r>
                </w:p>
              </w:tc>
              <w:tc>
                <w:tcPr>
                  <w:tcW w:w="896" w:type="pct"/>
                  <w:tcBorders>
                    <w:tl2br w:val="nil"/>
                    <w:tr2bl w:val="nil"/>
                  </w:tcBorders>
                  <w:noWrap w:val="0"/>
                  <w:vAlign w:val="center"/>
                </w:tcPr>
                <w:p w14:paraId="14570983">
                  <w:pPr>
                    <w:pStyle w:val="20"/>
                    <w:keepNext w:val="0"/>
                    <w:keepLines w:val="0"/>
                    <w:suppressLineNumbers w:val="0"/>
                    <w:spacing w:beforeAutospacing="0" w:after="0" w:afterAutospacing="0"/>
                    <w:ind w:left="0" w:leftChars="0"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乳胶漆生产线及砂壁生产线包装机口</w:t>
                  </w:r>
                </w:p>
              </w:tc>
              <w:tc>
                <w:tcPr>
                  <w:tcW w:w="1092" w:type="pct"/>
                  <w:tcBorders>
                    <w:tl2br w:val="nil"/>
                    <w:tr2bl w:val="nil"/>
                  </w:tcBorders>
                  <w:noWrap w:val="0"/>
                  <w:vAlign w:val="center"/>
                </w:tcPr>
                <w:p w14:paraId="3CFB0787">
                  <w:pPr>
                    <w:pStyle w:val="20"/>
                    <w:keepNext w:val="0"/>
                    <w:keepLines w:val="0"/>
                    <w:suppressLineNumbers w:val="0"/>
                    <w:spacing w:beforeAutospacing="0" w:after="0" w:afterAutospacing="0"/>
                    <w:ind w:left="0" w:leftChars="0"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挥发性有机废气（以非甲烷总烃计）</w:t>
                  </w:r>
                </w:p>
              </w:tc>
              <w:tc>
                <w:tcPr>
                  <w:tcW w:w="1534" w:type="pct"/>
                  <w:vMerge w:val="continue"/>
                  <w:tcBorders>
                    <w:tl2br w:val="nil"/>
                    <w:tr2bl w:val="nil"/>
                  </w:tcBorders>
                  <w:noWrap w:val="0"/>
                  <w:vAlign w:val="center"/>
                </w:tcPr>
                <w:p w14:paraId="28F46774">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2"/>
                      <w:sz w:val="21"/>
                      <w:szCs w:val="21"/>
                      <w:highlight w:val="none"/>
                      <w:lang w:val="en-US" w:eastAsia="zh-CN" w:bidi="ar-SA"/>
                    </w:rPr>
                  </w:pPr>
                </w:p>
              </w:tc>
              <w:tc>
                <w:tcPr>
                  <w:tcW w:w="534" w:type="pct"/>
                  <w:vMerge w:val="continue"/>
                  <w:tcBorders>
                    <w:tl2br w:val="nil"/>
                    <w:tr2bl w:val="nil"/>
                  </w:tcBorders>
                  <w:noWrap w:val="0"/>
                  <w:vAlign w:val="center"/>
                </w:tcPr>
                <w:p w14:paraId="0F04A383">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p>
              </w:tc>
            </w:tr>
            <w:tr w14:paraId="387A7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4686DC1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586A087D">
                  <w:pPr>
                    <w:pStyle w:val="20"/>
                    <w:keepNext w:val="0"/>
                    <w:keepLines w:val="0"/>
                    <w:suppressLineNumbers w:val="0"/>
                    <w:spacing w:beforeAutospacing="0" w:after="0" w:afterAutospacing="0"/>
                    <w:ind w:left="0" w:leftChars="0" w:right="113"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G3</w:t>
                  </w:r>
                </w:p>
              </w:tc>
              <w:tc>
                <w:tcPr>
                  <w:tcW w:w="896" w:type="pct"/>
                  <w:tcBorders>
                    <w:tl2br w:val="nil"/>
                    <w:tr2bl w:val="nil"/>
                  </w:tcBorders>
                  <w:noWrap w:val="0"/>
                  <w:vAlign w:val="center"/>
                </w:tcPr>
                <w:p w14:paraId="2DC13C1E">
                  <w:pPr>
                    <w:pStyle w:val="20"/>
                    <w:keepNext w:val="0"/>
                    <w:keepLines w:val="0"/>
                    <w:suppressLineNumbers w:val="0"/>
                    <w:spacing w:beforeAutospacing="0" w:after="0" w:afterAutospacing="0"/>
                    <w:ind w:left="0" w:leftChars="0" w:right="113" w:righ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水性涂料生产线助剂类、开盖、投放</w:t>
                  </w:r>
                </w:p>
              </w:tc>
              <w:tc>
                <w:tcPr>
                  <w:tcW w:w="1092" w:type="pct"/>
                  <w:tcBorders>
                    <w:tl2br w:val="nil"/>
                    <w:tr2bl w:val="nil"/>
                  </w:tcBorders>
                  <w:noWrap w:val="0"/>
                  <w:vAlign w:val="center"/>
                </w:tcPr>
                <w:p w14:paraId="3C808D65">
                  <w:pPr>
                    <w:pStyle w:val="20"/>
                    <w:keepNext w:val="0"/>
                    <w:keepLines w:val="0"/>
                    <w:suppressLineNumbers w:val="0"/>
                    <w:spacing w:beforeAutospacing="0" w:after="0" w:afterAutospacing="0"/>
                    <w:ind w:left="0" w:leftChars="0" w:right="113" w:righ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挥发性有机废气（以非甲烷总体计）</w:t>
                  </w:r>
                </w:p>
              </w:tc>
              <w:tc>
                <w:tcPr>
                  <w:tcW w:w="1534" w:type="pct"/>
                  <w:tcBorders>
                    <w:tl2br w:val="nil"/>
                    <w:tr2bl w:val="nil"/>
                  </w:tcBorders>
                  <w:noWrap w:val="0"/>
                  <w:vAlign w:val="center"/>
                </w:tcPr>
                <w:p w14:paraId="78CE5C5C">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加强通风、自然扩散</w:t>
                  </w:r>
                </w:p>
              </w:tc>
              <w:tc>
                <w:tcPr>
                  <w:tcW w:w="534" w:type="pct"/>
                  <w:tcBorders>
                    <w:tl2br w:val="nil"/>
                    <w:tr2bl w:val="nil"/>
                  </w:tcBorders>
                  <w:noWrap w:val="0"/>
                  <w:vAlign w:val="center"/>
                </w:tcPr>
                <w:p w14:paraId="577B00D1">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无组织</w:t>
                  </w:r>
                </w:p>
              </w:tc>
            </w:tr>
            <w:tr w14:paraId="788CB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4E4AAA5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1C933B4B">
                  <w:pPr>
                    <w:pStyle w:val="20"/>
                    <w:keepNext w:val="0"/>
                    <w:keepLines w:val="0"/>
                    <w:suppressLineNumbers w:val="0"/>
                    <w:spacing w:beforeAutospacing="0" w:after="0" w:afterAutospacing="0"/>
                    <w:ind w:lef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G5</w:t>
                  </w:r>
                </w:p>
              </w:tc>
              <w:tc>
                <w:tcPr>
                  <w:tcW w:w="896" w:type="pct"/>
                  <w:tcBorders>
                    <w:tl2br w:val="nil"/>
                    <w:tr2bl w:val="nil"/>
                  </w:tcBorders>
                  <w:noWrap w:val="0"/>
                  <w:vAlign w:val="center"/>
                </w:tcPr>
                <w:p w14:paraId="36CB4B91">
                  <w:pPr>
                    <w:pStyle w:val="20"/>
                    <w:keepNext w:val="0"/>
                    <w:keepLines w:val="0"/>
                    <w:suppressLineNumbers w:val="0"/>
                    <w:spacing w:beforeAutospacing="0" w:after="0" w:afterAutospacing="0"/>
                    <w:ind w:left="0" w:leftChars="0" w:right="113" w:rightChars="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氨水使用挥发</w:t>
                  </w:r>
                </w:p>
              </w:tc>
              <w:tc>
                <w:tcPr>
                  <w:tcW w:w="1092" w:type="pct"/>
                  <w:tcBorders>
                    <w:tl2br w:val="nil"/>
                    <w:tr2bl w:val="nil"/>
                  </w:tcBorders>
                  <w:noWrap w:val="0"/>
                  <w:vAlign w:val="center"/>
                </w:tcPr>
                <w:p w14:paraId="2CCDC19E">
                  <w:pPr>
                    <w:pStyle w:val="20"/>
                    <w:keepNext w:val="0"/>
                    <w:keepLines w:val="0"/>
                    <w:suppressLineNumbers w:val="0"/>
                    <w:spacing w:beforeAutospacing="0" w:after="0" w:afterAutospacing="0"/>
                    <w:ind w:left="0" w:leftChars="0" w:right="113" w:rightChars="0" w:firstLine="0" w:firstLineChars="0"/>
                    <w:jc w:val="center"/>
                    <w:rPr>
                      <w:rFonts w:hint="eastAsia" w:cs="Times New Roman"/>
                      <w:color w:val="auto"/>
                      <w:kern w:val="0"/>
                      <w:sz w:val="21"/>
                      <w:szCs w:val="21"/>
                      <w:lang w:val="en-US" w:eastAsia="zh-CN"/>
                    </w:rPr>
                  </w:pPr>
                  <w:r>
                    <w:rPr>
                      <w:rFonts w:hint="eastAsia" w:cs="Times New Roman"/>
                      <w:color w:val="auto"/>
                      <w:kern w:val="0"/>
                      <w:sz w:val="21"/>
                      <w:szCs w:val="21"/>
                      <w:lang w:eastAsia="zh-CN"/>
                    </w:rPr>
                    <w:t>氨</w:t>
                  </w:r>
                </w:p>
              </w:tc>
              <w:tc>
                <w:tcPr>
                  <w:tcW w:w="1534" w:type="pct"/>
                  <w:tcBorders>
                    <w:tl2br w:val="nil"/>
                    <w:tr2bl w:val="nil"/>
                  </w:tcBorders>
                  <w:noWrap w:val="0"/>
                  <w:vAlign w:val="center"/>
                </w:tcPr>
                <w:p w14:paraId="72238781">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加强通风、自然扩散</w:t>
                  </w:r>
                </w:p>
              </w:tc>
              <w:tc>
                <w:tcPr>
                  <w:tcW w:w="534" w:type="pct"/>
                  <w:tcBorders>
                    <w:tl2br w:val="nil"/>
                    <w:tr2bl w:val="nil"/>
                  </w:tcBorders>
                  <w:noWrap w:val="0"/>
                  <w:vAlign w:val="center"/>
                </w:tcPr>
                <w:p w14:paraId="441A6B1D">
                  <w:pPr>
                    <w:keepNext w:val="0"/>
                    <w:keepLines w:val="0"/>
                    <w:widowControl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无组织</w:t>
                  </w:r>
                </w:p>
              </w:tc>
            </w:tr>
            <w:tr w14:paraId="61A8F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368" w:type="pct"/>
                  <w:vMerge w:val="continue"/>
                  <w:tcBorders>
                    <w:tl2br w:val="nil"/>
                    <w:tr2bl w:val="nil"/>
                  </w:tcBorders>
                  <w:noWrap w:val="0"/>
                  <w:vAlign w:val="center"/>
                </w:tcPr>
                <w:p w14:paraId="296C16F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615A45B3">
                  <w:pPr>
                    <w:pStyle w:val="20"/>
                    <w:keepNext w:val="0"/>
                    <w:keepLines w:val="0"/>
                    <w:suppressLineNumbers w:val="0"/>
                    <w:spacing w:beforeAutospacing="0" w:after="0" w:afterAutospacing="0"/>
                    <w:ind w:lef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w:t>
                  </w:r>
                  <w:r>
                    <w:rPr>
                      <w:rFonts w:hint="eastAsia" w:cs="Times New Roman"/>
                      <w:color w:val="auto"/>
                      <w:sz w:val="21"/>
                      <w:szCs w:val="21"/>
                      <w:lang w:val="en-US" w:eastAsia="zh-CN"/>
                    </w:rPr>
                    <w:t>6</w:t>
                  </w:r>
                </w:p>
              </w:tc>
              <w:tc>
                <w:tcPr>
                  <w:tcW w:w="896" w:type="pct"/>
                  <w:tcBorders>
                    <w:tl2br w:val="nil"/>
                    <w:tr2bl w:val="nil"/>
                  </w:tcBorders>
                  <w:noWrap w:val="0"/>
                  <w:vAlign w:val="center"/>
                </w:tcPr>
                <w:p w14:paraId="6782019B">
                  <w:pPr>
                    <w:pStyle w:val="20"/>
                    <w:keepNext w:val="0"/>
                    <w:keepLines w:val="0"/>
                    <w:suppressLineNumbers w:val="0"/>
                    <w:spacing w:beforeAutospacing="0" w:after="0" w:afterAutospacing="0"/>
                    <w:ind w:left="0"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腻子粉生产车间投料、配料、搅拌</w:t>
                  </w:r>
                </w:p>
              </w:tc>
              <w:tc>
                <w:tcPr>
                  <w:tcW w:w="1092" w:type="pct"/>
                  <w:tcBorders>
                    <w:tl2br w:val="nil"/>
                    <w:tr2bl w:val="nil"/>
                  </w:tcBorders>
                  <w:noWrap w:val="0"/>
                  <w:vAlign w:val="center"/>
                </w:tcPr>
                <w:p w14:paraId="71D693E4">
                  <w:pPr>
                    <w:pStyle w:val="20"/>
                    <w:keepNext w:val="0"/>
                    <w:keepLines w:val="0"/>
                    <w:suppressLineNumbers w:val="0"/>
                    <w:spacing w:beforeAutospacing="0" w:after="0" w:afterAutospacing="0"/>
                    <w:ind w:left="0"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颗粒物</w:t>
                  </w:r>
                </w:p>
              </w:tc>
              <w:tc>
                <w:tcPr>
                  <w:tcW w:w="1534" w:type="pct"/>
                  <w:tcBorders>
                    <w:tl2br w:val="nil"/>
                    <w:tr2bl w:val="nil"/>
                  </w:tcBorders>
                  <w:noWrap w:val="0"/>
                  <w:vAlign w:val="center"/>
                </w:tcPr>
                <w:p w14:paraId="706917B4">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由</w:t>
                  </w:r>
                  <w:r>
                    <w:rPr>
                      <w:rFonts w:hint="eastAsia" w:cs="Times New Roman"/>
                      <w:color w:val="auto"/>
                      <w:sz w:val="21"/>
                      <w:szCs w:val="21"/>
                      <w:highlight w:val="none"/>
                      <w:lang w:val="en-US" w:eastAsia="zh-CN"/>
                    </w:rPr>
                    <w:t>24个集气罩</w:t>
                  </w:r>
                  <w:r>
                    <w:rPr>
                      <w:rFonts w:hint="default" w:ascii="Times New Roman" w:hAnsi="Times New Roman" w:eastAsia="宋体" w:cs="Times New Roman"/>
                      <w:color w:val="auto"/>
                      <w:sz w:val="21"/>
                      <w:szCs w:val="21"/>
                      <w:highlight w:val="none"/>
                      <w:lang w:val="en-US" w:eastAsia="zh-CN"/>
                    </w:rPr>
                    <w:t>收集后经</w:t>
                  </w:r>
                  <w:r>
                    <w:rPr>
                      <w:rFonts w:hint="eastAsia" w:cs="Times New Roman"/>
                      <w:color w:val="auto"/>
                      <w:sz w:val="21"/>
                      <w:szCs w:val="21"/>
                      <w:highlight w:val="none"/>
                      <w:lang w:val="en-US" w:eastAsia="zh-CN"/>
                    </w:rPr>
                    <w:t>集中式滤筒除尘器</w:t>
                  </w:r>
                  <w:r>
                    <w:rPr>
                      <w:rFonts w:hint="default" w:ascii="Times New Roman" w:hAnsi="Times New Roman" w:eastAsia="宋体" w:cs="Times New Roman"/>
                      <w:color w:val="auto"/>
                      <w:sz w:val="21"/>
                      <w:szCs w:val="21"/>
                      <w:highlight w:val="none"/>
                      <w:lang w:val="en-US" w:eastAsia="zh-CN"/>
                    </w:rPr>
                    <w:t>处理</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由15m高的DA00</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排气筒排放</w:t>
                  </w:r>
                  <w:r>
                    <w:rPr>
                      <w:rFonts w:hint="eastAsia" w:cs="Times New Roman"/>
                      <w:color w:val="auto"/>
                      <w:sz w:val="21"/>
                      <w:szCs w:val="21"/>
                      <w:highlight w:val="none"/>
                      <w:lang w:val="en-US" w:eastAsia="zh-CN"/>
                    </w:rPr>
                    <w:t>。</w:t>
                  </w:r>
                </w:p>
              </w:tc>
              <w:tc>
                <w:tcPr>
                  <w:tcW w:w="534" w:type="pct"/>
                  <w:tcBorders>
                    <w:tl2br w:val="nil"/>
                    <w:tr2bl w:val="nil"/>
                  </w:tcBorders>
                  <w:noWrap w:val="0"/>
                  <w:vAlign w:val="center"/>
                </w:tcPr>
                <w:p w14:paraId="63EF6C9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有组织</w:t>
                  </w:r>
                </w:p>
              </w:tc>
            </w:tr>
            <w:tr w14:paraId="05CFB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368" w:type="pct"/>
                  <w:vMerge w:val="continue"/>
                  <w:tcBorders>
                    <w:tl2br w:val="nil"/>
                    <w:tr2bl w:val="nil"/>
                  </w:tcBorders>
                  <w:noWrap w:val="0"/>
                  <w:vAlign w:val="center"/>
                </w:tcPr>
                <w:p w14:paraId="49CF015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0C157D97">
                  <w:pPr>
                    <w:pStyle w:val="20"/>
                    <w:keepNext w:val="0"/>
                    <w:keepLines w:val="0"/>
                    <w:suppressLineNumbers w:val="0"/>
                    <w:spacing w:beforeAutospacing="0" w:after="0" w:afterAutospacing="0"/>
                    <w:ind w:lef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G7</w:t>
                  </w:r>
                </w:p>
              </w:tc>
              <w:tc>
                <w:tcPr>
                  <w:tcW w:w="896" w:type="pct"/>
                  <w:tcBorders>
                    <w:tl2br w:val="nil"/>
                    <w:tr2bl w:val="nil"/>
                  </w:tcBorders>
                  <w:noWrap w:val="0"/>
                  <w:vAlign w:val="center"/>
                </w:tcPr>
                <w:p w14:paraId="62AADFC9">
                  <w:pPr>
                    <w:pStyle w:val="20"/>
                    <w:keepNext w:val="0"/>
                    <w:keepLines w:val="0"/>
                    <w:suppressLineNumbers w:val="0"/>
                    <w:spacing w:beforeAutospacing="0" w:after="0" w:afterAutospacing="0"/>
                    <w:ind w:left="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粉料卸料至粉料罐</w:t>
                  </w:r>
                </w:p>
              </w:tc>
              <w:tc>
                <w:tcPr>
                  <w:tcW w:w="1092" w:type="pct"/>
                  <w:tcBorders>
                    <w:tl2br w:val="nil"/>
                    <w:tr2bl w:val="nil"/>
                  </w:tcBorders>
                  <w:noWrap w:val="0"/>
                  <w:vAlign w:val="center"/>
                </w:tcPr>
                <w:p w14:paraId="4F02E065">
                  <w:pPr>
                    <w:pStyle w:val="20"/>
                    <w:keepNext w:val="0"/>
                    <w:keepLines w:val="0"/>
                    <w:suppressLineNumbers w:val="0"/>
                    <w:spacing w:beforeAutospacing="0" w:after="0" w:afterAutospacing="0"/>
                    <w:ind w:left="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颗粒物</w:t>
                  </w:r>
                </w:p>
              </w:tc>
              <w:tc>
                <w:tcPr>
                  <w:tcW w:w="1534" w:type="pct"/>
                  <w:tcBorders>
                    <w:tl2br w:val="nil"/>
                    <w:tr2bl w:val="nil"/>
                  </w:tcBorders>
                  <w:noWrap w:val="0"/>
                  <w:vAlign w:val="center"/>
                </w:tcPr>
                <w:p w14:paraId="54FCC5D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粉料罐顶部设置脉冲布袋除尘装置，收集处理产生的颗粒物</w:t>
                  </w:r>
                </w:p>
              </w:tc>
              <w:tc>
                <w:tcPr>
                  <w:tcW w:w="534" w:type="pct"/>
                  <w:tcBorders>
                    <w:tl2br w:val="nil"/>
                    <w:tr2bl w:val="nil"/>
                  </w:tcBorders>
                  <w:noWrap w:val="0"/>
                  <w:vAlign w:val="center"/>
                </w:tcPr>
                <w:p w14:paraId="18F853F2">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无组织</w:t>
                  </w:r>
                </w:p>
              </w:tc>
            </w:tr>
            <w:tr w14:paraId="150FA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368" w:type="pct"/>
                  <w:vMerge w:val="continue"/>
                  <w:tcBorders>
                    <w:tl2br w:val="nil"/>
                    <w:tr2bl w:val="nil"/>
                  </w:tcBorders>
                  <w:noWrap w:val="0"/>
                  <w:vAlign w:val="center"/>
                </w:tcPr>
                <w:p w14:paraId="2593C2B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72260073">
                  <w:pPr>
                    <w:pStyle w:val="20"/>
                    <w:keepNext w:val="0"/>
                    <w:keepLines w:val="0"/>
                    <w:suppressLineNumbers w:val="0"/>
                    <w:spacing w:beforeAutospacing="0" w:after="0" w:afterAutospacing="0"/>
                    <w:ind w:left="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G8</w:t>
                  </w:r>
                </w:p>
              </w:tc>
              <w:tc>
                <w:tcPr>
                  <w:tcW w:w="896" w:type="pct"/>
                  <w:tcBorders>
                    <w:tl2br w:val="nil"/>
                    <w:tr2bl w:val="nil"/>
                  </w:tcBorders>
                  <w:noWrap w:val="0"/>
                  <w:vAlign w:val="center"/>
                </w:tcPr>
                <w:p w14:paraId="2C74D76D">
                  <w:pPr>
                    <w:pStyle w:val="20"/>
                    <w:keepNext w:val="0"/>
                    <w:keepLines w:val="0"/>
                    <w:suppressLineNumbers w:val="0"/>
                    <w:spacing w:beforeAutospacing="0" w:after="0" w:afterAutospacing="0"/>
                    <w:ind w:left="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腻子粉生产线包装口</w:t>
                  </w:r>
                </w:p>
              </w:tc>
              <w:tc>
                <w:tcPr>
                  <w:tcW w:w="1092" w:type="pct"/>
                  <w:tcBorders>
                    <w:tl2br w:val="nil"/>
                    <w:tr2bl w:val="nil"/>
                  </w:tcBorders>
                  <w:noWrap w:val="0"/>
                  <w:vAlign w:val="center"/>
                </w:tcPr>
                <w:p w14:paraId="67E3C083">
                  <w:pPr>
                    <w:pStyle w:val="20"/>
                    <w:keepNext w:val="0"/>
                    <w:keepLines w:val="0"/>
                    <w:suppressLineNumbers w:val="0"/>
                    <w:spacing w:beforeAutospacing="0" w:after="0" w:afterAutospacing="0"/>
                    <w:ind w:left="0"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颗粒物</w:t>
                  </w:r>
                </w:p>
              </w:tc>
              <w:tc>
                <w:tcPr>
                  <w:tcW w:w="1534" w:type="pct"/>
                  <w:tcBorders>
                    <w:tl2br w:val="nil"/>
                    <w:tr2bl w:val="nil"/>
                  </w:tcBorders>
                  <w:noWrap w:val="0"/>
                  <w:vAlign w:val="center"/>
                </w:tcPr>
                <w:p w14:paraId="140F5CC2">
                  <w:pPr>
                    <w:keepNext w:val="0"/>
                    <w:keepLines w:val="0"/>
                    <w:widowControl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设置2套旋风除尘器除尘后，无组织排放</w:t>
                  </w:r>
                </w:p>
              </w:tc>
              <w:tc>
                <w:tcPr>
                  <w:tcW w:w="534" w:type="pct"/>
                  <w:tcBorders>
                    <w:tl2br w:val="nil"/>
                    <w:tr2bl w:val="nil"/>
                  </w:tcBorders>
                  <w:noWrap w:val="0"/>
                  <w:vAlign w:val="center"/>
                </w:tcPr>
                <w:p w14:paraId="125C2271">
                  <w:pPr>
                    <w:keepNext w:val="0"/>
                    <w:keepLines w:val="0"/>
                    <w:widowControl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无组织</w:t>
                  </w:r>
                </w:p>
              </w:tc>
            </w:tr>
            <w:tr w14:paraId="40C70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restart"/>
                  <w:tcBorders>
                    <w:tl2br w:val="nil"/>
                    <w:tr2bl w:val="nil"/>
                  </w:tcBorders>
                  <w:noWrap w:val="0"/>
                  <w:vAlign w:val="center"/>
                </w:tcPr>
                <w:p w14:paraId="317AC57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575" w:type="pct"/>
                  <w:tcBorders>
                    <w:tl2br w:val="nil"/>
                    <w:tr2bl w:val="nil"/>
                  </w:tcBorders>
                  <w:noWrap w:val="0"/>
                  <w:vAlign w:val="center"/>
                </w:tcPr>
                <w:p w14:paraId="1C5C829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W1</w:t>
                  </w:r>
                </w:p>
              </w:tc>
              <w:tc>
                <w:tcPr>
                  <w:tcW w:w="896" w:type="pct"/>
                  <w:tcBorders>
                    <w:tl2br w:val="nil"/>
                    <w:tr2bl w:val="nil"/>
                  </w:tcBorders>
                  <w:noWrap w:val="0"/>
                  <w:vAlign w:val="center"/>
                </w:tcPr>
                <w:p w14:paraId="079A800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color w:val="auto"/>
                    </w:rPr>
                    <w:t>水过滤器清洗水</w:t>
                  </w:r>
                </w:p>
              </w:tc>
              <w:tc>
                <w:tcPr>
                  <w:tcW w:w="1092" w:type="pct"/>
                  <w:tcBorders>
                    <w:tl2br w:val="nil"/>
                    <w:tr2bl w:val="nil"/>
                  </w:tcBorders>
                  <w:noWrap w:val="0"/>
                  <w:vAlign w:val="center"/>
                </w:tcPr>
                <w:p w14:paraId="0610BB2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SS</w:t>
                  </w:r>
                </w:p>
              </w:tc>
              <w:tc>
                <w:tcPr>
                  <w:tcW w:w="2068" w:type="pct"/>
                  <w:gridSpan w:val="2"/>
                  <w:vMerge w:val="restart"/>
                  <w:tcBorders>
                    <w:tl2br w:val="nil"/>
                    <w:tr2bl w:val="nil"/>
                  </w:tcBorders>
                  <w:noWrap w:val="0"/>
                  <w:vAlign w:val="center"/>
                </w:tcPr>
                <w:p w14:paraId="38B38C6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生活污水经隔油池、化粪池预处理后同沉淀池沉淀后的生产废水一并进入厂区污水处理系统处理，处理达</w:t>
                  </w:r>
                  <w:r>
                    <w:rPr>
                      <w:rFonts w:hint="default"/>
                      <w:color w:val="auto"/>
                      <w:highlight w:val="none"/>
                    </w:rPr>
                    <w:t>《污水排入城镇下水道水质标准》（</w:t>
                  </w:r>
                  <w:r>
                    <w:rPr>
                      <w:rFonts w:hint="default" w:ascii="Times New Roman" w:eastAsia="Times New Roman"/>
                      <w:color w:val="auto"/>
                      <w:highlight w:val="none"/>
                    </w:rPr>
                    <w:t>GB/T131962-2015</w:t>
                  </w:r>
                  <w:r>
                    <w:rPr>
                      <w:rFonts w:hint="default"/>
                      <w:color w:val="auto"/>
                      <w:highlight w:val="none"/>
                    </w:rPr>
                    <w:t>）表</w:t>
                  </w:r>
                  <w:r>
                    <w:rPr>
                      <w:rFonts w:hint="default" w:ascii="Times New Roman" w:eastAsia="Times New Roman"/>
                      <w:color w:val="auto"/>
                      <w:highlight w:val="none"/>
                    </w:rPr>
                    <w:t>1</w:t>
                  </w:r>
                  <w:r>
                    <w:rPr>
                      <w:rFonts w:hint="default"/>
                      <w:color w:val="auto"/>
                      <w:highlight w:val="none"/>
                    </w:rPr>
                    <w:t>中</w:t>
                  </w:r>
                  <w:r>
                    <w:rPr>
                      <w:rFonts w:hint="default" w:ascii="Times New Roman" w:eastAsia="Times New Roman"/>
                      <w:color w:val="auto"/>
                      <w:highlight w:val="none"/>
                    </w:rPr>
                    <w:t>A</w:t>
                  </w:r>
                  <w:r>
                    <w:rPr>
                      <w:rFonts w:hint="default"/>
                      <w:color w:val="auto"/>
                      <w:highlight w:val="none"/>
                    </w:rPr>
                    <w:t>级标准</w:t>
                  </w:r>
                  <w:r>
                    <w:rPr>
                      <w:rFonts w:hint="eastAsia"/>
                      <w:color w:val="auto"/>
                      <w:highlight w:val="none"/>
                      <w:lang w:eastAsia="zh-CN"/>
                    </w:rPr>
                    <w:t>后，进入园区污水管网，最终进入富民工业园区哨箐机械加工园污水处理厂。</w:t>
                  </w:r>
                </w:p>
              </w:tc>
            </w:tr>
            <w:tr w14:paraId="74D5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70019FC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11E3E93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w:t>
                  </w:r>
                  <w:r>
                    <w:rPr>
                      <w:rFonts w:hint="eastAsia" w:cs="Times New Roman"/>
                      <w:color w:val="auto"/>
                      <w:sz w:val="21"/>
                      <w:szCs w:val="21"/>
                      <w:highlight w:val="none"/>
                      <w:lang w:val="en-US" w:eastAsia="zh-CN"/>
                    </w:rPr>
                    <w:t>2</w:t>
                  </w:r>
                </w:p>
              </w:tc>
              <w:tc>
                <w:tcPr>
                  <w:tcW w:w="896" w:type="pct"/>
                  <w:tcBorders>
                    <w:tl2br w:val="nil"/>
                    <w:tr2bl w:val="nil"/>
                  </w:tcBorders>
                  <w:noWrap w:val="0"/>
                  <w:vAlign w:val="center"/>
                </w:tcPr>
                <w:p w14:paraId="46C66BE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color w:val="auto"/>
                    </w:rPr>
                    <w:t>检测废水</w:t>
                  </w:r>
                </w:p>
              </w:tc>
              <w:tc>
                <w:tcPr>
                  <w:tcW w:w="1092" w:type="pct"/>
                  <w:tcBorders>
                    <w:tl2br w:val="nil"/>
                    <w:tr2bl w:val="nil"/>
                  </w:tcBorders>
                  <w:noWrap w:val="0"/>
                  <w:vAlign w:val="center"/>
                </w:tcPr>
                <w:p w14:paraId="01B4FBE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PH</w:t>
                  </w:r>
                </w:p>
              </w:tc>
              <w:tc>
                <w:tcPr>
                  <w:tcW w:w="2068" w:type="pct"/>
                  <w:gridSpan w:val="2"/>
                  <w:vMerge w:val="continue"/>
                  <w:tcBorders>
                    <w:tl2br w:val="nil"/>
                    <w:tr2bl w:val="nil"/>
                  </w:tcBorders>
                  <w:noWrap w:val="0"/>
                  <w:vAlign w:val="center"/>
                </w:tcPr>
                <w:p w14:paraId="6678A72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r>
            <w:tr w14:paraId="02F7E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47B20DE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10745B1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w:t>
                  </w:r>
                  <w:r>
                    <w:rPr>
                      <w:rFonts w:hint="eastAsia" w:cs="Times New Roman"/>
                      <w:color w:val="auto"/>
                      <w:sz w:val="21"/>
                      <w:szCs w:val="21"/>
                      <w:highlight w:val="none"/>
                      <w:lang w:val="en-US" w:eastAsia="zh-CN"/>
                    </w:rPr>
                    <w:t>3</w:t>
                  </w:r>
                </w:p>
              </w:tc>
              <w:tc>
                <w:tcPr>
                  <w:tcW w:w="896" w:type="pct"/>
                  <w:tcBorders>
                    <w:tl2br w:val="nil"/>
                    <w:tr2bl w:val="nil"/>
                  </w:tcBorders>
                  <w:noWrap w:val="0"/>
                  <w:vAlign w:val="center"/>
                </w:tcPr>
                <w:p w14:paraId="1413B2F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color w:val="auto"/>
                    </w:rPr>
                    <w:t>乳胶漆过滤器冲洗水</w:t>
                  </w:r>
                </w:p>
              </w:tc>
              <w:tc>
                <w:tcPr>
                  <w:tcW w:w="1092" w:type="pct"/>
                  <w:tcBorders>
                    <w:tl2br w:val="nil"/>
                    <w:tr2bl w:val="nil"/>
                  </w:tcBorders>
                  <w:noWrap w:val="0"/>
                  <w:vAlign w:val="center"/>
                </w:tcPr>
                <w:p w14:paraId="2F49551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eastAsia="Times New Roman"/>
                      <w:color w:val="auto"/>
                    </w:rPr>
                    <w:t>COD</w:t>
                  </w:r>
                  <w:r>
                    <w:rPr>
                      <w:rFonts w:hint="default"/>
                      <w:color w:val="auto"/>
                    </w:rPr>
                    <w:t>、</w:t>
                  </w:r>
                  <w:r>
                    <w:rPr>
                      <w:rFonts w:hint="default" w:ascii="Times New Roman" w:eastAsia="Times New Roman"/>
                      <w:color w:val="auto"/>
                    </w:rPr>
                    <w:t>SS</w:t>
                  </w:r>
                  <w:r>
                    <w:rPr>
                      <w:rFonts w:hint="default"/>
                      <w:color w:val="auto"/>
                    </w:rPr>
                    <w:t>、</w:t>
                  </w:r>
                  <w:r>
                    <w:rPr>
                      <w:rFonts w:hint="default" w:ascii="Times New Roman" w:eastAsia="Times New Roman"/>
                      <w:color w:val="auto"/>
                    </w:rPr>
                    <w:t>BOD</w:t>
                  </w:r>
                  <w:r>
                    <w:rPr>
                      <w:rFonts w:hint="default"/>
                      <w:color w:val="auto"/>
                    </w:rPr>
                    <w:t>、石油类及阴离子表面活性剂</w:t>
                  </w:r>
                </w:p>
              </w:tc>
              <w:tc>
                <w:tcPr>
                  <w:tcW w:w="2068" w:type="pct"/>
                  <w:gridSpan w:val="2"/>
                  <w:vMerge w:val="continue"/>
                  <w:tcBorders>
                    <w:tl2br w:val="nil"/>
                    <w:tr2bl w:val="nil"/>
                  </w:tcBorders>
                  <w:noWrap w:val="0"/>
                  <w:vAlign w:val="center"/>
                </w:tcPr>
                <w:p w14:paraId="644885A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r>
            <w:tr w14:paraId="307DE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66CF039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4E3FE6B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w:t>
                  </w:r>
                  <w:r>
                    <w:rPr>
                      <w:rFonts w:hint="eastAsia" w:cs="Times New Roman"/>
                      <w:color w:val="auto"/>
                      <w:sz w:val="21"/>
                      <w:szCs w:val="21"/>
                      <w:highlight w:val="none"/>
                      <w:lang w:val="en-US" w:eastAsia="zh-CN"/>
                    </w:rPr>
                    <w:t>4</w:t>
                  </w:r>
                </w:p>
              </w:tc>
              <w:tc>
                <w:tcPr>
                  <w:tcW w:w="896" w:type="pct"/>
                  <w:tcBorders>
                    <w:tl2br w:val="nil"/>
                    <w:tr2bl w:val="nil"/>
                  </w:tcBorders>
                  <w:noWrap w:val="0"/>
                  <w:vAlign w:val="center"/>
                </w:tcPr>
                <w:p w14:paraId="4BB55BA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color w:val="auto"/>
                    </w:rPr>
                    <w:t>乳胶漆包装包装机清洗水</w:t>
                  </w:r>
                </w:p>
              </w:tc>
              <w:tc>
                <w:tcPr>
                  <w:tcW w:w="1092" w:type="pct"/>
                  <w:tcBorders>
                    <w:tl2br w:val="nil"/>
                    <w:tr2bl w:val="nil"/>
                  </w:tcBorders>
                  <w:noWrap w:val="0"/>
                  <w:vAlign w:val="center"/>
                </w:tcPr>
                <w:p w14:paraId="7F5F57E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eastAsia="Times New Roman"/>
                      <w:color w:val="auto"/>
                    </w:rPr>
                    <w:t>COD</w:t>
                  </w:r>
                  <w:r>
                    <w:rPr>
                      <w:rFonts w:hint="default"/>
                      <w:color w:val="auto"/>
                    </w:rPr>
                    <w:t>、</w:t>
                  </w:r>
                  <w:r>
                    <w:rPr>
                      <w:rFonts w:hint="default" w:ascii="Times New Roman" w:eastAsia="Times New Roman"/>
                      <w:color w:val="auto"/>
                    </w:rPr>
                    <w:t>SS</w:t>
                  </w:r>
                  <w:r>
                    <w:rPr>
                      <w:rFonts w:hint="default"/>
                      <w:color w:val="auto"/>
                    </w:rPr>
                    <w:t>、</w:t>
                  </w:r>
                  <w:r>
                    <w:rPr>
                      <w:rFonts w:hint="default" w:ascii="Times New Roman" w:eastAsia="Times New Roman"/>
                      <w:color w:val="auto"/>
                    </w:rPr>
                    <w:t>BOD</w:t>
                  </w:r>
                  <w:r>
                    <w:rPr>
                      <w:rFonts w:hint="default"/>
                      <w:color w:val="auto"/>
                    </w:rPr>
                    <w:t>、石油类及阴离子表面活性剂</w:t>
                  </w:r>
                </w:p>
              </w:tc>
              <w:tc>
                <w:tcPr>
                  <w:tcW w:w="2068" w:type="pct"/>
                  <w:gridSpan w:val="2"/>
                  <w:vMerge w:val="continue"/>
                  <w:tcBorders>
                    <w:tl2br w:val="nil"/>
                    <w:tr2bl w:val="nil"/>
                  </w:tcBorders>
                  <w:noWrap w:val="0"/>
                  <w:vAlign w:val="center"/>
                </w:tcPr>
                <w:p w14:paraId="52FF202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r>
            <w:tr w14:paraId="0B93C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3FA2C70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5EAC2A2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w:t>
                  </w:r>
                  <w:r>
                    <w:rPr>
                      <w:rFonts w:hint="eastAsia" w:cs="Times New Roman"/>
                      <w:color w:val="auto"/>
                      <w:sz w:val="21"/>
                      <w:szCs w:val="21"/>
                      <w:highlight w:val="none"/>
                      <w:lang w:val="en-US" w:eastAsia="zh-CN"/>
                    </w:rPr>
                    <w:t>5</w:t>
                  </w:r>
                </w:p>
              </w:tc>
              <w:tc>
                <w:tcPr>
                  <w:tcW w:w="896" w:type="pct"/>
                  <w:tcBorders>
                    <w:tl2br w:val="nil"/>
                    <w:tr2bl w:val="nil"/>
                  </w:tcBorders>
                  <w:noWrap w:val="0"/>
                  <w:vAlign w:val="center"/>
                </w:tcPr>
                <w:p w14:paraId="1FE0D88F">
                  <w:pPr>
                    <w:keepNext w:val="0"/>
                    <w:keepLines w:val="0"/>
                    <w:widowControl w:val="0"/>
                    <w:suppressLineNumbers w:val="0"/>
                    <w:spacing w:before="0" w:beforeAutospacing="0" w:after="0" w:afterAutospacing="0"/>
                    <w:ind w:left="0" w:right="0"/>
                    <w:jc w:val="center"/>
                    <w:rPr>
                      <w:rFonts w:hint="default"/>
                      <w:color w:val="auto"/>
                    </w:rPr>
                  </w:pPr>
                  <w:r>
                    <w:rPr>
                      <w:rFonts w:hint="default"/>
                      <w:color w:val="auto"/>
                    </w:rPr>
                    <w:t>乳胶漆生产线洗缸废水</w:t>
                  </w:r>
                </w:p>
              </w:tc>
              <w:tc>
                <w:tcPr>
                  <w:tcW w:w="1092" w:type="pct"/>
                  <w:tcBorders>
                    <w:tl2br w:val="nil"/>
                    <w:tr2bl w:val="nil"/>
                  </w:tcBorders>
                  <w:noWrap w:val="0"/>
                  <w:vAlign w:val="center"/>
                </w:tcPr>
                <w:p w14:paraId="7E837C8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color w:val="auto"/>
                    </w:rPr>
                    <w:t xml:space="preserve"> </w:t>
                  </w:r>
                  <w:r>
                    <w:rPr>
                      <w:rFonts w:hint="default" w:ascii="Times New Roman" w:eastAsia="Times New Roman"/>
                      <w:color w:val="auto"/>
                    </w:rPr>
                    <w:t>COD</w:t>
                  </w:r>
                  <w:r>
                    <w:rPr>
                      <w:rFonts w:hint="default"/>
                      <w:color w:val="auto"/>
                    </w:rPr>
                    <w:t>、</w:t>
                  </w:r>
                  <w:r>
                    <w:rPr>
                      <w:rFonts w:hint="default" w:ascii="Times New Roman" w:eastAsia="Times New Roman"/>
                      <w:color w:val="auto"/>
                    </w:rPr>
                    <w:t>SS</w:t>
                  </w:r>
                  <w:r>
                    <w:rPr>
                      <w:rFonts w:hint="default"/>
                      <w:color w:val="auto"/>
                    </w:rPr>
                    <w:t>、</w:t>
                  </w:r>
                  <w:r>
                    <w:rPr>
                      <w:rFonts w:hint="default" w:ascii="Times New Roman" w:eastAsia="Times New Roman"/>
                      <w:color w:val="auto"/>
                    </w:rPr>
                    <w:t>BOD</w:t>
                  </w:r>
                  <w:r>
                    <w:rPr>
                      <w:rFonts w:hint="default"/>
                      <w:color w:val="auto"/>
                    </w:rPr>
                    <w:t>、石油类及阴离子表面活性剂</w:t>
                  </w:r>
                </w:p>
              </w:tc>
              <w:tc>
                <w:tcPr>
                  <w:tcW w:w="2068" w:type="pct"/>
                  <w:gridSpan w:val="2"/>
                  <w:vMerge w:val="continue"/>
                  <w:tcBorders>
                    <w:tl2br w:val="nil"/>
                    <w:tr2bl w:val="nil"/>
                  </w:tcBorders>
                  <w:noWrap w:val="0"/>
                  <w:vAlign w:val="center"/>
                </w:tcPr>
                <w:p w14:paraId="0C7BE63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r>
            <w:tr w14:paraId="24A7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62C7AC6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501886A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w:t>
                  </w:r>
                  <w:r>
                    <w:rPr>
                      <w:rFonts w:hint="eastAsia" w:cs="Times New Roman"/>
                      <w:color w:val="auto"/>
                      <w:sz w:val="21"/>
                      <w:szCs w:val="21"/>
                      <w:highlight w:val="none"/>
                      <w:lang w:val="en-US" w:eastAsia="zh-CN"/>
                    </w:rPr>
                    <w:t>6</w:t>
                  </w:r>
                </w:p>
              </w:tc>
              <w:tc>
                <w:tcPr>
                  <w:tcW w:w="896" w:type="pct"/>
                  <w:tcBorders>
                    <w:tl2br w:val="nil"/>
                    <w:tr2bl w:val="nil"/>
                  </w:tcBorders>
                  <w:noWrap w:val="0"/>
                  <w:vAlign w:val="center"/>
                </w:tcPr>
                <w:p w14:paraId="684FC4D1">
                  <w:pPr>
                    <w:keepNext w:val="0"/>
                    <w:keepLines w:val="0"/>
                    <w:widowControl w:val="0"/>
                    <w:suppressLineNumbers w:val="0"/>
                    <w:spacing w:before="0" w:beforeAutospacing="0" w:after="0" w:afterAutospacing="0"/>
                    <w:ind w:left="0" w:right="0"/>
                    <w:jc w:val="center"/>
                    <w:rPr>
                      <w:rFonts w:hint="default"/>
                      <w:color w:val="auto"/>
                    </w:rPr>
                  </w:pPr>
                  <w:r>
                    <w:rPr>
                      <w:rFonts w:hint="default"/>
                      <w:color w:val="auto"/>
                    </w:rPr>
                    <w:t>车间设备和罐体外表面清洗废水</w:t>
                  </w:r>
                </w:p>
              </w:tc>
              <w:tc>
                <w:tcPr>
                  <w:tcW w:w="1092" w:type="pct"/>
                  <w:tcBorders>
                    <w:tl2br w:val="nil"/>
                    <w:tr2bl w:val="nil"/>
                  </w:tcBorders>
                  <w:noWrap w:val="0"/>
                  <w:vAlign w:val="center"/>
                </w:tcPr>
                <w:p w14:paraId="2C96952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eastAsia="Times New Roman"/>
                      <w:color w:val="auto"/>
                    </w:rPr>
                    <w:t>COD</w:t>
                  </w:r>
                  <w:r>
                    <w:rPr>
                      <w:rFonts w:hint="default"/>
                      <w:color w:val="auto"/>
                    </w:rPr>
                    <w:t>、</w:t>
                  </w:r>
                  <w:r>
                    <w:rPr>
                      <w:rFonts w:hint="default" w:ascii="Times New Roman" w:eastAsia="Times New Roman"/>
                      <w:color w:val="auto"/>
                    </w:rPr>
                    <w:t>SS</w:t>
                  </w:r>
                  <w:r>
                    <w:rPr>
                      <w:rFonts w:hint="default"/>
                      <w:color w:val="auto"/>
                    </w:rPr>
                    <w:t>、</w:t>
                  </w:r>
                  <w:r>
                    <w:rPr>
                      <w:rFonts w:hint="default" w:ascii="Times New Roman" w:eastAsia="Times New Roman"/>
                      <w:color w:val="auto"/>
                    </w:rPr>
                    <w:t>BOD</w:t>
                  </w:r>
                  <w:r>
                    <w:rPr>
                      <w:rFonts w:hint="default"/>
                      <w:color w:val="auto"/>
                    </w:rPr>
                    <w:t>、石油类及阴离子表面活性剂</w:t>
                  </w:r>
                </w:p>
              </w:tc>
              <w:tc>
                <w:tcPr>
                  <w:tcW w:w="2068" w:type="pct"/>
                  <w:gridSpan w:val="2"/>
                  <w:vMerge w:val="continue"/>
                  <w:tcBorders>
                    <w:tl2br w:val="nil"/>
                    <w:tr2bl w:val="nil"/>
                  </w:tcBorders>
                  <w:noWrap w:val="0"/>
                  <w:vAlign w:val="center"/>
                </w:tcPr>
                <w:p w14:paraId="250ADB8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r>
            <w:tr w14:paraId="1E8D9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6182EA1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5D9E2AE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w:t>
                  </w:r>
                  <w:r>
                    <w:rPr>
                      <w:rFonts w:hint="eastAsia" w:cs="Times New Roman"/>
                      <w:color w:val="auto"/>
                      <w:sz w:val="21"/>
                      <w:szCs w:val="21"/>
                      <w:highlight w:val="none"/>
                      <w:lang w:val="en-US" w:eastAsia="zh-CN"/>
                    </w:rPr>
                    <w:t>7</w:t>
                  </w:r>
                </w:p>
              </w:tc>
              <w:tc>
                <w:tcPr>
                  <w:tcW w:w="896" w:type="pct"/>
                  <w:tcBorders>
                    <w:tl2br w:val="nil"/>
                    <w:tr2bl w:val="nil"/>
                  </w:tcBorders>
                  <w:noWrap w:val="0"/>
                  <w:vAlign w:val="center"/>
                </w:tcPr>
                <w:p w14:paraId="5DF86D60">
                  <w:pPr>
                    <w:keepNext w:val="0"/>
                    <w:keepLines w:val="0"/>
                    <w:widowControl w:val="0"/>
                    <w:suppressLineNumbers w:val="0"/>
                    <w:spacing w:before="0" w:beforeAutospacing="0" w:after="0" w:afterAutospacing="0"/>
                    <w:ind w:left="0" w:right="0"/>
                    <w:jc w:val="center"/>
                    <w:rPr>
                      <w:rFonts w:hint="default"/>
                      <w:color w:val="auto"/>
                    </w:rPr>
                  </w:pPr>
                  <w:r>
                    <w:rPr>
                      <w:rFonts w:hint="default"/>
                      <w:color w:val="auto"/>
                    </w:rPr>
                    <w:t>砂壁车间清洗水</w:t>
                  </w:r>
                </w:p>
              </w:tc>
              <w:tc>
                <w:tcPr>
                  <w:tcW w:w="1092" w:type="pct"/>
                  <w:tcBorders>
                    <w:tl2br w:val="nil"/>
                    <w:tr2bl w:val="nil"/>
                  </w:tcBorders>
                  <w:noWrap w:val="0"/>
                  <w:vAlign w:val="center"/>
                </w:tcPr>
                <w:p w14:paraId="7EBBB5A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eastAsia="Times New Roman"/>
                      <w:color w:val="auto"/>
                    </w:rPr>
                    <w:t>COD</w:t>
                  </w:r>
                  <w:r>
                    <w:rPr>
                      <w:rFonts w:hint="default"/>
                      <w:color w:val="auto"/>
                    </w:rPr>
                    <w:t>、</w:t>
                  </w:r>
                  <w:r>
                    <w:rPr>
                      <w:rFonts w:hint="default" w:ascii="Times New Roman" w:eastAsia="Times New Roman"/>
                      <w:color w:val="auto"/>
                    </w:rPr>
                    <w:t>SS</w:t>
                  </w:r>
                  <w:r>
                    <w:rPr>
                      <w:rFonts w:hint="default"/>
                      <w:color w:val="auto"/>
                    </w:rPr>
                    <w:t>、</w:t>
                  </w:r>
                  <w:r>
                    <w:rPr>
                      <w:rFonts w:hint="default" w:ascii="Times New Roman" w:eastAsia="Times New Roman"/>
                      <w:color w:val="auto"/>
                    </w:rPr>
                    <w:t>BOD</w:t>
                  </w:r>
                  <w:r>
                    <w:rPr>
                      <w:rFonts w:hint="default"/>
                      <w:color w:val="auto"/>
                    </w:rPr>
                    <w:t>、石油类及阴离子表面活性剂</w:t>
                  </w:r>
                </w:p>
              </w:tc>
              <w:tc>
                <w:tcPr>
                  <w:tcW w:w="2068" w:type="pct"/>
                  <w:gridSpan w:val="2"/>
                  <w:vMerge w:val="continue"/>
                  <w:tcBorders>
                    <w:tl2br w:val="nil"/>
                    <w:tr2bl w:val="nil"/>
                  </w:tcBorders>
                  <w:noWrap w:val="0"/>
                  <w:vAlign w:val="center"/>
                </w:tcPr>
                <w:p w14:paraId="4307DBE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r>
            <w:tr w14:paraId="2A10B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165934F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7277F03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w:t>
                  </w:r>
                  <w:r>
                    <w:rPr>
                      <w:rFonts w:hint="eastAsia" w:cs="Times New Roman"/>
                      <w:color w:val="auto"/>
                      <w:sz w:val="21"/>
                      <w:szCs w:val="21"/>
                      <w:highlight w:val="none"/>
                      <w:lang w:val="en-US" w:eastAsia="zh-CN"/>
                    </w:rPr>
                    <w:t>8</w:t>
                  </w:r>
                </w:p>
              </w:tc>
              <w:tc>
                <w:tcPr>
                  <w:tcW w:w="896" w:type="pct"/>
                  <w:tcBorders>
                    <w:tl2br w:val="nil"/>
                    <w:tr2bl w:val="nil"/>
                  </w:tcBorders>
                  <w:noWrap w:val="0"/>
                  <w:vAlign w:val="center"/>
                </w:tcPr>
                <w:p w14:paraId="3FBE6C1C">
                  <w:pPr>
                    <w:keepNext w:val="0"/>
                    <w:keepLines w:val="0"/>
                    <w:widowControl w:val="0"/>
                    <w:suppressLineNumbers w:val="0"/>
                    <w:spacing w:before="0" w:beforeAutospacing="0" w:after="0" w:afterAutospacing="0"/>
                    <w:ind w:left="0" w:right="0"/>
                    <w:jc w:val="center"/>
                    <w:rPr>
                      <w:rFonts w:hint="default"/>
                      <w:color w:val="auto"/>
                    </w:rPr>
                  </w:pPr>
                  <w:r>
                    <w:rPr>
                      <w:rFonts w:hint="default"/>
                      <w:color w:val="auto"/>
                    </w:rPr>
                    <w:t>砂壁生产线洗缸废水</w:t>
                  </w:r>
                </w:p>
              </w:tc>
              <w:tc>
                <w:tcPr>
                  <w:tcW w:w="1092" w:type="pct"/>
                  <w:tcBorders>
                    <w:tl2br w:val="nil"/>
                    <w:tr2bl w:val="nil"/>
                  </w:tcBorders>
                  <w:noWrap w:val="0"/>
                  <w:vAlign w:val="center"/>
                </w:tcPr>
                <w:p w14:paraId="143824A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eastAsia="Times New Roman"/>
                      <w:color w:val="auto"/>
                    </w:rPr>
                    <w:t>COD</w:t>
                  </w:r>
                  <w:r>
                    <w:rPr>
                      <w:rFonts w:hint="default"/>
                      <w:color w:val="auto"/>
                      <w:spacing w:val="4"/>
                    </w:rPr>
                    <w:t>、</w:t>
                  </w:r>
                  <w:r>
                    <w:rPr>
                      <w:rFonts w:hint="default" w:ascii="Times New Roman" w:eastAsia="Times New Roman"/>
                      <w:color w:val="auto"/>
                    </w:rPr>
                    <w:t>SS</w:t>
                  </w:r>
                  <w:r>
                    <w:rPr>
                      <w:rFonts w:hint="default"/>
                      <w:color w:val="auto"/>
                    </w:rPr>
                    <w:t>、</w:t>
                  </w:r>
                  <w:r>
                    <w:rPr>
                      <w:rFonts w:hint="default" w:ascii="Times New Roman" w:eastAsia="Times New Roman"/>
                      <w:color w:val="auto"/>
                    </w:rPr>
                    <w:t>BOD</w:t>
                  </w:r>
                  <w:r>
                    <w:rPr>
                      <w:rFonts w:hint="default"/>
                      <w:color w:val="auto"/>
                      <w:spacing w:val="-1"/>
                    </w:rPr>
                    <w:t>、石油类及阴离子表面活性剂</w:t>
                  </w:r>
                </w:p>
              </w:tc>
              <w:tc>
                <w:tcPr>
                  <w:tcW w:w="2068" w:type="pct"/>
                  <w:gridSpan w:val="2"/>
                  <w:vMerge w:val="continue"/>
                  <w:tcBorders>
                    <w:tl2br w:val="nil"/>
                    <w:tr2bl w:val="nil"/>
                  </w:tcBorders>
                  <w:noWrap w:val="0"/>
                  <w:vAlign w:val="center"/>
                </w:tcPr>
                <w:p w14:paraId="5E0548A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r>
            <w:tr w14:paraId="2048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368" w:type="pct"/>
                  <w:vMerge w:val="continue"/>
                  <w:tcBorders>
                    <w:tl2br w:val="nil"/>
                    <w:tr2bl w:val="nil"/>
                  </w:tcBorders>
                  <w:noWrap w:val="0"/>
                  <w:vAlign w:val="center"/>
                </w:tcPr>
                <w:p w14:paraId="0638FA3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7BA599E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w:t>
                  </w:r>
                  <w:r>
                    <w:rPr>
                      <w:rFonts w:hint="eastAsia" w:cs="Times New Roman"/>
                      <w:color w:val="auto"/>
                      <w:sz w:val="21"/>
                      <w:szCs w:val="21"/>
                      <w:highlight w:val="none"/>
                      <w:lang w:val="en-US" w:eastAsia="zh-CN"/>
                    </w:rPr>
                    <w:t>9</w:t>
                  </w:r>
                </w:p>
              </w:tc>
              <w:tc>
                <w:tcPr>
                  <w:tcW w:w="896" w:type="pct"/>
                  <w:tcBorders>
                    <w:tl2br w:val="nil"/>
                    <w:tr2bl w:val="nil"/>
                  </w:tcBorders>
                  <w:noWrap w:val="0"/>
                  <w:vAlign w:val="center"/>
                </w:tcPr>
                <w:p w14:paraId="6F955FB8">
                  <w:pPr>
                    <w:keepNext w:val="0"/>
                    <w:keepLines w:val="0"/>
                    <w:widowControl w:val="0"/>
                    <w:suppressLineNumbers w:val="0"/>
                    <w:spacing w:before="0" w:beforeAutospacing="0" w:after="0" w:afterAutospacing="0"/>
                    <w:ind w:left="0" w:right="0"/>
                    <w:jc w:val="center"/>
                    <w:rPr>
                      <w:rFonts w:hint="eastAsia" w:eastAsia="宋体"/>
                      <w:color w:val="auto"/>
                      <w:lang w:eastAsia="zh-CN"/>
                    </w:rPr>
                  </w:pPr>
                  <w:r>
                    <w:rPr>
                      <w:rFonts w:hint="eastAsia"/>
                      <w:color w:val="auto"/>
                      <w:lang w:eastAsia="zh-CN"/>
                    </w:rPr>
                    <w:t>生活污水</w:t>
                  </w:r>
                </w:p>
              </w:tc>
              <w:tc>
                <w:tcPr>
                  <w:tcW w:w="1092" w:type="pct"/>
                  <w:tcBorders>
                    <w:tl2br w:val="nil"/>
                    <w:tr2bl w:val="nil"/>
                  </w:tcBorders>
                  <w:noWrap w:val="0"/>
                  <w:vAlign w:val="center"/>
                </w:tcPr>
                <w:p w14:paraId="22955BD8">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default" w:ascii="Times New Roman" w:eastAsia="Times New Roman"/>
                      <w:color w:val="auto"/>
                    </w:rPr>
                    <w:t>COD</w:t>
                  </w:r>
                  <w:r>
                    <w:rPr>
                      <w:rFonts w:hint="default"/>
                      <w:color w:val="auto"/>
                      <w:spacing w:val="4"/>
                    </w:rPr>
                    <w:t>、</w:t>
                  </w:r>
                  <w:r>
                    <w:rPr>
                      <w:rFonts w:hint="default" w:ascii="Times New Roman" w:eastAsia="Times New Roman"/>
                      <w:color w:val="auto"/>
                    </w:rPr>
                    <w:t>SS</w:t>
                  </w:r>
                  <w:r>
                    <w:rPr>
                      <w:rFonts w:hint="default"/>
                      <w:color w:val="auto"/>
                    </w:rPr>
                    <w:t>、</w:t>
                  </w:r>
                  <w:r>
                    <w:rPr>
                      <w:rFonts w:hint="default" w:ascii="Times New Roman" w:eastAsia="Times New Roman"/>
                      <w:color w:val="auto"/>
                    </w:rPr>
                    <w:t>BOD</w:t>
                  </w:r>
                  <w:r>
                    <w:rPr>
                      <w:rFonts w:hint="eastAsia" w:eastAsia="宋体"/>
                      <w:color w:val="auto"/>
                      <w:lang w:eastAsia="zh-CN"/>
                    </w:rPr>
                    <w:t>、</w:t>
                  </w:r>
                  <w:r>
                    <w:rPr>
                      <w:rFonts w:hint="default"/>
                      <w:color w:val="auto"/>
                      <w:spacing w:val="-1"/>
                    </w:rPr>
                    <w:t xml:space="preserve">动植物油 </w:t>
                  </w:r>
                  <w:r>
                    <w:rPr>
                      <w:rFonts w:hint="eastAsia"/>
                      <w:color w:val="auto"/>
                      <w:spacing w:val="-1"/>
                      <w:lang w:eastAsia="zh-CN"/>
                    </w:rPr>
                    <w:t>、</w:t>
                  </w:r>
                  <w:r>
                    <w:rPr>
                      <w:rFonts w:hint="default"/>
                      <w:color w:val="auto"/>
                      <w:spacing w:val="-1"/>
                    </w:rPr>
                    <w:t>阴离子表面活性</w:t>
                  </w:r>
                  <w:r>
                    <w:rPr>
                      <w:rFonts w:hint="default"/>
                      <w:color w:val="auto"/>
                      <w:spacing w:val="-7"/>
                      <w:vertAlign w:val="baseline"/>
                    </w:rPr>
                    <w:t>剂</w:t>
                  </w:r>
                  <w:r>
                    <w:rPr>
                      <w:rFonts w:hint="eastAsia"/>
                      <w:color w:val="auto"/>
                      <w:spacing w:val="-7"/>
                      <w:vertAlign w:val="baseline"/>
                      <w:lang w:eastAsia="zh-CN"/>
                    </w:rPr>
                    <w:t>、</w:t>
                  </w:r>
                  <w:r>
                    <w:rPr>
                      <w:rFonts w:hint="default" w:ascii="Times New Roman" w:hAnsi="Times New Roman" w:eastAsia="Times New Roman"/>
                      <w:color w:val="auto"/>
                      <w:position w:val="2"/>
                      <w:vertAlign w:val="baseline"/>
                    </w:rPr>
                    <w:t>NH</w:t>
                  </w:r>
                  <w:r>
                    <w:rPr>
                      <w:rFonts w:hint="default" w:ascii="Times New Roman" w:hAnsi="Times New Roman" w:eastAsia="Times New Roman"/>
                      <w:color w:val="auto"/>
                      <w:position w:val="2"/>
                      <w:vertAlign w:val="subscript"/>
                    </w:rPr>
                    <w:t>3</w:t>
                  </w:r>
                  <w:r>
                    <w:rPr>
                      <w:rFonts w:hint="default" w:ascii="Times New Roman" w:hAnsi="Times New Roman" w:eastAsia="Times New Roman"/>
                      <w:color w:val="auto"/>
                      <w:position w:val="2"/>
                      <w:vertAlign w:val="baseline"/>
                    </w:rPr>
                    <w:t>-N</w:t>
                  </w:r>
                </w:p>
              </w:tc>
              <w:tc>
                <w:tcPr>
                  <w:tcW w:w="2068" w:type="pct"/>
                  <w:gridSpan w:val="2"/>
                  <w:vMerge w:val="continue"/>
                  <w:tcBorders>
                    <w:tl2br w:val="nil"/>
                    <w:tr2bl w:val="nil"/>
                  </w:tcBorders>
                  <w:noWrap w:val="0"/>
                  <w:vAlign w:val="center"/>
                </w:tcPr>
                <w:p w14:paraId="62284FC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r>
            <w:tr w14:paraId="2A679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restart"/>
                  <w:tcBorders>
                    <w:tl2br w:val="nil"/>
                    <w:tr2bl w:val="nil"/>
                  </w:tcBorders>
                  <w:noWrap w:val="0"/>
                  <w:vAlign w:val="center"/>
                </w:tcPr>
                <w:p w14:paraId="0F5B50E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575" w:type="pct"/>
                  <w:tcBorders>
                    <w:tl2br w:val="nil"/>
                    <w:tr2bl w:val="nil"/>
                  </w:tcBorders>
                  <w:noWrap w:val="0"/>
                  <w:vAlign w:val="center"/>
                </w:tcPr>
                <w:p w14:paraId="19A84375">
                  <w:pPr>
                    <w:pStyle w:val="41"/>
                    <w:keepNext w:val="0"/>
                    <w:keepLines w:val="0"/>
                    <w:suppressLineNumbers w:val="0"/>
                    <w:spacing w:before="5" w:beforeAutospacing="0" w:after="0" w:afterAutospacing="0" w:line="247" w:lineRule="exact"/>
                    <w:ind w:left="91" w:leftChars="0" w:right="81"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color w:val="auto"/>
                      <w:w w:val="105"/>
                      <w:position w:val="1"/>
                      <w:sz w:val="21"/>
                    </w:rPr>
                    <w:t>D</w:t>
                  </w:r>
                  <w:r>
                    <w:rPr>
                      <w:rFonts w:hint="default" w:ascii="Times New Roman"/>
                      <w:color w:val="auto"/>
                      <w:w w:val="105"/>
                      <w:position w:val="1"/>
                      <w:sz w:val="21"/>
                      <w:vertAlign w:val="subscript"/>
                    </w:rPr>
                    <w:t>1</w:t>
                  </w:r>
                </w:p>
              </w:tc>
              <w:tc>
                <w:tcPr>
                  <w:tcW w:w="896" w:type="pct"/>
                  <w:tcBorders>
                    <w:tl2br w:val="nil"/>
                    <w:tr2bl w:val="nil"/>
                  </w:tcBorders>
                  <w:noWrap w:val="0"/>
                  <w:vAlign w:val="center"/>
                </w:tcPr>
                <w:p w14:paraId="5DD14BF8">
                  <w:pPr>
                    <w:pStyle w:val="41"/>
                    <w:keepNext w:val="0"/>
                    <w:keepLines w:val="0"/>
                    <w:suppressLineNumbers w:val="0"/>
                    <w:spacing w:before="1" w:beforeAutospacing="0" w:after="0" w:afterAutospacing="0" w:line="251" w:lineRule="exact"/>
                    <w:ind w:left="57" w:leftChars="0" w:right="42"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水过滤</w:t>
                  </w:r>
                </w:p>
              </w:tc>
              <w:tc>
                <w:tcPr>
                  <w:tcW w:w="1092" w:type="pct"/>
                  <w:tcBorders>
                    <w:tl2br w:val="nil"/>
                    <w:tr2bl w:val="nil"/>
                  </w:tcBorders>
                  <w:noWrap w:val="0"/>
                  <w:vAlign w:val="center"/>
                </w:tcPr>
                <w:p w14:paraId="368B75C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废弃滤布</w:t>
                  </w:r>
                </w:p>
              </w:tc>
              <w:tc>
                <w:tcPr>
                  <w:tcW w:w="1534" w:type="pct"/>
                  <w:tcBorders>
                    <w:tl2br w:val="nil"/>
                    <w:tr2bl w:val="nil"/>
                  </w:tcBorders>
                  <w:noWrap w:val="0"/>
                  <w:vAlign w:val="center"/>
                </w:tcPr>
                <w:p w14:paraId="534499E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收集混于生活垃圾，委托环卫部门清运处置</w:t>
                  </w:r>
                </w:p>
              </w:tc>
              <w:tc>
                <w:tcPr>
                  <w:tcW w:w="534" w:type="pct"/>
                  <w:vMerge w:val="restart"/>
                  <w:tcBorders>
                    <w:tl2br w:val="nil"/>
                    <w:tr2bl w:val="nil"/>
                  </w:tcBorders>
                  <w:noWrap w:val="0"/>
                  <w:vAlign w:val="center"/>
                </w:tcPr>
                <w:p w14:paraId="0BA0A85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处置率</w:t>
                  </w:r>
                  <w:r>
                    <w:rPr>
                      <w:rFonts w:hint="default" w:ascii="Times New Roman" w:hAnsi="Times New Roman" w:eastAsia="宋体" w:cs="Times New Roman"/>
                      <w:color w:val="auto"/>
                      <w:sz w:val="21"/>
                      <w:szCs w:val="21"/>
                      <w:highlight w:val="none"/>
                      <w:lang w:val="en-US" w:eastAsia="zh-CN"/>
                    </w:rPr>
                    <w:t>100%</w:t>
                  </w:r>
                </w:p>
              </w:tc>
            </w:tr>
            <w:tr w14:paraId="04E6D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68" w:type="pct"/>
                  <w:vMerge w:val="continue"/>
                  <w:tcBorders>
                    <w:tl2br w:val="nil"/>
                    <w:tr2bl w:val="nil"/>
                  </w:tcBorders>
                  <w:noWrap w:val="0"/>
                  <w:vAlign w:val="center"/>
                </w:tcPr>
                <w:p w14:paraId="42998A9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2482943D">
                  <w:pPr>
                    <w:pStyle w:val="41"/>
                    <w:keepNext w:val="0"/>
                    <w:keepLines w:val="0"/>
                    <w:suppressLineNumbers w:val="0"/>
                    <w:spacing w:before="5" w:beforeAutospacing="0" w:after="0" w:afterAutospacing="0" w:line="246" w:lineRule="exact"/>
                    <w:ind w:left="91" w:leftChars="0" w:right="81"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color w:val="auto"/>
                      <w:w w:val="105"/>
                      <w:position w:val="1"/>
                      <w:sz w:val="21"/>
                    </w:rPr>
                    <w:t>D</w:t>
                  </w:r>
                  <w:r>
                    <w:rPr>
                      <w:rFonts w:hint="default" w:ascii="Times New Roman"/>
                      <w:color w:val="auto"/>
                      <w:w w:val="105"/>
                      <w:position w:val="1"/>
                      <w:sz w:val="21"/>
                      <w:vertAlign w:val="subscript"/>
                    </w:rPr>
                    <w:t>2</w:t>
                  </w:r>
                </w:p>
              </w:tc>
              <w:tc>
                <w:tcPr>
                  <w:tcW w:w="896" w:type="pct"/>
                  <w:tcBorders>
                    <w:tl2br w:val="nil"/>
                    <w:tr2bl w:val="nil"/>
                  </w:tcBorders>
                  <w:noWrap w:val="0"/>
                  <w:vAlign w:val="center"/>
                </w:tcPr>
                <w:p w14:paraId="4A4E8FA8">
                  <w:pPr>
                    <w:pStyle w:val="41"/>
                    <w:keepNext w:val="0"/>
                    <w:keepLines w:val="0"/>
                    <w:suppressLineNumbers w:val="0"/>
                    <w:spacing w:before="1" w:beforeAutospacing="0" w:after="0" w:afterAutospacing="0" w:line="250" w:lineRule="exact"/>
                    <w:ind w:left="62" w:leftChars="0" w:right="42" w:rightChars="0"/>
                    <w:jc w:val="center"/>
                    <w:rPr>
                      <w:rFonts w:hint="eastAsia" w:ascii="Times New Roman" w:hAnsi="Times New Roman" w:eastAsia="宋体" w:cs="Times New Roman"/>
                      <w:color w:val="auto"/>
                      <w:sz w:val="21"/>
                      <w:szCs w:val="21"/>
                      <w:highlight w:val="none"/>
                      <w:lang w:val="en-US" w:eastAsia="zh-CN"/>
                    </w:rPr>
                  </w:pPr>
                  <w:r>
                    <w:rPr>
                      <w:rFonts w:hint="eastAsia"/>
                      <w:color w:val="auto"/>
                      <w:sz w:val="21"/>
                      <w:lang w:eastAsia="zh-CN"/>
                    </w:rPr>
                    <w:t>收尘装置粉尘收集</w:t>
                  </w:r>
                </w:p>
              </w:tc>
              <w:tc>
                <w:tcPr>
                  <w:tcW w:w="1092" w:type="pct"/>
                  <w:tcBorders>
                    <w:tl2br w:val="nil"/>
                    <w:tr2bl w:val="nil"/>
                  </w:tcBorders>
                  <w:noWrap w:val="0"/>
                  <w:vAlign w:val="center"/>
                </w:tcPr>
                <w:p w14:paraId="7C97CE09">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粉尘</w:t>
                  </w:r>
                </w:p>
              </w:tc>
              <w:tc>
                <w:tcPr>
                  <w:tcW w:w="1534" w:type="pct"/>
                  <w:tcBorders>
                    <w:tl2br w:val="nil"/>
                    <w:tr2bl w:val="nil"/>
                  </w:tcBorders>
                  <w:noWrap w:val="0"/>
                  <w:vAlign w:val="center"/>
                </w:tcPr>
                <w:p w14:paraId="2ED7D63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返回原料填加工序</w:t>
                  </w:r>
                </w:p>
              </w:tc>
              <w:tc>
                <w:tcPr>
                  <w:tcW w:w="534" w:type="pct"/>
                  <w:vMerge w:val="continue"/>
                  <w:tcBorders>
                    <w:tl2br w:val="nil"/>
                    <w:tr2bl w:val="nil"/>
                  </w:tcBorders>
                  <w:noWrap w:val="0"/>
                  <w:vAlign w:val="center"/>
                </w:tcPr>
                <w:p w14:paraId="4AEF5FE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14:paraId="3EA58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748D53C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0961B001">
                  <w:pPr>
                    <w:pStyle w:val="41"/>
                    <w:keepNext w:val="0"/>
                    <w:keepLines w:val="0"/>
                    <w:suppressLineNumbers w:val="0"/>
                    <w:spacing w:before="0" w:beforeAutospacing="0" w:after="0" w:afterAutospacing="0" w:line="252" w:lineRule="exact"/>
                    <w:ind w:left="91" w:leftChars="0" w:right="81"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color w:val="auto"/>
                      <w:w w:val="105"/>
                      <w:position w:val="1"/>
                      <w:sz w:val="21"/>
                    </w:rPr>
                    <w:t>D</w:t>
                  </w:r>
                  <w:r>
                    <w:rPr>
                      <w:rFonts w:hint="eastAsia" w:ascii="Times New Roman"/>
                      <w:color w:val="auto"/>
                      <w:w w:val="105"/>
                      <w:position w:val="1"/>
                      <w:sz w:val="21"/>
                      <w:lang w:val="en-US" w:eastAsia="zh-CN"/>
                    </w:rPr>
                    <w:t>3</w:t>
                  </w:r>
                </w:p>
              </w:tc>
              <w:tc>
                <w:tcPr>
                  <w:tcW w:w="896" w:type="pct"/>
                  <w:tcBorders>
                    <w:tl2br w:val="nil"/>
                    <w:tr2bl w:val="nil"/>
                  </w:tcBorders>
                  <w:noWrap w:val="0"/>
                  <w:vAlign w:val="center"/>
                </w:tcPr>
                <w:p w14:paraId="0C3D661F">
                  <w:pPr>
                    <w:pStyle w:val="41"/>
                    <w:keepNext w:val="0"/>
                    <w:keepLines w:val="0"/>
                    <w:suppressLineNumbers w:val="0"/>
                    <w:spacing w:before="3" w:beforeAutospacing="0" w:after="0" w:afterAutospacing="0" w:line="249" w:lineRule="exact"/>
                    <w:ind w:left="62" w:leftChars="0" w:right="42" w:rightChars="0"/>
                    <w:jc w:val="center"/>
                    <w:rPr>
                      <w:rFonts w:hint="eastAsia" w:ascii="Times New Roman" w:hAnsi="Times New Roman" w:eastAsia="宋体" w:cs="Times New Roman"/>
                      <w:color w:val="auto"/>
                      <w:sz w:val="21"/>
                      <w:szCs w:val="21"/>
                      <w:highlight w:val="none"/>
                      <w:lang w:eastAsia="zh-CN"/>
                    </w:rPr>
                  </w:pPr>
                  <w:r>
                    <w:rPr>
                      <w:rFonts w:hint="default"/>
                      <w:color w:val="auto"/>
                      <w:spacing w:val="-8"/>
                    </w:rPr>
                    <w:t>原</w:t>
                  </w:r>
                  <w:r>
                    <w:rPr>
                      <w:rFonts w:hint="eastAsia"/>
                      <w:color w:val="auto"/>
                      <w:spacing w:val="-8"/>
                      <w:lang w:eastAsia="zh-CN"/>
                    </w:rPr>
                    <w:t>辅料包装</w:t>
                  </w:r>
                </w:p>
              </w:tc>
              <w:tc>
                <w:tcPr>
                  <w:tcW w:w="1092" w:type="pct"/>
                  <w:tcBorders>
                    <w:tl2br w:val="nil"/>
                    <w:tr2bl w:val="nil"/>
                  </w:tcBorders>
                  <w:noWrap w:val="0"/>
                  <w:vAlign w:val="center"/>
                </w:tcPr>
                <w:p w14:paraId="4FFBC31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废包装材料</w:t>
                  </w:r>
                </w:p>
              </w:tc>
              <w:tc>
                <w:tcPr>
                  <w:tcW w:w="1534" w:type="pct"/>
                  <w:tcBorders>
                    <w:tl2br w:val="nil"/>
                    <w:tr2bl w:val="nil"/>
                  </w:tcBorders>
                  <w:noWrap w:val="0"/>
                  <w:vAlign w:val="center"/>
                </w:tcPr>
                <w:p w14:paraId="59F2E58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color w:val="auto"/>
                      <w:sz w:val="21"/>
                    </w:rPr>
                    <w:t>收集后送废品回收站</w:t>
                  </w:r>
                </w:p>
              </w:tc>
              <w:tc>
                <w:tcPr>
                  <w:tcW w:w="534" w:type="pct"/>
                  <w:vMerge w:val="continue"/>
                  <w:tcBorders>
                    <w:tl2br w:val="nil"/>
                    <w:tr2bl w:val="nil"/>
                  </w:tcBorders>
                  <w:noWrap w:val="0"/>
                  <w:vAlign w:val="center"/>
                </w:tcPr>
                <w:p w14:paraId="2763A33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04EA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7FDB63A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331BB798">
                  <w:pPr>
                    <w:pStyle w:val="41"/>
                    <w:keepNext w:val="0"/>
                    <w:keepLines w:val="0"/>
                    <w:suppressLineNumbers w:val="0"/>
                    <w:spacing w:before="0" w:beforeAutospacing="0" w:after="0" w:afterAutospacing="0" w:line="253" w:lineRule="exact"/>
                    <w:ind w:left="91" w:leftChars="0" w:right="81"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color w:val="auto"/>
                      <w:w w:val="105"/>
                      <w:position w:val="2"/>
                      <w:sz w:val="21"/>
                    </w:rPr>
                    <w:t>D</w:t>
                  </w:r>
                  <w:r>
                    <w:rPr>
                      <w:rFonts w:hint="default" w:ascii="Times New Roman"/>
                      <w:color w:val="auto"/>
                      <w:w w:val="105"/>
                      <w:position w:val="2"/>
                      <w:sz w:val="21"/>
                      <w:vertAlign w:val="baseline"/>
                    </w:rPr>
                    <w:t>4</w:t>
                  </w:r>
                </w:p>
              </w:tc>
              <w:tc>
                <w:tcPr>
                  <w:tcW w:w="896" w:type="pct"/>
                  <w:tcBorders>
                    <w:tl2br w:val="nil"/>
                    <w:tr2bl w:val="nil"/>
                  </w:tcBorders>
                  <w:noWrap w:val="0"/>
                  <w:vAlign w:val="center"/>
                </w:tcPr>
                <w:p w14:paraId="683ED15D">
                  <w:pPr>
                    <w:pStyle w:val="41"/>
                    <w:keepNext w:val="0"/>
                    <w:keepLines w:val="0"/>
                    <w:suppressLineNumbers w:val="0"/>
                    <w:spacing w:before="0" w:beforeAutospacing="0" w:after="0" w:afterAutospacing="0" w:line="253" w:lineRule="exact"/>
                    <w:ind w:left="62" w:leftChars="0" w:right="42" w:rightChars="0"/>
                    <w:jc w:val="center"/>
                    <w:rPr>
                      <w:rFonts w:hint="default" w:ascii="Times New Roman" w:hAnsi="Times New Roman" w:eastAsia="宋体" w:cs="Times New Roman"/>
                      <w:color w:val="auto"/>
                      <w:sz w:val="21"/>
                      <w:szCs w:val="21"/>
                      <w:highlight w:val="none"/>
                      <w:lang w:val="en-US" w:eastAsia="zh-CN"/>
                    </w:rPr>
                  </w:pPr>
                  <w:r>
                    <w:rPr>
                      <w:rFonts w:hint="default"/>
                      <w:color w:val="auto"/>
                      <w:sz w:val="21"/>
                    </w:rPr>
                    <w:t>腻子粉收尘灰</w:t>
                  </w:r>
                </w:p>
              </w:tc>
              <w:tc>
                <w:tcPr>
                  <w:tcW w:w="1092" w:type="pct"/>
                  <w:tcBorders>
                    <w:tl2br w:val="nil"/>
                    <w:tr2bl w:val="nil"/>
                  </w:tcBorders>
                  <w:noWrap w:val="0"/>
                  <w:vAlign w:val="center"/>
                </w:tcPr>
                <w:p w14:paraId="2F76EEB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粉尘</w:t>
                  </w:r>
                </w:p>
              </w:tc>
              <w:tc>
                <w:tcPr>
                  <w:tcW w:w="1534" w:type="pct"/>
                  <w:tcBorders>
                    <w:tl2br w:val="nil"/>
                    <w:tr2bl w:val="nil"/>
                  </w:tcBorders>
                  <w:noWrap w:val="0"/>
                  <w:vAlign w:val="center"/>
                </w:tcPr>
                <w:p w14:paraId="3E42BEB2">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回用于项目</w:t>
                  </w:r>
                </w:p>
              </w:tc>
              <w:tc>
                <w:tcPr>
                  <w:tcW w:w="534" w:type="pct"/>
                  <w:vMerge w:val="continue"/>
                  <w:tcBorders>
                    <w:tl2br w:val="nil"/>
                    <w:tr2bl w:val="nil"/>
                  </w:tcBorders>
                  <w:noWrap w:val="0"/>
                  <w:vAlign w:val="center"/>
                </w:tcPr>
                <w:p w14:paraId="1372F68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58D57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645D241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31A89D2C">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color w:val="auto"/>
                      <w:w w:val="105"/>
                      <w:position w:val="2"/>
                      <w:sz w:val="21"/>
                    </w:rPr>
                    <w:t>D</w:t>
                  </w:r>
                  <w:r>
                    <w:rPr>
                      <w:rFonts w:hint="eastAsia" w:ascii="Times New Roman"/>
                      <w:color w:val="auto"/>
                      <w:w w:val="105"/>
                      <w:position w:val="2"/>
                      <w:sz w:val="21"/>
                      <w:lang w:val="en-US" w:eastAsia="zh-CN"/>
                    </w:rPr>
                    <w:t>5</w:t>
                  </w:r>
                </w:p>
              </w:tc>
              <w:tc>
                <w:tcPr>
                  <w:tcW w:w="896" w:type="pct"/>
                  <w:tcBorders>
                    <w:tl2br w:val="nil"/>
                    <w:tr2bl w:val="nil"/>
                  </w:tcBorders>
                  <w:noWrap w:val="0"/>
                  <w:vAlign w:val="center"/>
                </w:tcPr>
                <w:p w14:paraId="10B60EBF">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污水处理系统</w:t>
                  </w:r>
                </w:p>
              </w:tc>
              <w:tc>
                <w:tcPr>
                  <w:tcW w:w="1092" w:type="pct"/>
                  <w:tcBorders>
                    <w:tl2br w:val="nil"/>
                    <w:tr2bl w:val="nil"/>
                  </w:tcBorders>
                  <w:noWrap w:val="0"/>
                  <w:vAlign w:val="center"/>
                </w:tcPr>
                <w:p w14:paraId="00A1F3F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污泥</w:t>
                  </w:r>
                </w:p>
              </w:tc>
              <w:tc>
                <w:tcPr>
                  <w:tcW w:w="1534" w:type="pct"/>
                  <w:tcBorders>
                    <w:tl2br w:val="nil"/>
                    <w:tr2bl w:val="nil"/>
                  </w:tcBorders>
                  <w:noWrap w:val="0"/>
                  <w:vAlign w:val="center"/>
                </w:tcPr>
                <w:p w14:paraId="196E82AC">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委托清运处置。</w:t>
                  </w:r>
                </w:p>
              </w:tc>
              <w:tc>
                <w:tcPr>
                  <w:tcW w:w="534" w:type="pct"/>
                  <w:vMerge w:val="continue"/>
                  <w:tcBorders>
                    <w:tl2br w:val="nil"/>
                    <w:tr2bl w:val="nil"/>
                  </w:tcBorders>
                  <w:noWrap w:val="0"/>
                  <w:vAlign w:val="center"/>
                </w:tcPr>
                <w:p w14:paraId="3F4E578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57BE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23EB950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601A881D">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default" w:ascii="Times New Roman"/>
                      <w:color w:val="auto"/>
                      <w:w w:val="105"/>
                      <w:position w:val="2"/>
                      <w:sz w:val="21"/>
                    </w:rPr>
                    <w:t>D</w:t>
                  </w:r>
                  <w:r>
                    <w:rPr>
                      <w:rFonts w:hint="eastAsia" w:ascii="Times New Roman"/>
                      <w:color w:val="auto"/>
                      <w:w w:val="105"/>
                      <w:position w:val="2"/>
                      <w:sz w:val="21"/>
                      <w:lang w:val="en-US" w:eastAsia="zh-CN"/>
                    </w:rPr>
                    <w:t>6</w:t>
                  </w:r>
                </w:p>
              </w:tc>
              <w:tc>
                <w:tcPr>
                  <w:tcW w:w="896" w:type="pct"/>
                  <w:tcBorders>
                    <w:tl2br w:val="nil"/>
                    <w:tr2bl w:val="nil"/>
                  </w:tcBorders>
                  <w:noWrap w:val="0"/>
                  <w:vAlign w:val="center"/>
                </w:tcPr>
                <w:p w14:paraId="3CDA680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食堂</w:t>
                  </w:r>
                </w:p>
              </w:tc>
              <w:tc>
                <w:tcPr>
                  <w:tcW w:w="1092" w:type="pct"/>
                  <w:tcBorders>
                    <w:tl2br w:val="nil"/>
                    <w:tr2bl w:val="nil"/>
                  </w:tcBorders>
                  <w:noWrap w:val="0"/>
                  <w:vAlign w:val="center"/>
                </w:tcPr>
                <w:p w14:paraId="4C5D0A1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餐饮固废</w:t>
                  </w:r>
                </w:p>
              </w:tc>
              <w:tc>
                <w:tcPr>
                  <w:tcW w:w="1534" w:type="pct"/>
                  <w:tcBorders>
                    <w:tl2br w:val="nil"/>
                    <w:tr2bl w:val="nil"/>
                  </w:tcBorders>
                  <w:noWrap w:val="0"/>
                  <w:vAlign w:val="center"/>
                </w:tcPr>
                <w:p w14:paraId="6136996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收集后委托有资质单位清运处置。</w:t>
                  </w:r>
                </w:p>
              </w:tc>
              <w:tc>
                <w:tcPr>
                  <w:tcW w:w="534" w:type="pct"/>
                  <w:vMerge w:val="continue"/>
                  <w:tcBorders>
                    <w:tl2br w:val="nil"/>
                    <w:tr2bl w:val="nil"/>
                  </w:tcBorders>
                  <w:noWrap w:val="0"/>
                  <w:vAlign w:val="center"/>
                </w:tcPr>
                <w:p w14:paraId="1C01870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1A852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4C0306F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64DE3ED6">
                  <w:pPr>
                    <w:keepNext w:val="0"/>
                    <w:keepLines w:val="0"/>
                    <w:widowControl w:val="0"/>
                    <w:suppressLineNumbers w:val="0"/>
                    <w:spacing w:before="0" w:beforeAutospacing="0" w:after="0" w:afterAutospacing="0"/>
                    <w:ind w:left="0" w:leftChars="0" w:right="0" w:rightChars="0"/>
                    <w:jc w:val="center"/>
                    <w:rPr>
                      <w:rFonts w:hint="eastAsia" w:ascii="Times New Roman" w:eastAsia="宋体"/>
                      <w:color w:val="auto"/>
                      <w:w w:val="105"/>
                      <w:position w:val="2"/>
                      <w:sz w:val="21"/>
                      <w:lang w:val="en-US" w:eastAsia="zh-CN"/>
                    </w:rPr>
                  </w:pPr>
                  <w:r>
                    <w:rPr>
                      <w:rFonts w:hint="default" w:ascii="Times New Roman"/>
                      <w:color w:val="auto"/>
                      <w:w w:val="105"/>
                      <w:position w:val="2"/>
                      <w:sz w:val="21"/>
                    </w:rPr>
                    <w:t>D</w:t>
                  </w:r>
                  <w:r>
                    <w:rPr>
                      <w:rFonts w:hint="eastAsia" w:ascii="Times New Roman"/>
                      <w:color w:val="auto"/>
                      <w:w w:val="105"/>
                      <w:position w:val="2"/>
                      <w:sz w:val="21"/>
                      <w:lang w:val="en-US" w:eastAsia="zh-CN"/>
                    </w:rPr>
                    <w:t>7</w:t>
                  </w:r>
                </w:p>
              </w:tc>
              <w:tc>
                <w:tcPr>
                  <w:tcW w:w="896" w:type="pct"/>
                  <w:tcBorders>
                    <w:tl2br w:val="nil"/>
                    <w:tr2bl w:val="nil"/>
                  </w:tcBorders>
                  <w:noWrap w:val="0"/>
                  <w:vAlign w:val="center"/>
                </w:tcPr>
                <w:p w14:paraId="3AA71B43">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机械维修</w:t>
                  </w:r>
                </w:p>
              </w:tc>
              <w:tc>
                <w:tcPr>
                  <w:tcW w:w="1092" w:type="pct"/>
                  <w:tcBorders>
                    <w:tl2br w:val="nil"/>
                    <w:tr2bl w:val="nil"/>
                  </w:tcBorders>
                  <w:noWrap w:val="0"/>
                  <w:vAlign w:val="center"/>
                </w:tcPr>
                <w:p w14:paraId="32207D5C">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废机油</w:t>
                  </w:r>
                </w:p>
              </w:tc>
              <w:tc>
                <w:tcPr>
                  <w:tcW w:w="1534" w:type="pct"/>
                  <w:tcBorders>
                    <w:tl2br w:val="nil"/>
                    <w:tr2bl w:val="nil"/>
                  </w:tcBorders>
                  <w:noWrap w:val="0"/>
                  <w:vAlign w:val="center"/>
                </w:tcPr>
                <w:p w14:paraId="35F272BE">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收集后暂存废物间委托有资质单位清运处置</w:t>
                  </w:r>
                </w:p>
              </w:tc>
              <w:tc>
                <w:tcPr>
                  <w:tcW w:w="534" w:type="pct"/>
                  <w:vMerge w:val="continue"/>
                  <w:tcBorders>
                    <w:tl2br w:val="nil"/>
                    <w:tr2bl w:val="nil"/>
                  </w:tcBorders>
                  <w:noWrap w:val="0"/>
                  <w:vAlign w:val="center"/>
                </w:tcPr>
                <w:p w14:paraId="56CFD5C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7171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tcBorders>
                    <w:tl2br w:val="nil"/>
                    <w:tr2bl w:val="nil"/>
                  </w:tcBorders>
                  <w:noWrap w:val="0"/>
                  <w:vAlign w:val="center"/>
                </w:tcPr>
                <w:p w14:paraId="38B0D25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5" w:type="pct"/>
                  <w:tcBorders>
                    <w:tl2br w:val="nil"/>
                    <w:tr2bl w:val="nil"/>
                  </w:tcBorders>
                  <w:noWrap w:val="0"/>
                  <w:vAlign w:val="center"/>
                </w:tcPr>
                <w:p w14:paraId="7D50E64D">
                  <w:pPr>
                    <w:keepNext w:val="0"/>
                    <w:keepLines w:val="0"/>
                    <w:widowControl w:val="0"/>
                    <w:suppressLineNumbers w:val="0"/>
                    <w:spacing w:before="0" w:beforeAutospacing="0" w:after="0" w:afterAutospacing="0"/>
                    <w:ind w:left="0" w:leftChars="0" w:right="0" w:rightChars="0"/>
                    <w:jc w:val="center"/>
                    <w:rPr>
                      <w:rFonts w:hint="eastAsia" w:ascii="Times New Roman" w:eastAsia="宋体"/>
                      <w:color w:val="auto"/>
                      <w:w w:val="105"/>
                      <w:position w:val="2"/>
                      <w:sz w:val="21"/>
                      <w:lang w:val="en-US" w:eastAsia="zh-CN"/>
                    </w:rPr>
                  </w:pPr>
                  <w:r>
                    <w:rPr>
                      <w:rFonts w:hint="default" w:ascii="Times New Roman"/>
                      <w:color w:val="auto"/>
                      <w:w w:val="105"/>
                      <w:position w:val="2"/>
                      <w:sz w:val="21"/>
                    </w:rPr>
                    <w:t>D</w:t>
                  </w:r>
                  <w:r>
                    <w:rPr>
                      <w:rFonts w:hint="eastAsia" w:ascii="Times New Roman"/>
                      <w:color w:val="auto"/>
                      <w:w w:val="105"/>
                      <w:position w:val="2"/>
                      <w:sz w:val="21"/>
                      <w:lang w:val="en-US" w:eastAsia="zh-CN"/>
                    </w:rPr>
                    <w:t>8</w:t>
                  </w:r>
                </w:p>
              </w:tc>
              <w:tc>
                <w:tcPr>
                  <w:tcW w:w="896" w:type="pct"/>
                  <w:tcBorders>
                    <w:tl2br w:val="nil"/>
                    <w:tr2bl w:val="nil"/>
                  </w:tcBorders>
                  <w:noWrap w:val="0"/>
                  <w:vAlign w:val="center"/>
                </w:tcPr>
                <w:p w14:paraId="67D9F7B6">
                  <w:pPr>
                    <w:keepNext w:val="0"/>
                    <w:keepLines w:val="0"/>
                    <w:widowControl w:val="0"/>
                    <w:suppressLineNumbers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有机溶剂使用</w:t>
                  </w:r>
                </w:p>
              </w:tc>
              <w:tc>
                <w:tcPr>
                  <w:tcW w:w="1092" w:type="pct"/>
                  <w:tcBorders>
                    <w:tl2br w:val="nil"/>
                    <w:tr2bl w:val="nil"/>
                  </w:tcBorders>
                  <w:noWrap w:val="0"/>
                  <w:vAlign w:val="center"/>
                </w:tcPr>
                <w:p w14:paraId="30D360DB">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粘有有机溶剂的废包装材料</w:t>
                  </w:r>
                </w:p>
              </w:tc>
              <w:tc>
                <w:tcPr>
                  <w:tcW w:w="1534" w:type="pct"/>
                  <w:tcBorders>
                    <w:tl2br w:val="nil"/>
                    <w:tr2bl w:val="nil"/>
                  </w:tcBorders>
                  <w:noWrap w:val="0"/>
                  <w:vAlign w:val="center"/>
                </w:tcPr>
                <w:p w14:paraId="6BE3D7A4">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收集后暂存危废间委托有资质单位清运处置</w:t>
                  </w:r>
                </w:p>
              </w:tc>
              <w:tc>
                <w:tcPr>
                  <w:tcW w:w="534" w:type="pct"/>
                  <w:vMerge w:val="continue"/>
                  <w:tcBorders>
                    <w:tl2br w:val="nil"/>
                    <w:tr2bl w:val="nil"/>
                  </w:tcBorders>
                  <w:noWrap w:val="0"/>
                  <w:vAlign w:val="center"/>
                </w:tcPr>
                <w:p w14:paraId="2580C96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59666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tcBorders>
                    <w:tl2br w:val="nil"/>
                    <w:tr2bl w:val="nil"/>
                  </w:tcBorders>
                  <w:noWrap w:val="0"/>
                  <w:vAlign w:val="center"/>
                </w:tcPr>
                <w:p w14:paraId="6C4B7FF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575" w:type="pct"/>
                  <w:tcBorders>
                    <w:tl2br w:val="nil"/>
                    <w:tr2bl w:val="nil"/>
                  </w:tcBorders>
                  <w:noWrap w:val="0"/>
                  <w:vAlign w:val="center"/>
                </w:tcPr>
                <w:p w14:paraId="3E3E4FA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N1~N11</w:t>
                  </w:r>
                </w:p>
              </w:tc>
              <w:tc>
                <w:tcPr>
                  <w:tcW w:w="896" w:type="pct"/>
                  <w:tcBorders>
                    <w:tl2br w:val="nil"/>
                    <w:tr2bl w:val="nil"/>
                  </w:tcBorders>
                  <w:noWrap w:val="0"/>
                  <w:vAlign w:val="center"/>
                </w:tcPr>
                <w:p w14:paraId="6F699D1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生产工序</w:t>
                  </w:r>
                </w:p>
              </w:tc>
              <w:tc>
                <w:tcPr>
                  <w:tcW w:w="1092" w:type="pct"/>
                  <w:tcBorders>
                    <w:tl2br w:val="nil"/>
                    <w:tr2bl w:val="nil"/>
                  </w:tcBorders>
                  <w:noWrap w:val="0"/>
                  <w:vAlign w:val="center"/>
                </w:tcPr>
                <w:p w14:paraId="4C93A1B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设备噪声</w:t>
                  </w:r>
                </w:p>
              </w:tc>
              <w:tc>
                <w:tcPr>
                  <w:tcW w:w="1534" w:type="pct"/>
                  <w:tcBorders>
                    <w:tl2br w:val="nil"/>
                    <w:tr2bl w:val="nil"/>
                  </w:tcBorders>
                  <w:noWrap w:val="0"/>
                  <w:vAlign w:val="center"/>
                </w:tcPr>
                <w:p w14:paraId="7626AB2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基础减震、距离衰减</w:t>
                  </w:r>
                  <w:r>
                    <w:rPr>
                      <w:rFonts w:hint="default" w:ascii="Times New Roman" w:hAnsi="Times New Roman" w:eastAsia="宋体" w:cs="Times New Roman"/>
                      <w:color w:val="auto"/>
                      <w:sz w:val="21"/>
                      <w:szCs w:val="21"/>
                      <w:highlight w:val="none"/>
                      <w:lang w:eastAsia="zh-CN"/>
                    </w:rPr>
                    <w:t>。</w:t>
                  </w:r>
                </w:p>
              </w:tc>
              <w:tc>
                <w:tcPr>
                  <w:tcW w:w="534" w:type="pct"/>
                  <w:tcBorders>
                    <w:tl2br w:val="nil"/>
                    <w:tr2bl w:val="nil"/>
                  </w:tcBorders>
                  <w:noWrap w:val="0"/>
                  <w:vAlign w:val="center"/>
                </w:tcPr>
                <w:p w14:paraId="41AC809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w:t>
                  </w:r>
                </w:p>
              </w:tc>
            </w:tr>
          </w:tbl>
          <w:p w14:paraId="269B8F5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zCs w:val="21"/>
                <w:vertAlign w:val="baseline"/>
                <w:lang w:val="en-US" w:eastAsia="zh-CN"/>
              </w:rPr>
            </w:pPr>
          </w:p>
        </w:tc>
      </w:tr>
      <w:tr w14:paraId="7599DB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8" w:type="dxa"/>
            <w:noWrap w:val="0"/>
            <w:vAlign w:val="center"/>
          </w:tcPr>
          <w:p w14:paraId="342CECD9">
            <w:pPr>
              <w:pStyle w:val="2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2"/>
                <w:sz w:val="21"/>
                <w:szCs w:val="21"/>
              </w:rPr>
              <w:t>与项目有关的原有环境污染问题</w:t>
            </w:r>
          </w:p>
        </w:tc>
        <w:tc>
          <w:tcPr>
            <w:tcW w:w="8612" w:type="dxa"/>
            <w:noWrap w:val="0"/>
            <w:vAlign w:val="center"/>
          </w:tcPr>
          <w:p w14:paraId="136DF971">
            <w:pPr>
              <w:pStyle w:val="20"/>
              <w:keepNext w:val="0"/>
              <w:keepLines w:val="0"/>
              <w:widowControl w:val="0"/>
              <w:suppressLineNumbers w:val="0"/>
              <w:spacing w:before="0" w:beforeAutospacing="0" w:after="0" w:afterAutospacing="0" w:line="360" w:lineRule="auto"/>
              <w:ind w:left="0" w:right="0" w:firstLine="482" w:firstLineChars="200"/>
              <w:rPr>
                <w:rFonts w:hint="default"/>
                <w:b/>
                <w:bCs/>
                <w:color w:val="auto"/>
                <w:szCs w:val="24"/>
              </w:rPr>
            </w:pPr>
            <w:r>
              <w:rPr>
                <w:rFonts w:hint="default"/>
                <w:b/>
                <w:color w:val="auto"/>
              </w:rPr>
              <w:t>1、公司</w:t>
            </w:r>
            <w:r>
              <w:rPr>
                <w:rFonts w:hint="eastAsia"/>
                <w:b/>
                <w:color w:val="auto"/>
                <w:lang w:eastAsia="zh-CN"/>
              </w:rPr>
              <w:t>发展</w:t>
            </w:r>
            <w:r>
              <w:rPr>
                <w:rFonts w:hint="default"/>
                <w:b/>
                <w:color w:val="auto"/>
              </w:rPr>
              <w:t>的历程</w:t>
            </w:r>
          </w:p>
          <w:p w14:paraId="12E37F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default"/>
                <w:color w:val="auto"/>
                <w:sz w:val="24"/>
              </w:rPr>
            </w:pPr>
            <w:r>
              <w:rPr>
                <w:rFonts w:hint="default"/>
                <w:color w:val="auto"/>
                <w:sz w:val="24"/>
              </w:rPr>
              <w:t>20</w:t>
            </w:r>
            <w:r>
              <w:rPr>
                <w:rFonts w:hint="eastAsia"/>
                <w:color w:val="auto"/>
                <w:sz w:val="24"/>
                <w:lang w:val="en-US" w:eastAsia="zh-CN"/>
              </w:rPr>
              <w:t>13</w:t>
            </w:r>
            <w:r>
              <w:rPr>
                <w:rFonts w:hint="default"/>
                <w:color w:val="auto"/>
                <w:sz w:val="24"/>
              </w:rPr>
              <w:t>年</w:t>
            </w:r>
            <w:r>
              <w:rPr>
                <w:rFonts w:hint="eastAsia"/>
                <w:color w:val="auto"/>
                <w:sz w:val="24"/>
                <w:lang w:val="en-US" w:eastAsia="zh-CN"/>
              </w:rPr>
              <w:t>3</w:t>
            </w:r>
            <w:r>
              <w:rPr>
                <w:rFonts w:hint="default"/>
                <w:color w:val="auto"/>
                <w:sz w:val="24"/>
              </w:rPr>
              <w:t>月，立邦涂料（昆明）有限公司</w:t>
            </w:r>
            <w:r>
              <w:rPr>
                <w:rFonts w:hint="eastAsia"/>
                <w:color w:val="auto"/>
                <w:sz w:val="24"/>
                <w:lang w:eastAsia="zh-CN"/>
              </w:rPr>
              <w:t>租用</w:t>
            </w:r>
            <w:r>
              <w:rPr>
                <w:rFonts w:hint="default"/>
                <w:color w:val="auto"/>
                <w:sz w:val="24"/>
              </w:rPr>
              <w:t>富民工业园区哨箐片区内云南鸿发机械有限公司已建成的钢结构厂房</w:t>
            </w:r>
            <w:r>
              <w:rPr>
                <w:rFonts w:hint="eastAsia"/>
                <w:color w:val="auto"/>
                <w:sz w:val="24"/>
                <w:lang w:eastAsia="zh-CN"/>
              </w:rPr>
              <w:t>，建设“立邦涂料（昆明）有限公司水性涂料生产建设项目”，设计生产的产品为水性涂料系列和腻子粉系列，水性涂料 38500t/a，腻子粉 1500t/a。该项目委托云南省环境科学研究院开展了环境影响评价工作，于 2014 年 4 月 3 日取得富民县环境保护局的批复；2015 年 10 月 28 日取得富民县环境保护局的项目环保验收批复。</w:t>
            </w:r>
          </w:p>
          <w:p w14:paraId="0A8137DF">
            <w:pPr>
              <w:keepNext w:val="0"/>
              <w:keepLines w:val="0"/>
              <w:widowControl/>
              <w:suppressLineNumbers w:val="0"/>
              <w:adjustRightInd w:val="0"/>
              <w:snapToGrid w:val="0"/>
              <w:spacing w:before="0" w:beforeAutospacing="0" w:after="0" w:afterAutospacing="0" w:line="360" w:lineRule="auto"/>
              <w:ind w:left="0" w:right="0" w:firstLine="480" w:firstLineChars="200"/>
              <w:jc w:val="both"/>
              <w:rPr>
                <w:rFonts w:hint="default"/>
                <w:color w:val="auto"/>
                <w:sz w:val="24"/>
                <w:lang w:val="en-US" w:eastAsia="zh-CN"/>
              </w:rPr>
            </w:pPr>
            <w:r>
              <w:rPr>
                <w:rFonts w:hint="eastAsia"/>
                <w:color w:val="auto"/>
                <w:sz w:val="24"/>
                <w:lang w:val="en-US" w:eastAsia="zh-CN"/>
              </w:rPr>
              <w:t>2015</w:t>
            </w:r>
            <w:r>
              <w:rPr>
                <w:rFonts w:hint="default"/>
                <w:color w:val="auto"/>
                <w:sz w:val="24"/>
              </w:rPr>
              <w:t>年，立邦涂料（昆明）有限公司</w:t>
            </w:r>
            <w:r>
              <w:rPr>
                <w:rFonts w:hint="eastAsia"/>
                <w:color w:val="auto"/>
                <w:sz w:val="24"/>
                <w:lang w:eastAsia="zh-CN"/>
              </w:rPr>
              <w:t>购置</w:t>
            </w:r>
            <w:r>
              <w:rPr>
                <w:rFonts w:hint="default"/>
                <w:color w:val="auto"/>
                <w:sz w:val="24"/>
              </w:rPr>
              <w:t>富民工业园区白石岩—大白坡片区的哨箐组团最西的空地建设厂房，</w:t>
            </w:r>
            <w:r>
              <w:rPr>
                <w:rFonts w:hint="eastAsia"/>
                <w:color w:val="auto"/>
                <w:sz w:val="24"/>
                <w:lang w:eastAsia="zh-CN"/>
              </w:rPr>
              <w:t>新建“立邦涂料（昆明）有限公司年产 9.85 万吨水性涂料及腻子粉技术改造项目”，将原有的“立邦涂料（昆明）有限公司水性涂料生产建设项目”建成的水性涂料及腻子粉生产线全部搬迁过来，租用厂房归还</w:t>
            </w:r>
            <w:r>
              <w:rPr>
                <w:rFonts w:hint="default"/>
                <w:color w:val="auto"/>
                <w:sz w:val="24"/>
              </w:rPr>
              <w:t>云南鸿发机械有限公司</w:t>
            </w:r>
            <w:r>
              <w:rPr>
                <w:rFonts w:hint="eastAsia"/>
                <w:color w:val="auto"/>
                <w:sz w:val="24"/>
                <w:lang w:eastAsia="zh-CN"/>
              </w:rPr>
              <w:t>，同时增加生产线，生产规模从40000t/a 扩大至98500t/a，并配套建</w:t>
            </w:r>
            <w:r>
              <w:rPr>
                <w:rFonts w:hint="eastAsia"/>
                <w:color w:val="auto"/>
                <w:sz w:val="24"/>
                <w:lang w:val="en-US" w:eastAsia="zh-CN"/>
              </w:rPr>
              <w:t>1</w:t>
            </w:r>
            <w:r>
              <w:rPr>
                <w:rFonts w:hint="eastAsia"/>
                <w:color w:val="auto"/>
                <w:sz w:val="24"/>
                <w:lang w:eastAsia="zh-CN"/>
              </w:rPr>
              <w:t>个堆存立邦涂料（成都）公司生产的涂料产品的甲类仓库。该项目2016年2月22日以《富民工业园区入园项目选址联席会会议纪要》同意该项目进入工业园区哨箐片区内；2016 年1月委托云南环境工程设计研究中心开展该项目的环境影响评价工作，于 2016 年 4 月完成了项目的《环境影响报告书》的编制，</w:t>
            </w:r>
            <w:r>
              <w:rPr>
                <w:rFonts w:hint="eastAsia"/>
                <w:color w:val="auto"/>
                <w:sz w:val="24"/>
                <w:lang w:val="en-US" w:eastAsia="zh-CN"/>
              </w:rPr>
              <w:t>2016年6月20取得了富民县环境保护局文件“关于《</w:t>
            </w:r>
            <w:r>
              <w:rPr>
                <w:rFonts w:hint="eastAsia"/>
                <w:color w:val="auto"/>
                <w:sz w:val="24"/>
                <w:lang w:eastAsia="zh-CN"/>
              </w:rPr>
              <w:t>立邦涂料（昆明）有限公司年产 9.85 万吨水性涂料及腻子粉技术改造项目环境影响报告书</w:t>
            </w:r>
            <w:r>
              <w:rPr>
                <w:rFonts w:hint="eastAsia"/>
                <w:color w:val="auto"/>
                <w:sz w:val="24"/>
                <w:lang w:val="en-US" w:eastAsia="zh-CN"/>
              </w:rPr>
              <w:t>》的批复”—富环保复【2016】22号；2019年10月21日，项目通过了竣工环境保护验收；2020年7月19日项目取得了昆明市生态环境局富民分局颁发的排污许可证，编号为:915301000642951353001Q。</w:t>
            </w:r>
          </w:p>
          <w:p w14:paraId="69CEDB21">
            <w:pPr>
              <w:pStyle w:val="88"/>
              <w:keepNext w:val="0"/>
              <w:keepLines w:val="0"/>
              <w:suppressLineNumbers w:val="0"/>
              <w:spacing w:before="0" w:beforeAutospacing="0" w:after="0" w:afterAutospacing="0"/>
              <w:ind w:left="0" w:right="0" w:firstLine="482"/>
              <w:rPr>
                <w:rFonts w:hint="default"/>
                <w:b/>
                <w:color w:val="auto"/>
              </w:rPr>
            </w:pPr>
            <w:r>
              <w:rPr>
                <w:rFonts w:hint="default"/>
                <w:b/>
                <w:color w:val="auto"/>
              </w:rPr>
              <w:t>2、原有工程基本情况</w:t>
            </w:r>
          </w:p>
          <w:p w14:paraId="728AAAED">
            <w:pPr>
              <w:pStyle w:val="88"/>
              <w:keepNext w:val="0"/>
              <w:keepLines w:val="0"/>
              <w:suppressLineNumbers w:val="0"/>
              <w:spacing w:before="0" w:beforeAutospacing="0" w:after="0" w:afterAutospacing="0"/>
              <w:ind w:left="0" w:right="0" w:firstLine="480"/>
              <w:rPr>
                <w:rFonts w:hint="eastAsia"/>
                <w:color w:val="auto"/>
                <w:sz w:val="24"/>
                <w:lang w:eastAsia="zh-CN"/>
              </w:rPr>
            </w:pPr>
            <w:r>
              <w:rPr>
                <w:rFonts w:hint="eastAsia"/>
                <w:color w:val="auto"/>
                <w:sz w:val="24"/>
                <w:lang w:eastAsia="zh-CN"/>
              </w:rPr>
              <w:t>由于“立邦涂料（昆明）有限公司水性涂料生产建设项目”生产线、生产设备等均已纳入《立邦涂料（昆明）有限公司年产 9.85 万吨水性涂料及腻子粉技术改造项目》中，厂址归还</w:t>
            </w:r>
            <w:r>
              <w:rPr>
                <w:rFonts w:hint="default"/>
                <w:color w:val="auto"/>
                <w:sz w:val="24"/>
              </w:rPr>
              <w:t>云南鸿发机械有限公司</w:t>
            </w:r>
            <w:r>
              <w:rPr>
                <w:rFonts w:hint="eastAsia"/>
                <w:color w:val="auto"/>
                <w:sz w:val="24"/>
                <w:lang w:eastAsia="zh-CN"/>
              </w:rPr>
              <w:t>，故本次分析与项目有关的原有污染物仅针对“立邦涂料（昆明）有限公司年产9.85万吨水性涂料及腻子粉技术改造项目”的工程建设、污染物产排、运行情况等。</w:t>
            </w:r>
          </w:p>
          <w:p w14:paraId="44DB9F7E">
            <w:pPr>
              <w:pStyle w:val="88"/>
              <w:keepNext w:val="0"/>
              <w:keepLines w:val="0"/>
              <w:suppressLineNumbers w:val="0"/>
              <w:spacing w:before="0" w:beforeAutospacing="0" w:after="0" w:afterAutospacing="0"/>
              <w:ind w:left="0" w:right="0" w:firstLine="480"/>
              <w:rPr>
                <w:rFonts w:hint="default"/>
                <w:color w:val="auto"/>
              </w:rPr>
            </w:pPr>
            <w:r>
              <w:rPr>
                <w:rFonts w:hint="default"/>
                <w:color w:val="auto"/>
                <w:sz w:val="24"/>
              </w:rPr>
              <w:t>立邦涂料（昆明）有限公司</w:t>
            </w:r>
            <w:r>
              <w:rPr>
                <w:rFonts w:hint="default"/>
                <w:color w:val="auto"/>
              </w:rPr>
              <w:t>占地</w:t>
            </w:r>
            <w:r>
              <w:rPr>
                <w:rFonts w:hint="default" w:ascii="Times New Roman" w:eastAsia="Times New Roman"/>
                <w:color w:val="auto"/>
                <w:sz w:val="24"/>
                <w:szCs w:val="24"/>
              </w:rPr>
              <w:t>4.13hm</w:t>
            </w:r>
            <w:r>
              <w:rPr>
                <w:rFonts w:hint="default" w:ascii="Times New Roman" w:eastAsia="Times New Roman"/>
                <w:color w:val="auto"/>
                <w:position w:val="8"/>
                <w:sz w:val="24"/>
                <w:szCs w:val="24"/>
                <w:vertAlign w:val="subscript"/>
              </w:rPr>
              <w:t>2</w:t>
            </w:r>
            <w:r>
              <w:rPr>
                <w:rFonts w:hint="default"/>
                <w:color w:val="auto"/>
              </w:rPr>
              <w:t>。</w:t>
            </w:r>
            <w:r>
              <w:rPr>
                <w:rFonts w:hint="eastAsia"/>
                <w:color w:val="auto"/>
              </w:rPr>
              <w:t>原</w:t>
            </w:r>
            <w:r>
              <w:rPr>
                <w:rFonts w:hint="default"/>
                <w:color w:val="auto"/>
              </w:rPr>
              <w:t>项目已建设内容和功能设置见表2-</w:t>
            </w:r>
            <w:r>
              <w:rPr>
                <w:rFonts w:hint="eastAsia"/>
                <w:color w:val="auto"/>
                <w:lang w:val="en-US" w:eastAsia="zh-CN"/>
              </w:rPr>
              <w:t>16</w:t>
            </w:r>
            <w:r>
              <w:rPr>
                <w:rFonts w:hint="default"/>
                <w:color w:val="auto"/>
              </w:rPr>
              <w:t>。</w:t>
            </w:r>
          </w:p>
          <w:p w14:paraId="07156DE2">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szCs w:val="21"/>
              </w:rPr>
              <w:t>表2-</w:t>
            </w:r>
            <w:r>
              <w:rPr>
                <w:rFonts w:hint="eastAsia"/>
                <w:b/>
                <w:color w:val="auto"/>
                <w:szCs w:val="21"/>
                <w:lang w:val="en-US" w:eastAsia="zh-CN"/>
              </w:rPr>
              <w:t>16</w:t>
            </w:r>
            <w:r>
              <w:rPr>
                <w:rFonts w:hint="default"/>
                <w:b/>
                <w:color w:val="auto"/>
                <w:szCs w:val="21"/>
              </w:rPr>
              <w:t xml:space="preserve">  </w:t>
            </w:r>
            <w:r>
              <w:rPr>
                <w:rFonts w:hint="eastAsia"/>
                <w:b/>
                <w:color w:val="auto"/>
                <w:szCs w:val="21"/>
              </w:rPr>
              <w:t>原</w:t>
            </w:r>
            <w:r>
              <w:rPr>
                <w:rFonts w:hint="default"/>
                <w:b/>
                <w:color w:val="auto"/>
                <w:szCs w:val="21"/>
              </w:rPr>
              <w:t>项目已建设的建设内容和功能一览表</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71"/>
              <w:gridCol w:w="509"/>
              <w:gridCol w:w="1253"/>
              <w:gridCol w:w="6042"/>
            </w:tblGrid>
            <w:tr w14:paraId="32939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93" w:type="pct"/>
                  <w:gridSpan w:val="3"/>
                  <w:vAlign w:val="center"/>
                </w:tcPr>
                <w:p w14:paraId="3283A3F1">
                  <w:pPr>
                    <w:pStyle w:val="41"/>
                    <w:keepNext w:val="0"/>
                    <w:keepLines w:val="0"/>
                    <w:suppressLineNumbers w:val="0"/>
                    <w:spacing w:before="18"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工程名称</w:t>
                  </w:r>
                </w:p>
              </w:tc>
              <w:tc>
                <w:tcPr>
                  <w:tcW w:w="3606" w:type="pct"/>
                  <w:vAlign w:val="center"/>
                </w:tcPr>
                <w:p w14:paraId="4426BA5F">
                  <w:pPr>
                    <w:pStyle w:val="41"/>
                    <w:keepNext w:val="0"/>
                    <w:keepLines w:val="0"/>
                    <w:suppressLineNumbers w:val="0"/>
                    <w:spacing w:before="18"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建设内容及功能</w:t>
                  </w:r>
                </w:p>
              </w:tc>
            </w:tr>
            <w:tr w14:paraId="64F79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restart"/>
                  <w:vAlign w:val="center"/>
                </w:tcPr>
                <w:p w14:paraId="655107C9">
                  <w:pPr>
                    <w:pStyle w:val="41"/>
                    <w:keepNext w:val="0"/>
                    <w:keepLines w:val="0"/>
                    <w:suppressLineNumbers w:val="0"/>
                    <w:spacing w:before="23"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主体工程</w:t>
                  </w:r>
                </w:p>
              </w:tc>
              <w:tc>
                <w:tcPr>
                  <w:tcW w:w="304" w:type="pct"/>
                  <w:vMerge w:val="restart"/>
                  <w:vAlign w:val="center"/>
                </w:tcPr>
                <w:p w14:paraId="607DF50E">
                  <w:pPr>
                    <w:pStyle w:val="41"/>
                    <w:keepNext w:val="0"/>
                    <w:keepLines w:val="0"/>
                    <w:suppressLineNumbers w:val="0"/>
                    <w:spacing w:before="23" w:beforeAutospacing="0" w:after="0" w:afterAutospacing="0" w:line="240" w:lineRule="auto"/>
                    <w:ind w:left="108" w:right="94"/>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生产</w:t>
                  </w:r>
                  <w:r>
                    <w:rPr>
                      <w:rFonts w:hint="default" w:ascii="Times New Roman" w:hAnsi="Times New Roman" w:eastAsia="宋体" w:cs="Times New Roman"/>
                      <w:color w:val="auto"/>
                      <w:sz w:val="21"/>
                    </w:rPr>
                    <w:t>车间</w:t>
                  </w:r>
                </w:p>
              </w:tc>
              <w:tc>
                <w:tcPr>
                  <w:tcW w:w="747" w:type="pct"/>
                  <w:vAlign w:val="center"/>
                </w:tcPr>
                <w:p w14:paraId="2AF2AC34">
                  <w:pPr>
                    <w:pStyle w:val="41"/>
                    <w:keepNext w:val="0"/>
                    <w:keepLines w:val="0"/>
                    <w:suppressLineNumbers w:val="0"/>
                    <w:spacing w:before="23" w:beforeAutospacing="0" w:after="0" w:afterAutospacing="0" w:line="240" w:lineRule="auto"/>
                    <w:ind w:left="109" w:right="93"/>
                    <w:jc w:val="center"/>
                    <w:rPr>
                      <w:rFonts w:hint="default" w:ascii="Times New Roman" w:hAnsi="Times New Roman" w:eastAsia="宋体" w:cs="Times New Roman"/>
                      <w:color w:val="auto"/>
                      <w:sz w:val="21"/>
                    </w:rPr>
                  </w:pPr>
                  <w:r>
                    <w:rPr>
                      <w:rFonts w:hint="eastAsia" w:ascii="Times New Roman" w:hAnsi="Times New Roman" w:eastAsia="宋体" w:cs="Times New Roman"/>
                      <w:color w:val="auto"/>
                      <w:spacing w:val="-6"/>
                      <w:sz w:val="21"/>
                      <w:lang w:eastAsia="zh-CN"/>
                    </w:rPr>
                    <w:t>腻子粉车间、</w:t>
                  </w:r>
                  <w:r>
                    <w:rPr>
                      <w:rFonts w:hint="default" w:ascii="Times New Roman" w:hAnsi="Times New Roman" w:eastAsia="宋体" w:cs="Times New Roman"/>
                      <w:color w:val="auto"/>
                      <w:spacing w:val="-6"/>
                      <w:sz w:val="21"/>
                    </w:rPr>
                    <w:t>成品库</w:t>
                  </w:r>
                </w:p>
              </w:tc>
              <w:tc>
                <w:tcPr>
                  <w:tcW w:w="3606" w:type="pct"/>
                  <w:vAlign w:val="center"/>
                </w:tcPr>
                <w:p w14:paraId="12E8A68D">
                  <w:pPr>
                    <w:pStyle w:val="41"/>
                    <w:keepNext w:val="0"/>
                    <w:keepLines w:val="0"/>
                    <w:suppressLineNumbers w:val="0"/>
                    <w:spacing w:before="23" w:beforeAutospacing="0" w:after="0" w:afterAutospacing="0" w:line="278" w:lineRule="auto"/>
                    <w:ind w:left="105" w:right="91"/>
                    <w:rPr>
                      <w:rFonts w:hint="eastAsia" w:ascii="Times New Roman" w:hAnsi="Times New Roman" w:eastAsia="宋体" w:cs="Times New Roman"/>
                      <w:color w:val="auto"/>
                      <w:sz w:val="21"/>
                      <w:lang w:eastAsia="zh-CN"/>
                    </w:rPr>
                  </w:pPr>
                  <w:r>
                    <w:rPr>
                      <w:rFonts w:hint="default"/>
                      <w:color w:val="auto"/>
                      <w:spacing w:val="-8"/>
                      <w:sz w:val="21"/>
                    </w:rPr>
                    <w:t xml:space="preserve">为独立彩钢板厂房，占地面积 </w:t>
                  </w:r>
                  <w:r>
                    <w:rPr>
                      <w:rFonts w:hint="default" w:ascii="Times New Roman" w:eastAsia="Times New Roman"/>
                      <w:color w:val="auto"/>
                      <w:spacing w:val="-5"/>
                      <w:sz w:val="21"/>
                    </w:rPr>
                    <w:t>3564m</w:t>
                  </w:r>
                  <w:r>
                    <w:rPr>
                      <w:rFonts w:hint="default" w:ascii="Times New Roman" w:eastAsia="Times New Roman"/>
                      <w:color w:val="auto"/>
                      <w:spacing w:val="-5"/>
                      <w:position w:val="7"/>
                      <w:sz w:val="13"/>
                    </w:rPr>
                    <w:t>2</w:t>
                  </w:r>
                  <w:r>
                    <w:rPr>
                      <w:rFonts w:hint="default"/>
                      <w:color w:val="auto"/>
                      <w:spacing w:val="-3"/>
                      <w:sz w:val="21"/>
                    </w:rPr>
                    <w:t>，建筑面积约</w:t>
                  </w:r>
                  <w:r>
                    <w:rPr>
                      <w:rFonts w:hint="default"/>
                      <w:color w:val="auto"/>
                      <w:spacing w:val="-17"/>
                      <w:sz w:val="21"/>
                    </w:rPr>
                    <w:t xml:space="preserve">为 </w:t>
                  </w:r>
                  <w:r>
                    <w:rPr>
                      <w:rFonts w:hint="default" w:ascii="Times New Roman" w:eastAsia="Times New Roman"/>
                      <w:color w:val="auto"/>
                      <w:sz w:val="21"/>
                    </w:rPr>
                    <w:t>4455m</w:t>
                  </w:r>
                  <w:r>
                    <w:rPr>
                      <w:rFonts w:hint="default" w:ascii="Times New Roman" w:eastAsia="Times New Roman"/>
                      <w:color w:val="auto"/>
                      <w:position w:val="7"/>
                      <w:sz w:val="13"/>
                    </w:rPr>
                    <w:t>2</w:t>
                  </w:r>
                  <w:r>
                    <w:rPr>
                      <w:rFonts w:hint="default" w:ascii="Times New Roman" w:eastAsia="Times New Roman"/>
                      <w:color w:val="auto"/>
                      <w:spacing w:val="-13"/>
                      <w:position w:val="7"/>
                      <w:sz w:val="13"/>
                    </w:rPr>
                    <w:t xml:space="preserve"> </w:t>
                  </w:r>
                  <w:r>
                    <w:rPr>
                      <w:rFonts w:hint="default"/>
                      <w:color w:val="auto"/>
                      <w:spacing w:val="2"/>
                      <w:sz w:val="21"/>
                    </w:rPr>
                    <w:t>，主体为</w:t>
                  </w:r>
                  <w:r>
                    <w:rPr>
                      <w:rFonts w:hint="default" w:ascii="Times New Roman" w:eastAsia="Times New Roman"/>
                      <w:color w:val="auto"/>
                      <w:sz w:val="21"/>
                    </w:rPr>
                    <w:t>1</w:t>
                  </w:r>
                  <w:r>
                    <w:rPr>
                      <w:rFonts w:hint="default"/>
                      <w:color w:val="auto"/>
                      <w:spacing w:val="-6"/>
                      <w:sz w:val="21"/>
                    </w:rPr>
                    <w:t xml:space="preserve">层建筑，局部为 </w:t>
                  </w:r>
                  <w:r>
                    <w:rPr>
                      <w:rFonts w:hint="default" w:ascii="Times New Roman" w:eastAsia="Times New Roman"/>
                      <w:color w:val="auto"/>
                      <w:sz w:val="21"/>
                    </w:rPr>
                    <w:t>2</w:t>
                  </w:r>
                  <w:r>
                    <w:rPr>
                      <w:rFonts w:hint="default"/>
                      <w:color w:val="auto"/>
                      <w:spacing w:val="19"/>
                      <w:sz w:val="21"/>
                    </w:rPr>
                    <w:t>层</w:t>
                  </w:r>
                  <w:r>
                    <w:rPr>
                      <w:rFonts w:hint="default" w:ascii="Times New Roman" w:eastAsia="Times New Roman"/>
                      <w:color w:val="auto"/>
                      <w:spacing w:val="14"/>
                      <w:sz w:val="21"/>
                    </w:rPr>
                    <w:t>,</w:t>
                  </w:r>
                  <w:r>
                    <w:rPr>
                      <w:rFonts w:hint="default"/>
                      <w:color w:val="auto"/>
                      <w:spacing w:val="9"/>
                      <w:sz w:val="21"/>
                    </w:rPr>
                    <w:t>高约</w:t>
                  </w:r>
                  <w:r>
                    <w:rPr>
                      <w:rFonts w:hint="default" w:ascii="Times New Roman" w:eastAsia="Times New Roman"/>
                      <w:color w:val="auto"/>
                      <w:spacing w:val="-3"/>
                      <w:sz w:val="21"/>
                    </w:rPr>
                    <w:t>10.4m</w:t>
                  </w:r>
                  <w:r>
                    <w:rPr>
                      <w:rFonts w:hint="default"/>
                      <w:color w:val="auto"/>
                      <w:spacing w:val="-3"/>
                      <w:sz w:val="21"/>
                    </w:rPr>
                    <w:t>，</w:t>
                  </w:r>
                  <w:r>
                    <w:rPr>
                      <w:rFonts w:hint="default" w:ascii="Times New Roman" w:eastAsia="Times New Roman"/>
                      <w:color w:val="auto"/>
                      <w:spacing w:val="-3"/>
                      <w:sz w:val="21"/>
                    </w:rPr>
                    <w:t>2</w:t>
                  </w:r>
                  <w:r>
                    <w:rPr>
                      <w:rFonts w:hint="default"/>
                      <w:color w:val="auto"/>
                      <w:spacing w:val="-6"/>
                      <w:sz w:val="21"/>
                    </w:rPr>
                    <w:t>层建筑依墙建设，为设备的操作平台；该车间主要进行腻子粉和砂壁产品的生产，并做为腻</w:t>
                  </w:r>
                  <w:r>
                    <w:rPr>
                      <w:rFonts w:hint="default"/>
                      <w:color w:val="auto"/>
                      <w:sz w:val="21"/>
                    </w:rPr>
                    <w:t>子粉成品和工程用水性乳胶漆成品</w:t>
                  </w:r>
                  <w:r>
                    <w:rPr>
                      <w:rFonts w:hint="default" w:ascii="Times New Roman" w:eastAsia="Times New Roman"/>
                      <w:color w:val="auto"/>
                      <w:spacing w:val="6"/>
                      <w:sz w:val="21"/>
                    </w:rPr>
                    <w:t>(</w:t>
                  </w:r>
                  <w:r>
                    <w:rPr>
                      <w:rFonts w:hint="default"/>
                      <w:color w:val="auto"/>
                      <w:spacing w:val="2"/>
                      <w:sz w:val="21"/>
                    </w:rPr>
                    <w:t>批量</w:t>
                  </w:r>
                  <w:r>
                    <w:rPr>
                      <w:rFonts w:hint="default" w:ascii="Times New Roman" w:eastAsia="Times New Roman"/>
                      <w:color w:val="auto"/>
                      <w:sz w:val="21"/>
                    </w:rPr>
                    <w:t>)</w:t>
                  </w:r>
                  <w:r>
                    <w:rPr>
                      <w:rFonts w:hint="default"/>
                      <w:color w:val="auto"/>
                      <w:spacing w:val="-10"/>
                      <w:sz w:val="21"/>
                    </w:rPr>
                    <w:t>；车间内分为</w:t>
                  </w:r>
                  <w:r>
                    <w:rPr>
                      <w:rFonts w:hint="eastAsia"/>
                      <w:color w:val="auto"/>
                      <w:spacing w:val="-10"/>
                      <w:sz w:val="21"/>
                      <w:lang w:val="en-US" w:eastAsia="zh-CN"/>
                    </w:rPr>
                    <w:t>2</w:t>
                  </w:r>
                  <w:r>
                    <w:rPr>
                      <w:rFonts w:hint="default"/>
                      <w:color w:val="auto"/>
                      <w:spacing w:val="-10"/>
                      <w:sz w:val="21"/>
                    </w:rPr>
                    <w:t>个区，分别</w:t>
                  </w:r>
                  <w:r>
                    <w:rPr>
                      <w:rFonts w:hint="default"/>
                      <w:color w:val="auto"/>
                      <w:spacing w:val="-2"/>
                      <w:sz w:val="21"/>
                    </w:rPr>
                    <w:t xml:space="preserve">腻子粉生产区和成品贮存区；在车间内还设置有 </w:t>
                  </w:r>
                  <w:r>
                    <w:rPr>
                      <w:rFonts w:hint="default" w:ascii="Times New Roman" w:eastAsia="Times New Roman"/>
                      <w:color w:val="auto"/>
                      <w:sz w:val="21"/>
                    </w:rPr>
                    <w:t xml:space="preserve">2 </w:t>
                  </w:r>
                  <w:r>
                    <w:rPr>
                      <w:rFonts w:hint="default"/>
                      <w:color w:val="auto"/>
                      <w:sz w:val="21"/>
                    </w:rPr>
                    <w:t>台空压机，用于设备内物料的输送。</w:t>
                  </w:r>
                </w:p>
              </w:tc>
            </w:tr>
            <w:tr w14:paraId="6F158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vAlign w:val="center"/>
                </w:tcPr>
                <w:p w14:paraId="0C74365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304" w:type="pct"/>
                  <w:vMerge w:val="continue"/>
                  <w:vAlign w:val="center"/>
                </w:tcPr>
                <w:p w14:paraId="4C5082F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747" w:type="pct"/>
                  <w:vAlign w:val="center"/>
                </w:tcPr>
                <w:p w14:paraId="23D02D08">
                  <w:pPr>
                    <w:pStyle w:val="41"/>
                    <w:keepNext w:val="0"/>
                    <w:keepLines w:val="0"/>
                    <w:suppressLineNumbers w:val="0"/>
                    <w:spacing w:before="20" w:beforeAutospacing="0" w:after="0" w:afterAutospacing="0" w:line="240" w:lineRule="auto"/>
                    <w:ind w:left="109" w:right="93"/>
                    <w:jc w:val="center"/>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lang w:eastAsia="zh-CN"/>
                    </w:rPr>
                    <w:t>水性涂料</w:t>
                  </w:r>
                  <w:r>
                    <w:rPr>
                      <w:rFonts w:hint="default" w:ascii="Times New Roman" w:hAnsi="Times New Roman" w:eastAsia="宋体" w:cs="Times New Roman"/>
                      <w:color w:val="auto"/>
                      <w:sz w:val="21"/>
                    </w:rPr>
                    <w:t>生产车间</w:t>
                  </w:r>
                </w:p>
              </w:tc>
              <w:tc>
                <w:tcPr>
                  <w:tcW w:w="3606" w:type="pct"/>
                  <w:vAlign w:val="center"/>
                </w:tcPr>
                <w:p w14:paraId="176CB8C8">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pacing w:val="-8"/>
                      <w:sz w:val="21"/>
                    </w:rPr>
                    <w:t xml:space="preserve">为独立彩钢板厂房，占地面积约为 </w:t>
                  </w:r>
                  <w:r>
                    <w:rPr>
                      <w:rFonts w:hint="default" w:ascii="Times New Roman" w:hAnsi="Times New Roman" w:eastAsia="宋体" w:cs="Times New Roman"/>
                      <w:color w:val="auto"/>
                      <w:spacing w:val="-4"/>
                      <w:sz w:val="21"/>
                    </w:rPr>
                    <w:t>3564m</w:t>
                  </w:r>
                  <w:r>
                    <w:rPr>
                      <w:rFonts w:hint="default" w:ascii="Times New Roman" w:hAnsi="Times New Roman" w:eastAsia="宋体" w:cs="Times New Roman"/>
                      <w:color w:val="auto"/>
                      <w:spacing w:val="-4"/>
                      <w:position w:val="7"/>
                      <w:sz w:val="13"/>
                    </w:rPr>
                    <w:t>2</w:t>
                  </w:r>
                  <w:r>
                    <w:rPr>
                      <w:rFonts w:hint="default" w:ascii="Times New Roman" w:hAnsi="Times New Roman" w:eastAsia="宋体" w:cs="Times New Roman"/>
                      <w:color w:val="auto"/>
                      <w:spacing w:val="-5"/>
                      <w:sz w:val="21"/>
                    </w:rPr>
                    <w:t>，建筑面</w:t>
                  </w:r>
                  <w:r>
                    <w:rPr>
                      <w:rFonts w:hint="default" w:ascii="Times New Roman" w:hAnsi="Times New Roman" w:eastAsia="宋体" w:cs="Times New Roman"/>
                      <w:color w:val="auto"/>
                      <w:spacing w:val="-6"/>
                      <w:sz w:val="21"/>
                    </w:rPr>
                    <w:t xml:space="preserve">积约为 </w:t>
                  </w:r>
                  <w:r>
                    <w:rPr>
                      <w:rFonts w:hint="default" w:ascii="Times New Roman" w:hAnsi="Times New Roman" w:eastAsia="宋体" w:cs="Times New Roman"/>
                      <w:color w:val="auto"/>
                      <w:spacing w:val="2"/>
                      <w:sz w:val="21"/>
                    </w:rPr>
                    <w:t>5346m</w:t>
                  </w:r>
                  <w:r>
                    <w:rPr>
                      <w:rFonts w:hint="default" w:ascii="Times New Roman" w:hAnsi="Times New Roman" w:eastAsia="宋体" w:cs="Times New Roman"/>
                      <w:color w:val="auto"/>
                      <w:spacing w:val="2"/>
                      <w:position w:val="7"/>
                      <w:sz w:val="13"/>
                    </w:rPr>
                    <w:t>2</w:t>
                  </w:r>
                  <w:r>
                    <w:rPr>
                      <w:rFonts w:hint="default" w:ascii="Times New Roman" w:hAnsi="Times New Roman" w:eastAsia="宋体" w:cs="Times New Roman"/>
                      <w:color w:val="auto"/>
                      <w:sz w:val="21"/>
                    </w:rPr>
                    <w:t>，主体为一层，局部为3</w:t>
                  </w:r>
                  <w:r>
                    <w:rPr>
                      <w:rFonts w:hint="default" w:ascii="Times New Roman" w:hAnsi="Times New Roman" w:eastAsia="宋体" w:cs="Times New Roman"/>
                      <w:color w:val="auto"/>
                      <w:spacing w:val="13"/>
                      <w:sz w:val="21"/>
                    </w:rPr>
                    <w:t xml:space="preserve"> </w:t>
                  </w:r>
                  <w:r>
                    <w:rPr>
                      <w:rFonts w:hint="default" w:ascii="Times New Roman" w:hAnsi="Times New Roman" w:eastAsia="宋体" w:cs="Times New Roman"/>
                      <w:color w:val="auto"/>
                      <w:spacing w:val="5"/>
                      <w:sz w:val="21"/>
                    </w:rPr>
                    <w:t>层，高约</w:t>
                  </w:r>
                  <w:r>
                    <w:rPr>
                      <w:rFonts w:hint="default" w:ascii="Times New Roman" w:hAnsi="Times New Roman" w:eastAsia="宋体" w:cs="Times New Roman"/>
                      <w:color w:val="auto"/>
                      <w:sz w:val="21"/>
                    </w:rPr>
                    <w:t>15.2m</w:t>
                  </w:r>
                  <w:r>
                    <w:rPr>
                      <w:rFonts w:hint="default" w:ascii="Times New Roman" w:hAnsi="Times New Roman" w:eastAsia="宋体" w:cs="Times New Roman"/>
                      <w:color w:val="auto"/>
                      <w:spacing w:val="-13"/>
                      <w:sz w:val="21"/>
                    </w:rPr>
                    <w:t xml:space="preserve">，局部 </w:t>
                  </w:r>
                  <w:r>
                    <w:rPr>
                      <w:rFonts w:hint="default" w:ascii="Times New Roman" w:hAnsi="Times New Roman" w:eastAsia="宋体" w:cs="Times New Roman"/>
                      <w:color w:val="auto"/>
                      <w:sz w:val="21"/>
                    </w:rPr>
                    <w:t>3</w:t>
                  </w:r>
                  <w:r>
                    <w:rPr>
                      <w:rFonts w:hint="default" w:ascii="Times New Roman" w:hAnsi="Times New Roman" w:eastAsia="宋体" w:cs="Times New Roman"/>
                      <w:color w:val="auto"/>
                      <w:spacing w:val="-6"/>
                      <w:sz w:val="21"/>
                    </w:rPr>
                    <w:t>层建筑为车间内根据需要依墙建设，</w:t>
                  </w:r>
                  <w:r>
                    <w:rPr>
                      <w:rFonts w:hint="default" w:ascii="Times New Roman" w:hAnsi="Times New Roman" w:eastAsia="宋体" w:cs="Times New Roman"/>
                      <w:color w:val="auto"/>
                      <w:sz w:val="21"/>
                    </w:rPr>
                    <w:t>为满足不同设备的操作平台；该车间进行乳胶漆的</w:t>
                  </w:r>
                  <w:r>
                    <w:rPr>
                      <w:rFonts w:hint="default" w:ascii="Times New Roman" w:hAnsi="Times New Roman" w:eastAsia="宋体" w:cs="Times New Roman"/>
                      <w:color w:val="auto"/>
                      <w:spacing w:val="-4"/>
                      <w:sz w:val="21"/>
                    </w:rPr>
                    <w:t>生产，设置有乳胶漆生产线</w:t>
                  </w:r>
                  <w:r>
                    <w:rPr>
                      <w:rFonts w:hint="default" w:ascii="Times New Roman" w:hAnsi="Times New Roman" w:eastAsia="宋体" w:cs="Times New Roman"/>
                      <w:color w:val="auto"/>
                      <w:sz w:val="21"/>
                    </w:rPr>
                    <w:t>2条，</w:t>
                  </w:r>
                  <w:r>
                    <w:rPr>
                      <w:rFonts w:hint="eastAsia" w:ascii="Times New Roman" w:hAnsi="Times New Roman" w:eastAsia="宋体" w:cs="Times New Roman"/>
                      <w:color w:val="auto"/>
                      <w:sz w:val="21"/>
                      <w:lang w:val="en-US" w:eastAsia="zh-CN"/>
                    </w:rPr>
                    <w:t>1条砂壁产品生产线。</w:t>
                  </w:r>
                </w:p>
              </w:tc>
            </w:tr>
            <w:tr w14:paraId="43514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vAlign w:val="center"/>
                </w:tcPr>
                <w:p w14:paraId="1856E5C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304" w:type="pct"/>
                  <w:vMerge w:val="continue"/>
                  <w:vAlign w:val="center"/>
                </w:tcPr>
                <w:p w14:paraId="7A2B544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747" w:type="pct"/>
                  <w:vAlign w:val="center"/>
                </w:tcPr>
                <w:p w14:paraId="1C4C4B0F">
                  <w:pPr>
                    <w:pStyle w:val="41"/>
                    <w:keepNext w:val="0"/>
                    <w:keepLines w:val="0"/>
                    <w:suppressLineNumbers w:val="0"/>
                    <w:spacing w:before="20" w:beforeAutospacing="0" w:after="0" w:afterAutospacing="0" w:line="240" w:lineRule="auto"/>
                    <w:ind w:left="109" w:right="93"/>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水性漆</w:t>
                  </w:r>
                  <w:r>
                    <w:rPr>
                      <w:rFonts w:hint="default" w:ascii="Times New Roman" w:hAnsi="Times New Roman" w:eastAsia="宋体" w:cs="Times New Roman"/>
                      <w:color w:val="auto"/>
                      <w:sz w:val="21"/>
                    </w:rPr>
                    <w:t>漆成品库</w:t>
                  </w:r>
                </w:p>
              </w:tc>
              <w:tc>
                <w:tcPr>
                  <w:tcW w:w="3606" w:type="pct"/>
                  <w:vAlign w:val="center"/>
                </w:tcPr>
                <w:p w14:paraId="05725FD5">
                  <w:pPr>
                    <w:pStyle w:val="41"/>
                    <w:keepNext w:val="0"/>
                    <w:keepLines w:val="0"/>
                    <w:suppressLineNumbers w:val="0"/>
                    <w:spacing w:before="20"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为独立彩钢板厂房，建筑面积约为1980m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，一层，高约8.3m；专门堆存自产的批发、零售的乳胶漆和砂壁产品。</w:t>
                  </w:r>
                </w:p>
              </w:tc>
            </w:tr>
            <w:tr w14:paraId="305BA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vAlign w:val="center"/>
                </w:tcPr>
                <w:p w14:paraId="11FA5BE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304" w:type="pct"/>
                  <w:vMerge w:val="continue"/>
                  <w:vAlign w:val="center"/>
                </w:tcPr>
                <w:p w14:paraId="06FB794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747" w:type="pct"/>
                  <w:vAlign w:val="center"/>
                </w:tcPr>
                <w:p w14:paraId="7BFD0297">
                  <w:pPr>
                    <w:pStyle w:val="41"/>
                    <w:keepNext w:val="0"/>
                    <w:keepLines w:val="0"/>
                    <w:suppressLineNumbers w:val="0"/>
                    <w:spacing w:before="20" w:beforeAutospacing="0" w:after="0" w:afterAutospacing="0" w:line="240" w:lineRule="auto"/>
                    <w:ind w:left="109" w:right="93"/>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丙类原料库</w:t>
                  </w:r>
                </w:p>
              </w:tc>
              <w:tc>
                <w:tcPr>
                  <w:tcW w:w="3606" w:type="pct"/>
                  <w:vAlign w:val="center"/>
                </w:tcPr>
                <w:p w14:paraId="2FEFA704">
                  <w:pPr>
                    <w:pStyle w:val="41"/>
                    <w:keepNext w:val="0"/>
                    <w:keepLines w:val="0"/>
                    <w:suppressLineNumbers w:val="0"/>
                    <w:spacing w:before="20"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为独立彩钢板厂房，建筑面积约为1980m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，一层，高约8.2m；做为乳胶漆、砂壁和腻子粉生产所需原料堆存仓库。</w:t>
                  </w:r>
                </w:p>
              </w:tc>
            </w:tr>
            <w:tr w14:paraId="0E934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vAlign w:val="center"/>
                </w:tcPr>
                <w:p w14:paraId="293FABB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304" w:type="pct"/>
                  <w:vMerge w:val="continue"/>
                  <w:vAlign w:val="center"/>
                </w:tcPr>
                <w:p w14:paraId="4CA04E8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747" w:type="pct"/>
                  <w:vAlign w:val="center"/>
                </w:tcPr>
                <w:p w14:paraId="12DF6820">
                  <w:pPr>
                    <w:pStyle w:val="41"/>
                    <w:keepNext w:val="0"/>
                    <w:keepLines w:val="0"/>
                    <w:suppressLineNumbers w:val="0"/>
                    <w:spacing w:before="43" w:beforeAutospacing="0" w:after="0" w:afterAutospacing="0" w:line="240" w:lineRule="auto"/>
                    <w:ind w:left="10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甲类仓库</w:t>
                  </w:r>
                </w:p>
              </w:tc>
              <w:tc>
                <w:tcPr>
                  <w:tcW w:w="3606" w:type="pct"/>
                  <w:vAlign w:val="center"/>
                </w:tcPr>
                <w:p w14:paraId="1BFA3385">
                  <w:pPr>
                    <w:pStyle w:val="41"/>
                    <w:keepNext w:val="0"/>
                    <w:keepLines w:val="0"/>
                    <w:suppressLineNumbers w:val="0"/>
                    <w:spacing w:before="0"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厂区内设置1栋</w:t>
                  </w:r>
                  <w:r>
                    <w:rPr>
                      <w:rFonts w:hint="default" w:ascii="Times New Roman" w:hAnsi="Times New Roman" w:eastAsia="宋体" w:cs="Times New Roman"/>
                      <w:color w:val="auto"/>
                      <w:sz w:val="21"/>
                    </w:rPr>
                    <w:t>甲类仓库，独立彩钢板厂房，建</w:t>
                  </w:r>
                  <w:r>
                    <w:rPr>
                      <w:rFonts w:hint="default" w:ascii="Times New Roman" w:hAnsi="Times New Roman" w:eastAsia="宋体" w:cs="Times New Roman"/>
                      <w:color w:val="auto"/>
                      <w:spacing w:val="-9"/>
                      <w:sz w:val="21"/>
                    </w:rPr>
                    <w:t>筑面积约为</w:t>
                  </w:r>
                  <w:r>
                    <w:rPr>
                      <w:rFonts w:hint="default" w:ascii="Times New Roman" w:hAnsi="Times New Roman" w:eastAsia="宋体" w:cs="Times New Roman"/>
                      <w:color w:val="auto"/>
                      <w:sz w:val="21"/>
                    </w:rPr>
                    <w:t>750m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pacing w:val="-9"/>
                      <w:sz w:val="21"/>
                    </w:rPr>
                    <w:t xml:space="preserve">，一层，高约 </w:t>
                  </w:r>
                  <w:r>
                    <w:rPr>
                      <w:rFonts w:hint="default" w:ascii="Times New Roman" w:hAnsi="Times New Roman" w:eastAsia="宋体" w:cs="Times New Roman"/>
                      <w:color w:val="auto"/>
                      <w:sz w:val="21"/>
                    </w:rPr>
                    <w:t>8.3m</w:t>
                  </w:r>
                  <w:r>
                    <w:rPr>
                      <w:rFonts w:hint="default" w:ascii="Times New Roman" w:hAnsi="Times New Roman" w:eastAsia="宋体" w:cs="Times New Roman"/>
                      <w:color w:val="auto"/>
                      <w:spacing w:val="-4"/>
                      <w:sz w:val="21"/>
                    </w:rPr>
                    <w:t>；作为成都</w:t>
                  </w:r>
                  <w:r>
                    <w:rPr>
                      <w:rFonts w:hint="default" w:ascii="Times New Roman" w:hAnsi="Times New Roman" w:eastAsia="宋体" w:cs="Times New Roman"/>
                      <w:color w:val="auto"/>
                      <w:spacing w:val="-10"/>
                      <w:sz w:val="21"/>
                    </w:rPr>
                    <w:t>公司生产的木器漆产品的贮存仓库。</w:t>
                  </w:r>
                </w:p>
              </w:tc>
            </w:tr>
            <w:tr w14:paraId="3C090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vAlign w:val="center"/>
                </w:tcPr>
                <w:p w14:paraId="4CDEBDC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304" w:type="pct"/>
                  <w:vMerge w:val="continue"/>
                  <w:vAlign w:val="center"/>
                </w:tcPr>
                <w:p w14:paraId="49C2D03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747" w:type="pct"/>
                  <w:vAlign w:val="center"/>
                </w:tcPr>
                <w:p w14:paraId="25DB106E">
                  <w:pPr>
                    <w:pStyle w:val="41"/>
                    <w:keepNext w:val="0"/>
                    <w:keepLines w:val="0"/>
                    <w:suppressLineNumbers w:val="0"/>
                    <w:spacing w:before="19" w:beforeAutospacing="0" w:after="0" w:afterAutospacing="0" w:line="240" w:lineRule="auto"/>
                    <w:ind w:left="10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雨棚</w:t>
                  </w:r>
                </w:p>
              </w:tc>
              <w:tc>
                <w:tcPr>
                  <w:tcW w:w="3606" w:type="pct"/>
                  <w:vAlign w:val="center"/>
                </w:tcPr>
                <w:p w14:paraId="0C2F8CE4">
                  <w:pPr>
                    <w:pStyle w:val="41"/>
                    <w:keepNext w:val="0"/>
                    <w:keepLines w:val="0"/>
                    <w:suppressLineNumbers w:val="0"/>
                    <w:spacing w:before="19" w:beforeAutospacing="0" w:after="0" w:afterAutospacing="0" w:line="240" w:lineRule="auto"/>
                    <w:ind w:left="105" w:right="96"/>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在生产车间、乳胶漆成品库、丙类原料库、甲类库等建筑的进出口均设置了雨棚，便于物料的运输，总占地面积约为4750m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w:t>
                  </w:r>
                </w:p>
              </w:tc>
            </w:tr>
            <w:tr w14:paraId="31691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restart"/>
                  <w:vAlign w:val="center"/>
                </w:tcPr>
                <w:p w14:paraId="6A99E352">
                  <w:pPr>
                    <w:pStyle w:val="41"/>
                    <w:keepNext w:val="0"/>
                    <w:keepLines w:val="0"/>
                    <w:suppressLineNumbers w:val="0"/>
                    <w:spacing w:before="18"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eastAsia="zh-CN"/>
                    </w:rPr>
                    <w:t>辅助</w:t>
                  </w:r>
                  <w:r>
                    <w:rPr>
                      <w:rFonts w:hint="default" w:ascii="Times New Roman" w:hAnsi="Times New Roman" w:eastAsia="宋体" w:cs="Times New Roman"/>
                      <w:color w:val="auto"/>
                      <w:sz w:val="21"/>
                    </w:rPr>
                    <w:t>工程</w:t>
                  </w:r>
                </w:p>
              </w:tc>
              <w:tc>
                <w:tcPr>
                  <w:tcW w:w="1051" w:type="pct"/>
                  <w:gridSpan w:val="2"/>
                  <w:vAlign w:val="center"/>
                </w:tcPr>
                <w:p w14:paraId="29C38A0A">
                  <w:pPr>
                    <w:pStyle w:val="41"/>
                    <w:keepNext w:val="0"/>
                    <w:keepLines w:val="0"/>
                    <w:suppressLineNumbers w:val="0"/>
                    <w:spacing w:before="18" w:beforeAutospacing="0" w:after="0" w:afterAutospacing="0" w:line="240" w:lineRule="auto"/>
                    <w:ind w:left="10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工务楼</w:t>
                  </w:r>
                </w:p>
              </w:tc>
              <w:tc>
                <w:tcPr>
                  <w:tcW w:w="3606" w:type="pct"/>
                  <w:vAlign w:val="center"/>
                </w:tcPr>
                <w:p w14:paraId="55CFD386">
                  <w:pPr>
                    <w:pStyle w:val="41"/>
                    <w:keepNext w:val="0"/>
                    <w:keepLines w:val="0"/>
                    <w:suppressLineNumbers w:val="0"/>
                    <w:spacing w:before="18" w:beforeAutospacing="0" w:after="0" w:afterAutospacing="0" w:line="240" w:lineRule="auto"/>
                    <w:ind w:left="105" w:right="-15"/>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pacing w:val="-3"/>
                      <w:sz w:val="21"/>
                    </w:rPr>
                    <w:t xml:space="preserve">为独立彩钢板厂房，建筑面积约为 </w:t>
                  </w:r>
                  <w:r>
                    <w:rPr>
                      <w:rFonts w:hint="default" w:ascii="Times New Roman" w:hAnsi="Times New Roman" w:eastAsia="宋体" w:cs="Times New Roman"/>
                      <w:color w:val="auto"/>
                      <w:sz w:val="21"/>
                    </w:rPr>
                    <w:t>630m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，一层，</w:t>
                  </w:r>
                  <w:r>
                    <w:rPr>
                      <w:rFonts w:hint="default" w:ascii="Times New Roman" w:hAnsi="Times New Roman" w:eastAsia="宋体" w:cs="Times New Roman"/>
                      <w:color w:val="auto"/>
                      <w:w w:val="100"/>
                      <w:sz w:val="21"/>
                    </w:rPr>
                    <w:t>高约</w:t>
                  </w:r>
                  <w:r>
                    <w:rPr>
                      <w:rFonts w:hint="default" w:ascii="Times New Roman" w:hAnsi="Times New Roman" w:eastAsia="宋体" w:cs="Times New Roman"/>
                      <w:color w:val="auto"/>
                      <w:spacing w:val="-52"/>
                      <w:sz w:val="21"/>
                    </w:rPr>
                    <w:t xml:space="preserve"> </w:t>
                  </w:r>
                  <w:r>
                    <w:rPr>
                      <w:rFonts w:hint="default" w:ascii="Times New Roman" w:hAnsi="Times New Roman" w:eastAsia="宋体" w:cs="Times New Roman"/>
                      <w:color w:val="auto"/>
                      <w:w w:val="100"/>
                      <w:sz w:val="21"/>
                    </w:rPr>
                    <w:t>6</w:t>
                  </w:r>
                  <w:r>
                    <w:rPr>
                      <w:rFonts w:hint="default" w:ascii="Times New Roman" w:hAnsi="Times New Roman" w:eastAsia="宋体" w:cs="Times New Roman"/>
                      <w:color w:val="auto"/>
                      <w:spacing w:val="-1"/>
                      <w:w w:val="100"/>
                      <w:sz w:val="21"/>
                    </w:rPr>
                    <w:t>m</w:t>
                  </w:r>
                  <w:r>
                    <w:rPr>
                      <w:rFonts w:hint="default" w:ascii="Times New Roman" w:hAnsi="Times New Roman" w:eastAsia="宋体" w:cs="Times New Roman"/>
                      <w:color w:val="auto"/>
                      <w:spacing w:val="-11"/>
                      <w:w w:val="100"/>
                      <w:sz w:val="21"/>
                    </w:rPr>
                    <w:t>；分为两个部分一部分做为职工的淋浴室和</w:t>
                  </w:r>
                  <w:r>
                    <w:rPr>
                      <w:rFonts w:hint="default" w:ascii="Times New Roman" w:hAnsi="Times New Roman" w:eastAsia="宋体" w:cs="Times New Roman"/>
                      <w:color w:val="auto"/>
                      <w:spacing w:val="-11"/>
                      <w:sz w:val="21"/>
                    </w:rPr>
                    <w:t>机修备品间、叉车充电间和泡沫发生装置，另一部</w:t>
                  </w:r>
                  <w:r>
                    <w:rPr>
                      <w:rFonts w:hint="default" w:ascii="Times New Roman" w:hAnsi="Times New Roman" w:eastAsia="宋体" w:cs="Times New Roman"/>
                      <w:color w:val="auto"/>
                      <w:spacing w:val="-21"/>
                      <w:sz w:val="21"/>
                    </w:rPr>
                    <w:t xml:space="preserve">分为动力中心，设置 </w:t>
                  </w:r>
                  <w:r>
                    <w:rPr>
                      <w:rFonts w:hint="default" w:ascii="Times New Roman" w:hAnsi="Times New Roman" w:eastAsia="宋体" w:cs="Times New Roman"/>
                      <w:color w:val="auto"/>
                      <w:sz w:val="21"/>
                    </w:rPr>
                    <w:t>4</w:t>
                  </w:r>
                  <w:r>
                    <w:rPr>
                      <w:rFonts w:hint="default" w:ascii="Times New Roman" w:hAnsi="Times New Roman" w:eastAsia="宋体" w:cs="Times New Roman"/>
                      <w:color w:val="auto"/>
                      <w:spacing w:val="-12"/>
                      <w:sz w:val="21"/>
                    </w:rPr>
                    <w:t>台空压机和</w:t>
                  </w:r>
                  <w:r>
                    <w:rPr>
                      <w:rFonts w:hint="default" w:ascii="Times New Roman" w:hAnsi="Times New Roman" w:eastAsia="宋体" w:cs="Times New Roman"/>
                      <w:color w:val="auto"/>
                      <w:sz w:val="21"/>
                    </w:rPr>
                    <w:t>1</w:t>
                  </w:r>
                  <w:r>
                    <w:rPr>
                      <w:rFonts w:hint="default" w:ascii="Times New Roman" w:hAnsi="Times New Roman" w:eastAsia="宋体" w:cs="Times New Roman"/>
                      <w:color w:val="auto"/>
                      <w:spacing w:val="-3"/>
                      <w:sz w:val="21"/>
                    </w:rPr>
                    <w:t>套变</w:t>
                  </w:r>
                  <w:r>
                    <w:rPr>
                      <w:rFonts w:hint="default" w:ascii="Times New Roman" w:hAnsi="Times New Roman" w:eastAsia="宋体" w:cs="Times New Roman"/>
                      <w:color w:val="auto"/>
                      <w:spacing w:val="3"/>
                      <w:sz w:val="21"/>
                    </w:rPr>
                    <w:t>/</w:t>
                  </w:r>
                  <w:r>
                    <w:rPr>
                      <w:rFonts w:hint="default" w:ascii="Times New Roman" w:hAnsi="Times New Roman" w:eastAsia="宋体" w:cs="Times New Roman"/>
                      <w:color w:val="auto"/>
                      <w:spacing w:val="-2"/>
                      <w:sz w:val="21"/>
                    </w:rPr>
                    <w:t>配电装置，</w:t>
                  </w:r>
                  <w:r>
                    <w:rPr>
                      <w:rFonts w:hint="default" w:ascii="Times New Roman" w:hAnsi="Times New Roman" w:eastAsia="宋体" w:cs="Times New Roman"/>
                      <w:color w:val="auto"/>
                      <w:sz w:val="21"/>
                    </w:rPr>
                    <w:t>供生产所需空气动力和电力。</w:t>
                  </w:r>
                </w:p>
              </w:tc>
            </w:tr>
            <w:tr w14:paraId="249E9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tcBorders>
                    <w:top w:val="nil"/>
                  </w:tcBorders>
                  <w:vAlign w:val="center"/>
                </w:tcPr>
                <w:p w14:paraId="442C152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1051" w:type="pct"/>
                  <w:gridSpan w:val="2"/>
                  <w:vAlign w:val="center"/>
                </w:tcPr>
                <w:p w14:paraId="2C6F0716">
                  <w:pPr>
                    <w:pStyle w:val="41"/>
                    <w:keepNext w:val="0"/>
                    <w:keepLines w:val="0"/>
                    <w:suppressLineNumbers w:val="0"/>
                    <w:spacing w:before="23" w:beforeAutospacing="0" w:after="0" w:afterAutospacing="0" w:line="240" w:lineRule="auto"/>
                    <w:ind w:left="109" w:right="19"/>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办公楼（含食堂）</w:t>
                  </w:r>
                </w:p>
              </w:tc>
              <w:tc>
                <w:tcPr>
                  <w:tcW w:w="3606" w:type="pct"/>
                  <w:vAlign w:val="center"/>
                </w:tcPr>
                <w:p w14:paraId="5F5A5CE5">
                  <w:pPr>
                    <w:pStyle w:val="41"/>
                    <w:keepNext w:val="0"/>
                    <w:keepLines w:val="0"/>
                    <w:suppressLineNumbers w:val="0"/>
                    <w:spacing w:before="23" w:beforeAutospacing="0" w:after="0" w:afterAutospacing="0" w:line="240" w:lineRule="auto"/>
                    <w:ind w:left="105" w:right="34"/>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为框架结构建筑，占地面积为 819m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，建筑面积约为 2457m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，3层建筑，一层设置有食堂和接待室</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rPr>
                    <w:t>二、三楼为办公室。</w:t>
                  </w:r>
                </w:p>
              </w:tc>
            </w:tr>
            <w:tr w14:paraId="6127C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tcBorders>
                    <w:top w:val="nil"/>
                  </w:tcBorders>
                  <w:vAlign w:val="center"/>
                </w:tcPr>
                <w:p w14:paraId="1C5D9E1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1051" w:type="pct"/>
                  <w:gridSpan w:val="2"/>
                  <w:vAlign w:val="center"/>
                </w:tcPr>
                <w:p w14:paraId="3FA7EB72">
                  <w:pPr>
                    <w:pStyle w:val="41"/>
                    <w:keepNext w:val="0"/>
                    <w:keepLines w:val="0"/>
                    <w:suppressLineNumbers w:val="0"/>
                    <w:spacing w:before="22" w:beforeAutospacing="0" w:after="0" w:afterAutospacing="0" w:line="240" w:lineRule="auto"/>
                    <w:ind w:left="10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参观连廊</w:t>
                  </w:r>
                </w:p>
              </w:tc>
              <w:tc>
                <w:tcPr>
                  <w:tcW w:w="3606" w:type="pct"/>
                  <w:vAlign w:val="center"/>
                </w:tcPr>
                <w:p w14:paraId="7CDF8CCA">
                  <w:pPr>
                    <w:pStyle w:val="41"/>
                    <w:keepNext w:val="0"/>
                    <w:keepLines w:val="0"/>
                    <w:suppressLineNumbers w:val="0"/>
                    <w:spacing w:before="22" w:beforeAutospacing="0" w:after="0" w:afterAutospacing="0" w:line="240" w:lineRule="auto"/>
                    <w:ind w:left="105" w:right="-15"/>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为单独架设在车间的一个参观走廊，采用钢架建设方式，高约3m，从乳胶车间连通至腻子粉生产车间，便于参观产品整个工艺流程。其占地面积</w:t>
                  </w:r>
                  <w:r>
                    <w:rPr>
                      <w:rFonts w:hint="default" w:ascii="Times New Roman" w:hAnsi="Times New Roman" w:eastAsia="宋体" w:cs="Times New Roman"/>
                      <w:color w:val="auto"/>
                      <w:spacing w:val="18"/>
                      <w:sz w:val="21"/>
                    </w:rPr>
                    <w:t>为</w:t>
                  </w:r>
                  <w:r>
                    <w:rPr>
                      <w:rFonts w:hint="default" w:ascii="Times New Roman" w:hAnsi="Times New Roman" w:eastAsia="宋体" w:cs="Times New Roman"/>
                      <w:color w:val="auto"/>
                      <w:sz w:val="21"/>
                    </w:rPr>
                    <w:t>269m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w:t>
                  </w:r>
                </w:p>
              </w:tc>
            </w:tr>
            <w:tr w14:paraId="2F62B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tcBorders>
                    <w:top w:val="nil"/>
                  </w:tcBorders>
                  <w:vAlign w:val="center"/>
                </w:tcPr>
                <w:p w14:paraId="0CABF7A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1051" w:type="pct"/>
                  <w:gridSpan w:val="2"/>
                  <w:vAlign w:val="center"/>
                </w:tcPr>
                <w:p w14:paraId="3445D907">
                  <w:pPr>
                    <w:pStyle w:val="41"/>
                    <w:keepNext w:val="0"/>
                    <w:keepLines w:val="0"/>
                    <w:suppressLineNumbers w:val="0"/>
                    <w:spacing w:before="22" w:beforeAutospacing="0" w:after="0" w:afterAutospacing="0" w:line="240" w:lineRule="auto"/>
                    <w:ind w:left="10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地磅房</w:t>
                  </w:r>
                </w:p>
              </w:tc>
              <w:tc>
                <w:tcPr>
                  <w:tcW w:w="3606" w:type="pct"/>
                  <w:vAlign w:val="center"/>
                </w:tcPr>
                <w:p w14:paraId="16F627D2">
                  <w:pPr>
                    <w:pStyle w:val="41"/>
                    <w:keepNext w:val="0"/>
                    <w:keepLines w:val="0"/>
                    <w:suppressLineNumbers w:val="0"/>
                    <w:spacing w:before="22"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位于物流入口，占地面积约为20m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w:t>
                  </w:r>
                </w:p>
              </w:tc>
            </w:tr>
            <w:tr w14:paraId="4E2A8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tcBorders>
                    <w:top w:val="nil"/>
                  </w:tcBorders>
                  <w:vAlign w:val="center"/>
                </w:tcPr>
                <w:p w14:paraId="0B8BBC8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1051" w:type="pct"/>
                  <w:gridSpan w:val="2"/>
                  <w:vAlign w:val="center"/>
                </w:tcPr>
                <w:p w14:paraId="1142649A">
                  <w:pPr>
                    <w:pStyle w:val="41"/>
                    <w:keepNext w:val="0"/>
                    <w:keepLines w:val="0"/>
                    <w:suppressLineNumbers w:val="0"/>
                    <w:spacing w:before="22" w:beforeAutospacing="0" w:after="0" w:afterAutospacing="0" w:line="240" w:lineRule="auto"/>
                    <w:ind w:left="10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警卫室</w:t>
                  </w:r>
                </w:p>
              </w:tc>
              <w:tc>
                <w:tcPr>
                  <w:tcW w:w="3606" w:type="pct"/>
                  <w:vAlign w:val="center"/>
                </w:tcPr>
                <w:p w14:paraId="0E3DE841">
                  <w:pPr>
                    <w:pStyle w:val="41"/>
                    <w:keepNext w:val="0"/>
                    <w:keepLines w:val="0"/>
                    <w:suppressLineNumbers w:val="0"/>
                    <w:spacing w:before="22"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设置2个警卫室，分别位于物流和人流大门口，每个的建筑面积约为30.5m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w:t>
                  </w:r>
                </w:p>
              </w:tc>
            </w:tr>
            <w:tr w14:paraId="73C86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tcBorders>
                    <w:top w:val="nil"/>
                  </w:tcBorders>
                  <w:vAlign w:val="center"/>
                </w:tcPr>
                <w:p w14:paraId="1144E42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
                      <w:szCs w:val="2"/>
                    </w:rPr>
                  </w:pPr>
                </w:p>
              </w:tc>
              <w:tc>
                <w:tcPr>
                  <w:tcW w:w="1051" w:type="pct"/>
                  <w:gridSpan w:val="2"/>
                  <w:vAlign w:val="center"/>
                </w:tcPr>
                <w:p w14:paraId="1E8A8E1F">
                  <w:pPr>
                    <w:pStyle w:val="41"/>
                    <w:keepNext w:val="0"/>
                    <w:keepLines w:val="0"/>
                    <w:suppressLineNumbers w:val="0"/>
                    <w:spacing w:before="21" w:beforeAutospacing="0" w:after="0" w:afterAutospacing="0" w:line="240" w:lineRule="auto"/>
                    <w:ind w:left="109"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消防水池</w:t>
                  </w:r>
                </w:p>
              </w:tc>
              <w:tc>
                <w:tcPr>
                  <w:tcW w:w="3606" w:type="pct"/>
                  <w:vAlign w:val="center"/>
                </w:tcPr>
                <w:p w14:paraId="5D541E51">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pacing w:val="-9"/>
                      <w:sz w:val="21"/>
                      <w:lang w:eastAsia="zh-CN"/>
                    </w:rPr>
                    <w:t>厂区设置</w:t>
                  </w:r>
                  <w:r>
                    <w:rPr>
                      <w:rFonts w:hint="default" w:ascii="Times New Roman" w:hAnsi="Times New Roman" w:eastAsia="宋体" w:cs="Times New Roman"/>
                      <w:color w:val="auto"/>
                      <w:spacing w:val="-9"/>
                      <w:sz w:val="21"/>
                      <w:lang w:val="en-US" w:eastAsia="zh-CN"/>
                    </w:rPr>
                    <w:t>2个容积为600</w:t>
                  </w:r>
                  <w:r>
                    <w:rPr>
                      <w:rFonts w:hint="default" w:ascii="Times New Roman" w:hAnsi="Times New Roman" w:eastAsia="宋体" w:cs="Times New Roman"/>
                      <w:color w:val="auto"/>
                      <w:sz w:val="21"/>
                    </w:rPr>
                    <w:t>m</w:t>
                  </w:r>
                  <w:r>
                    <w:rPr>
                      <w:rFonts w:hint="eastAsia" w:ascii="Times New Roman" w:hAnsi="Times New Roman" w:eastAsia="宋体" w:cs="Times New Roman"/>
                      <w:color w:val="auto"/>
                      <w:position w:val="7"/>
                      <w:sz w:val="13"/>
                      <w:lang w:val="en-US" w:eastAsia="zh-CN"/>
                    </w:rPr>
                    <w:t>3</w:t>
                  </w:r>
                  <w:r>
                    <w:rPr>
                      <w:rFonts w:hint="default" w:ascii="Times New Roman" w:hAnsi="Times New Roman" w:eastAsia="宋体" w:cs="Times New Roman"/>
                      <w:color w:val="auto"/>
                      <w:spacing w:val="-9"/>
                      <w:sz w:val="21"/>
                      <w:lang w:eastAsia="zh-CN"/>
                    </w:rPr>
                    <w:t>的消防水池</w:t>
                  </w:r>
                  <w:r>
                    <w:rPr>
                      <w:rFonts w:hint="default" w:ascii="Times New Roman" w:hAnsi="Times New Roman" w:eastAsia="宋体" w:cs="Times New Roman"/>
                      <w:color w:val="auto"/>
                      <w:sz w:val="21"/>
                    </w:rPr>
                    <w:t>，为地下式水池，上面进行绿化。</w:t>
                  </w:r>
                </w:p>
              </w:tc>
            </w:tr>
            <w:tr w14:paraId="09471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restart"/>
                  <w:vAlign w:val="center"/>
                </w:tcPr>
                <w:p w14:paraId="4A55E68E">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highlight w:val="none"/>
                      <w:lang w:val="en-US" w:eastAsia="zh-CN"/>
                    </w:rPr>
                    <w:t>公用工程</w:t>
                  </w:r>
                </w:p>
              </w:tc>
              <w:tc>
                <w:tcPr>
                  <w:tcW w:w="1051" w:type="pct"/>
                  <w:gridSpan w:val="2"/>
                  <w:vAlign w:val="center"/>
                </w:tcPr>
                <w:p w14:paraId="5AB6529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highlight w:val="none"/>
                      <w:lang w:val="en-US" w:eastAsia="zh-CN"/>
                    </w:rPr>
                    <w:t>给水</w:t>
                  </w:r>
                </w:p>
              </w:tc>
              <w:tc>
                <w:tcPr>
                  <w:tcW w:w="3606" w:type="pct"/>
                  <w:vAlign w:val="center"/>
                </w:tcPr>
                <w:p w14:paraId="5AFB69C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szCs w:val="21"/>
                      <w:highlight w:val="none"/>
                      <w:lang w:val="en-US" w:eastAsia="zh-CN"/>
                    </w:rPr>
                    <w:t>由富民工业园区白石岩—大白坡片区</w:t>
                  </w:r>
                  <w:r>
                    <w:rPr>
                      <w:rFonts w:hint="eastAsia" w:cs="Times New Roman"/>
                      <w:color w:val="auto"/>
                      <w:sz w:val="21"/>
                      <w:szCs w:val="21"/>
                      <w:highlight w:val="none"/>
                      <w:lang w:val="en-US" w:eastAsia="zh-CN"/>
                    </w:rPr>
                    <w:t>哨箐</w:t>
                  </w:r>
                  <w:r>
                    <w:rPr>
                      <w:rFonts w:hint="eastAsia" w:ascii="Times New Roman" w:hAnsi="Times New Roman" w:eastAsia="宋体" w:cs="Times New Roman"/>
                      <w:color w:val="auto"/>
                      <w:sz w:val="21"/>
                      <w:szCs w:val="21"/>
                      <w:highlight w:val="none"/>
                      <w:lang w:val="en-US" w:eastAsia="zh-CN"/>
                    </w:rPr>
                    <w:t>园区</w:t>
                  </w:r>
                  <w:r>
                    <w:rPr>
                      <w:rFonts w:hint="default" w:ascii="Times New Roman" w:hAnsi="Times New Roman" w:eastAsia="宋体" w:cs="Times New Roman"/>
                      <w:color w:val="auto"/>
                      <w:sz w:val="21"/>
                      <w:szCs w:val="21"/>
                      <w:highlight w:val="none"/>
                      <w:lang w:val="en-US" w:eastAsia="zh-CN"/>
                    </w:rPr>
                    <w:t>供水管网供给。</w:t>
                  </w:r>
                </w:p>
              </w:tc>
            </w:tr>
            <w:tr w14:paraId="2A133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vAlign w:val="center"/>
                </w:tcPr>
                <w:p w14:paraId="7EEF8DA1">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p>
              </w:tc>
              <w:tc>
                <w:tcPr>
                  <w:tcW w:w="1051" w:type="pct"/>
                  <w:gridSpan w:val="2"/>
                  <w:vAlign w:val="center"/>
                </w:tcPr>
                <w:p w14:paraId="601DF06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highlight w:val="none"/>
                      <w:lang w:val="en-US" w:eastAsia="zh-CN"/>
                    </w:rPr>
                    <w:t>排水</w:t>
                  </w:r>
                </w:p>
              </w:tc>
              <w:tc>
                <w:tcPr>
                  <w:tcW w:w="3606" w:type="pct"/>
                  <w:vAlign w:val="center"/>
                </w:tcPr>
                <w:p w14:paraId="703767D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szCs w:val="21"/>
                      <w:highlight w:val="none"/>
                      <w:lang w:val="en-US" w:eastAsia="zh-CN"/>
                    </w:rPr>
                    <w:t>项目严格实行雨污分流制，初期雨水收集后进入</w:t>
                  </w:r>
                  <w:r>
                    <w:rPr>
                      <w:rFonts w:hint="eastAsia" w:cs="Times New Roman"/>
                      <w:color w:val="auto"/>
                      <w:sz w:val="21"/>
                      <w:szCs w:val="21"/>
                      <w:highlight w:val="none"/>
                      <w:lang w:val="en-US" w:eastAsia="zh-CN"/>
                    </w:rPr>
                    <w:t>初期雨水收集池，生活污水经隔油池。化粪池预处理后同沉淀后的生产废水一并进入自建污水处理系统处理达</w:t>
                  </w:r>
                  <w:r>
                    <w:rPr>
                      <w:rFonts w:hint="default" w:ascii="Times New Roman" w:hAnsi="Times New Roman" w:eastAsia="宋体" w:cs="Times New Roman"/>
                      <w:color w:val="auto"/>
                      <w:sz w:val="21"/>
                      <w:szCs w:val="21"/>
                      <w:highlight w:val="none"/>
                      <w:lang w:val="en-US" w:eastAsia="zh-CN" w:bidi="ar-SA"/>
                    </w:rPr>
                    <w:t>《污水排入城镇下水道水质标准》（</w:t>
                  </w:r>
                  <w:r>
                    <w:rPr>
                      <w:rFonts w:hint="default" w:ascii="Times New Roman" w:hAnsi="Times New Roman" w:eastAsia="宋体" w:cs="Times New Roman"/>
                      <w:color w:val="auto"/>
                      <w:sz w:val="21"/>
                      <w:szCs w:val="21"/>
                      <w:highlight w:val="none"/>
                      <w:lang w:val="en-US" w:eastAsia="en-US" w:bidi="ar-SA"/>
                    </w:rPr>
                    <w:t>GB/T 31962-2015</w:t>
                  </w:r>
                  <w:r>
                    <w:rPr>
                      <w:rFonts w:hint="default"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en-US" w:bidi="ar-SA"/>
                    </w:rPr>
                    <w:t>A</w:t>
                  </w:r>
                  <w:r>
                    <w:rPr>
                      <w:rFonts w:hint="default" w:ascii="Times New Roman" w:hAnsi="Times New Roman" w:eastAsia="宋体" w:cs="Times New Roman"/>
                      <w:color w:val="auto"/>
                      <w:sz w:val="21"/>
                      <w:szCs w:val="21"/>
                      <w:highlight w:val="none"/>
                      <w:lang w:val="en-US" w:eastAsia="zh-CN" w:bidi="ar-SA"/>
                    </w:rPr>
                    <w:t>级标准</w:t>
                  </w:r>
                  <w:r>
                    <w:rPr>
                      <w:rFonts w:hint="eastAsia" w:cs="Times New Roman"/>
                      <w:color w:val="auto"/>
                      <w:sz w:val="21"/>
                      <w:szCs w:val="21"/>
                      <w:highlight w:val="none"/>
                      <w:lang w:val="en-US" w:eastAsia="zh-CN"/>
                    </w:rPr>
                    <w:t>后，进入园区污水管网，最终进入富民工业园区哨箐机械加工园污水处理厂。</w:t>
                  </w:r>
                </w:p>
              </w:tc>
            </w:tr>
            <w:tr w14:paraId="2E481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restart"/>
                  <w:vAlign w:val="center"/>
                </w:tcPr>
                <w:p w14:paraId="404D4209">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环保工程</w:t>
                  </w:r>
                </w:p>
              </w:tc>
              <w:tc>
                <w:tcPr>
                  <w:tcW w:w="304" w:type="pct"/>
                  <w:vMerge w:val="restart"/>
                  <w:vAlign w:val="center"/>
                </w:tcPr>
                <w:p w14:paraId="5DE37DBD">
                  <w:pPr>
                    <w:pStyle w:val="41"/>
                    <w:keepNext w:val="0"/>
                    <w:keepLines w:val="0"/>
                    <w:suppressLineNumbers w:val="0"/>
                    <w:spacing w:before="21" w:beforeAutospacing="0" w:after="0" w:afterAutospacing="0" w:line="240" w:lineRule="auto"/>
                    <w:ind w:left="109" w:right="93"/>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废水</w:t>
                  </w:r>
                </w:p>
              </w:tc>
              <w:tc>
                <w:tcPr>
                  <w:tcW w:w="747" w:type="pct"/>
                  <w:vAlign w:val="center"/>
                </w:tcPr>
                <w:p w14:paraId="74FC16B4">
                  <w:pPr>
                    <w:pStyle w:val="41"/>
                    <w:keepNext w:val="0"/>
                    <w:keepLines w:val="0"/>
                    <w:suppressLineNumbers w:val="0"/>
                    <w:spacing w:before="21" w:beforeAutospacing="0" w:after="0" w:afterAutospacing="0" w:line="240" w:lineRule="auto"/>
                    <w:ind w:left="109" w:right="93"/>
                    <w:jc w:val="center"/>
                    <w:rPr>
                      <w:rFonts w:hint="eastAsia" w:ascii="Times New Roman" w:hAnsi="Times New Roman" w:eastAsia="宋体" w:cs="Times New Roman"/>
                      <w:color w:val="auto"/>
                      <w:sz w:val="21"/>
                      <w:lang w:eastAsia="zh-CN"/>
                    </w:rPr>
                  </w:pPr>
                  <w:r>
                    <w:rPr>
                      <w:rFonts w:hint="default" w:ascii="Times New Roman" w:hAnsi="Times New Roman" w:eastAsia="宋体" w:cs="Times New Roman"/>
                      <w:color w:val="auto"/>
                      <w:sz w:val="21"/>
                    </w:rPr>
                    <w:t>污水处理</w:t>
                  </w:r>
                  <w:r>
                    <w:rPr>
                      <w:rFonts w:hint="eastAsia" w:cs="Times New Roman"/>
                      <w:color w:val="auto"/>
                      <w:sz w:val="21"/>
                      <w:lang w:eastAsia="zh-CN"/>
                    </w:rPr>
                    <w:t>系统</w:t>
                  </w:r>
                </w:p>
              </w:tc>
              <w:tc>
                <w:tcPr>
                  <w:tcW w:w="3606" w:type="pct"/>
                  <w:vAlign w:val="center"/>
                </w:tcPr>
                <w:p w14:paraId="2A85533A">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厂区内设置有</w:t>
                  </w:r>
                  <w:r>
                    <w:rPr>
                      <w:rFonts w:hint="default" w:ascii="Times New Roman" w:hAnsi="Times New Roman" w:eastAsia="宋体" w:cs="Times New Roman"/>
                      <w:color w:val="auto"/>
                      <w:sz w:val="21"/>
                    </w:rPr>
                    <w:t>一套污水处理系统，建筑用房占地约252m</w:t>
                  </w:r>
                  <w:r>
                    <w:rPr>
                      <w:rFonts w:hint="default" w:ascii="Times New Roman" w:hAnsi="Times New Roman" w:eastAsia="宋体" w:cs="Times New Roman"/>
                      <w:color w:val="auto"/>
                      <w:position w:val="7"/>
                      <w:sz w:val="13"/>
                    </w:rPr>
                    <w:t>2</w:t>
                  </w:r>
                  <w:r>
                    <w:rPr>
                      <w:rFonts w:hint="default" w:ascii="Times New Roman" w:hAnsi="Times New Roman" w:eastAsia="宋体" w:cs="Times New Roman"/>
                      <w:color w:val="auto"/>
                      <w:sz w:val="21"/>
                    </w:rPr>
                    <w:t>，处理规模50</w:t>
                  </w:r>
                  <w:r>
                    <w:rPr>
                      <w:rFonts w:hint="default" w:ascii="Times New Roman" w:hAnsi="Times New Roman" w:eastAsia="宋体" w:cs="Times New Roman"/>
                      <w:color w:val="auto"/>
                      <w:sz w:val="21"/>
                      <w:lang w:val="en-US" w:eastAsia="zh-CN"/>
                    </w:rPr>
                    <w:t>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rPr>
                    <w:t>/t。</w:t>
                  </w:r>
                  <w:r>
                    <w:rPr>
                      <w:rFonts w:hint="default" w:ascii="Times New Roman" w:hAnsi="Times New Roman" w:eastAsia="宋体" w:cs="Times New Roman"/>
                      <w:color w:val="auto"/>
                      <w:sz w:val="21"/>
                      <w:lang w:val="en-US" w:eastAsia="zh-CN"/>
                    </w:rPr>
                    <w:t>处理工艺为“</w:t>
                  </w:r>
                  <w:r>
                    <w:rPr>
                      <w:rFonts w:hint="default" w:ascii="Times New Roman" w:hAnsi="Times New Roman" w:eastAsia="宋体" w:cs="Times New Roman"/>
                      <w:color w:val="auto"/>
                      <w:spacing w:val="-2"/>
                    </w:rPr>
                    <w:t>混凝沉淀</w:t>
                  </w:r>
                  <w:r>
                    <w:rPr>
                      <w:rFonts w:hint="default" w:ascii="Times New Roman" w:hAnsi="Times New Roman" w:eastAsia="宋体" w:cs="Times New Roman"/>
                      <w:color w:val="auto"/>
                    </w:rPr>
                    <w:t>+UASB</w:t>
                  </w:r>
                  <w:r>
                    <w:rPr>
                      <w:rFonts w:hint="default" w:ascii="Times New Roman" w:hAnsi="Times New Roman" w:eastAsia="宋体" w:cs="Times New Roman"/>
                      <w:color w:val="auto"/>
                      <w:spacing w:val="-4"/>
                    </w:rPr>
                    <w:t xml:space="preserve"> </w:t>
                  </w:r>
                  <w:r>
                    <w:rPr>
                      <w:rFonts w:hint="default" w:ascii="Times New Roman" w:hAnsi="Times New Roman" w:eastAsia="宋体" w:cs="Times New Roman"/>
                      <w:color w:val="auto"/>
                      <w:spacing w:val="2"/>
                    </w:rPr>
                    <w:t>反应</w:t>
                  </w:r>
                  <w:r>
                    <w:rPr>
                      <w:rFonts w:hint="default" w:ascii="Times New Roman" w:hAnsi="Times New Roman" w:eastAsia="宋体" w:cs="Times New Roman"/>
                      <w:color w:val="auto"/>
                    </w:rPr>
                    <w:t>+MBR</w:t>
                  </w:r>
                  <w:r>
                    <w:rPr>
                      <w:rFonts w:hint="default" w:ascii="Times New Roman" w:hAnsi="Times New Roman" w:eastAsia="宋体" w:cs="Times New Roman"/>
                      <w:color w:val="auto"/>
                      <w:spacing w:val="2"/>
                    </w:rPr>
                    <w:t xml:space="preserve"> </w:t>
                  </w:r>
                  <w:r>
                    <w:rPr>
                      <w:rFonts w:hint="default" w:ascii="Times New Roman" w:hAnsi="Times New Roman" w:eastAsia="宋体" w:cs="Times New Roman"/>
                      <w:color w:val="auto"/>
                    </w:rPr>
                    <w:t>膜池</w:t>
                  </w:r>
                  <w:r>
                    <w:rPr>
                      <w:rFonts w:hint="default" w:ascii="Times New Roman" w:hAnsi="Times New Roman" w:eastAsia="宋体" w:cs="Times New Roman"/>
                      <w:color w:val="auto"/>
                      <w:sz w:val="21"/>
                      <w:lang w:val="en-US" w:eastAsia="zh-CN"/>
                    </w:rPr>
                    <w:t>”。</w:t>
                  </w:r>
                </w:p>
              </w:tc>
            </w:tr>
            <w:tr w14:paraId="099D4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341" w:type="pct"/>
                  <w:vMerge w:val="continue"/>
                  <w:vAlign w:val="center"/>
                </w:tcPr>
                <w:p w14:paraId="7342D981">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p>
              </w:tc>
              <w:tc>
                <w:tcPr>
                  <w:tcW w:w="304" w:type="pct"/>
                  <w:vMerge w:val="continue"/>
                  <w:vAlign w:val="center"/>
                </w:tcPr>
                <w:p w14:paraId="46FE8EEF">
                  <w:pPr>
                    <w:pStyle w:val="41"/>
                    <w:keepNext w:val="0"/>
                    <w:keepLines w:val="0"/>
                    <w:suppressLineNumbers w:val="0"/>
                    <w:spacing w:before="21" w:beforeAutospacing="0" w:after="0" w:afterAutospacing="0" w:line="240" w:lineRule="auto"/>
                    <w:ind w:left="109" w:right="93"/>
                    <w:jc w:val="center"/>
                    <w:rPr>
                      <w:rFonts w:hint="default" w:ascii="Times New Roman" w:hAnsi="Times New Roman" w:eastAsia="宋体" w:cs="Times New Roman"/>
                      <w:color w:val="auto"/>
                      <w:sz w:val="21"/>
                    </w:rPr>
                  </w:pPr>
                </w:p>
              </w:tc>
              <w:tc>
                <w:tcPr>
                  <w:tcW w:w="747" w:type="pct"/>
                  <w:vAlign w:val="center"/>
                </w:tcPr>
                <w:p w14:paraId="621F77B6">
                  <w:pPr>
                    <w:pStyle w:val="41"/>
                    <w:keepNext w:val="0"/>
                    <w:keepLines w:val="0"/>
                    <w:suppressLineNumbers w:val="0"/>
                    <w:spacing w:before="21" w:beforeAutospacing="0" w:after="0" w:afterAutospacing="0" w:line="240" w:lineRule="auto"/>
                    <w:ind w:left="109" w:right="93"/>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化粪池</w:t>
                  </w:r>
                </w:p>
              </w:tc>
              <w:tc>
                <w:tcPr>
                  <w:tcW w:w="3606" w:type="pct"/>
                  <w:vAlign w:val="center"/>
                </w:tcPr>
                <w:p w14:paraId="5AF2F041">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厂区内设置了容积不小于</w:t>
                  </w:r>
                  <w:r>
                    <w:rPr>
                      <w:rFonts w:hint="eastAsia" w:cs="Times New Roman"/>
                      <w:color w:val="auto"/>
                      <w:sz w:val="21"/>
                      <w:lang w:val="en-US" w:eastAsia="zh-CN"/>
                    </w:rPr>
                    <w:t>20</w:t>
                  </w:r>
                  <w:r>
                    <w:rPr>
                      <w:rFonts w:hint="default" w:ascii="Times New Roman" w:hAnsi="Times New Roman" w:eastAsia="宋体" w:cs="Times New Roman"/>
                      <w:color w:val="auto"/>
                      <w:sz w:val="21"/>
                      <w:lang w:val="en-US" w:eastAsia="zh-CN"/>
                    </w:rPr>
                    <w:t>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lang w:val="en-US" w:eastAsia="zh-CN"/>
                    </w:rPr>
                    <w:t>的化粪池，用于处理办公生活污水。</w:t>
                  </w:r>
                </w:p>
              </w:tc>
            </w:tr>
            <w:tr w14:paraId="3394B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vAlign w:val="center"/>
                </w:tcPr>
                <w:p w14:paraId="156B8B18">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p>
              </w:tc>
              <w:tc>
                <w:tcPr>
                  <w:tcW w:w="304" w:type="pct"/>
                  <w:vMerge w:val="continue"/>
                  <w:vAlign w:val="center"/>
                </w:tcPr>
                <w:p w14:paraId="3BF66A08">
                  <w:pPr>
                    <w:pStyle w:val="41"/>
                    <w:keepNext w:val="0"/>
                    <w:keepLines w:val="0"/>
                    <w:suppressLineNumbers w:val="0"/>
                    <w:spacing w:before="21" w:beforeAutospacing="0" w:after="0" w:afterAutospacing="0" w:line="240" w:lineRule="auto"/>
                    <w:ind w:left="109" w:right="93"/>
                    <w:jc w:val="center"/>
                    <w:rPr>
                      <w:rFonts w:hint="default" w:ascii="Times New Roman" w:hAnsi="Times New Roman" w:eastAsia="宋体" w:cs="Times New Roman"/>
                      <w:color w:val="auto"/>
                      <w:sz w:val="21"/>
                    </w:rPr>
                  </w:pPr>
                </w:p>
              </w:tc>
              <w:tc>
                <w:tcPr>
                  <w:tcW w:w="747" w:type="pct"/>
                  <w:vAlign w:val="center"/>
                </w:tcPr>
                <w:p w14:paraId="54327422">
                  <w:pPr>
                    <w:pStyle w:val="41"/>
                    <w:keepNext w:val="0"/>
                    <w:keepLines w:val="0"/>
                    <w:suppressLineNumbers w:val="0"/>
                    <w:spacing w:before="21" w:beforeAutospacing="0" w:after="0" w:afterAutospacing="0" w:line="240" w:lineRule="auto"/>
                    <w:ind w:left="109" w:right="93"/>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隔油池</w:t>
                  </w:r>
                </w:p>
              </w:tc>
              <w:tc>
                <w:tcPr>
                  <w:tcW w:w="3606" w:type="pct"/>
                  <w:vAlign w:val="center"/>
                </w:tcPr>
                <w:p w14:paraId="75B64AE2">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厂区内设置有1个容积不小于</w:t>
                  </w:r>
                  <w:r>
                    <w:rPr>
                      <w:rFonts w:hint="eastAsia" w:cs="Times New Roman"/>
                      <w:color w:val="auto"/>
                      <w:sz w:val="21"/>
                      <w:lang w:val="en-US" w:eastAsia="zh-CN"/>
                    </w:rPr>
                    <w:t>4</w:t>
                  </w:r>
                  <w:r>
                    <w:rPr>
                      <w:rFonts w:hint="default" w:ascii="Times New Roman" w:hAnsi="Times New Roman" w:eastAsia="宋体" w:cs="Times New Roman"/>
                      <w:color w:val="auto"/>
                      <w:sz w:val="21"/>
                      <w:lang w:val="en-US" w:eastAsia="zh-CN"/>
                    </w:rPr>
                    <w:t>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lang w:val="en-US" w:eastAsia="zh-CN"/>
                    </w:rPr>
                    <w:t>的隔油池，处理食堂产生的含油废水。</w:t>
                  </w:r>
                </w:p>
              </w:tc>
            </w:tr>
            <w:tr w14:paraId="56636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vAlign w:val="center"/>
                </w:tcPr>
                <w:p w14:paraId="2BD693B2">
                  <w:pPr>
                    <w:pStyle w:val="41"/>
                    <w:keepNext w:val="0"/>
                    <w:keepLines w:val="0"/>
                    <w:suppressLineNumbers w:val="0"/>
                    <w:spacing w:before="21" w:beforeAutospacing="0" w:after="0" w:afterAutospacing="0" w:line="240" w:lineRule="auto"/>
                    <w:ind w:left="105" w:right="0"/>
                    <w:jc w:val="center"/>
                    <w:rPr>
                      <w:rFonts w:hint="default" w:ascii="Times New Roman" w:hAnsi="Times New Roman" w:eastAsia="宋体" w:cs="Times New Roman"/>
                      <w:color w:val="auto"/>
                      <w:sz w:val="21"/>
                    </w:rPr>
                  </w:pPr>
                </w:p>
              </w:tc>
              <w:tc>
                <w:tcPr>
                  <w:tcW w:w="304" w:type="pct"/>
                  <w:vMerge w:val="continue"/>
                  <w:vAlign w:val="center"/>
                </w:tcPr>
                <w:p w14:paraId="36EDAEFB">
                  <w:pPr>
                    <w:pStyle w:val="41"/>
                    <w:keepNext w:val="0"/>
                    <w:keepLines w:val="0"/>
                    <w:suppressLineNumbers w:val="0"/>
                    <w:spacing w:before="21" w:beforeAutospacing="0" w:after="0" w:afterAutospacing="0" w:line="240" w:lineRule="auto"/>
                    <w:ind w:left="109" w:right="93"/>
                    <w:jc w:val="center"/>
                    <w:rPr>
                      <w:rFonts w:hint="default" w:ascii="Times New Roman" w:hAnsi="Times New Roman" w:eastAsia="宋体" w:cs="Times New Roman"/>
                      <w:color w:val="auto"/>
                      <w:sz w:val="21"/>
                    </w:rPr>
                  </w:pPr>
                </w:p>
              </w:tc>
              <w:tc>
                <w:tcPr>
                  <w:tcW w:w="747" w:type="pct"/>
                  <w:vAlign w:val="center"/>
                </w:tcPr>
                <w:p w14:paraId="1DD2A86F">
                  <w:pPr>
                    <w:pStyle w:val="41"/>
                    <w:keepNext w:val="0"/>
                    <w:keepLines w:val="0"/>
                    <w:suppressLineNumbers w:val="0"/>
                    <w:spacing w:before="21" w:beforeAutospacing="0" w:after="0" w:afterAutospacing="0" w:line="240" w:lineRule="auto"/>
                    <w:ind w:left="109" w:right="93"/>
                    <w:jc w:val="center"/>
                    <w:rPr>
                      <w:rFonts w:hint="default" w:ascii="Times New Roman" w:hAnsi="Times New Roman" w:eastAsia="宋体" w:cs="Times New Roman"/>
                      <w:color w:val="auto"/>
                      <w:sz w:val="21"/>
                      <w:lang w:eastAsia="zh-CN"/>
                    </w:rPr>
                  </w:pPr>
                  <w:r>
                    <w:rPr>
                      <w:rFonts w:hint="eastAsia" w:ascii="Times New Roman" w:hAnsi="Times New Roman" w:eastAsia="宋体" w:cs="Times New Roman"/>
                      <w:color w:val="auto"/>
                      <w:sz w:val="21"/>
                      <w:lang w:eastAsia="zh-CN"/>
                    </w:rPr>
                    <w:t>初期雨水收集池</w:t>
                  </w:r>
                </w:p>
              </w:tc>
              <w:tc>
                <w:tcPr>
                  <w:tcW w:w="3606" w:type="pct"/>
                  <w:vAlign w:val="center"/>
                </w:tcPr>
                <w:p w14:paraId="66824704">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厂区设置容积为</w:t>
                  </w:r>
                  <w:r>
                    <w:rPr>
                      <w:rFonts w:hint="default" w:ascii="Times New Roman" w:hAnsi="Times New Roman" w:eastAsia="宋体" w:cs="Times New Roman"/>
                      <w:color w:val="auto"/>
                      <w:sz w:val="21"/>
                    </w:rPr>
                    <w:t>972m</w:t>
                  </w:r>
                  <w:r>
                    <w:rPr>
                      <w:rFonts w:hint="default" w:ascii="Times New Roman" w:hAnsi="Times New Roman" w:eastAsia="宋体" w:cs="Times New Roman"/>
                      <w:color w:val="auto"/>
                      <w:sz w:val="21"/>
                      <w:vertAlign w:val="superscript"/>
                    </w:rPr>
                    <w:t>3</w:t>
                  </w:r>
                  <w:r>
                    <w:rPr>
                      <w:rFonts w:hint="eastAsia" w:ascii="Times New Roman" w:hAnsi="Times New Roman" w:eastAsia="宋体" w:cs="Times New Roman"/>
                      <w:color w:val="auto"/>
                      <w:sz w:val="21"/>
                      <w:lang w:val="en-US" w:eastAsia="zh-CN"/>
                    </w:rPr>
                    <w:t>的初期雨水收集池</w:t>
                  </w:r>
                  <w:r>
                    <w:rPr>
                      <w:rFonts w:hint="eastAsia" w:cs="Times New Roman"/>
                      <w:color w:val="auto"/>
                      <w:sz w:val="21"/>
                      <w:lang w:val="en-US" w:eastAsia="zh-CN"/>
                    </w:rPr>
                    <w:t>。</w:t>
                  </w:r>
                </w:p>
              </w:tc>
            </w:tr>
            <w:tr w14:paraId="44F1A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tcPr>
                <w:p w14:paraId="44A2EDA9">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0"/>
                    </w:rPr>
                  </w:pPr>
                </w:p>
              </w:tc>
              <w:tc>
                <w:tcPr>
                  <w:tcW w:w="304" w:type="pct"/>
                  <w:vMerge w:val="restart"/>
                  <w:vAlign w:val="center"/>
                </w:tcPr>
                <w:p w14:paraId="21EB4BE6">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right="93"/>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废气</w:t>
                  </w:r>
                </w:p>
              </w:tc>
              <w:tc>
                <w:tcPr>
                  <w:tcW w:w="747" w:type="pct"/>
                  <w:vAlign w:val="center"/>
                </w:tcPr>
                <w:p w14:paraId="084BCFD8">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right="93"/>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1套“集气罩+</w:t>
                  </w:r>
                  <w:r>
                    <w:rPr>
                      <w:rFonts w:hint="eastAsia" w:cs="Times New Roman"/>
                      <w:color w:val="auto"/>
                      <w:sz w:val="21"/>
                      <w:lang w:val="en-US" w:eastAsia="zh-CN"/>
                    </w:rPr>
                    <w:t>集中式滤筒除尘器</w:t>
                  </w:r>
                  <w:r>
                    <w:rPr>
                      <w:rFonts w:hint="default" w:ascii="Times New Roman" w:hAnsi="Times New Roman" w:eastAsia="宋体" w:cs="Times New Roman"/>
                      <w:color w:val="auto"/>
                      <w:sz w:val="21"/>
                      <w:lang w:val="en-US" w:eastAsia="zh-CN"/>
                    </w:rPr>
                    <w:t>”+15m排气筒</w:t>
                  </w:r>
                </w:p>
              </w:tc>
              <w:tc>
                <w:tcPr>
                  <w:tcW w:w="3606" w:type="pct"/>
                  <w:vAlign w:val="center"/>
                </w:tcPr>
                <w:p w14:paraId="44B285C3">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lang w:eastAsia="zh-CN"/>
                    </w:rPr>
                    <w:t>腻子粉</w:t>
                  </w:r>
                  <w:r>
                    <w:rPr>
                      <w:rFonts w:hint="default" w:ascii="Times New Roman" w:hAnsi="Times New Roman" w:eastAsia="宋体" w:cs="Times New Roman"/>
                      <w:color w:val="auto"/>
                      <w:sz w:val="21"/>
                    </w:rPr>
                    <w:t>生产线</w:t>
                  </w:r>
                  <w:r>
                    <w:rPr>
                      <w:rFonts w:hint="default" w:ascii="Times New Roman" w:hAnsi="Times New Roman" w:eastAsia="宋体" w:cs="Times New Roman"/>
                      <w:color w:val="auto"/>
                      <w:sz w:val="21"/>
                      <w:lang w:eastAsia="zh-CN"/>
                    </w:rPr>
                    <w:t>投料间，投料</w:t>
                  </w:r>
                  <w:r>
                    <w:rPr>
                      <w:rFonts w:hint="eastAsia" w:cs="Times New Roman"/>
                      <w:color w:val="auto"/>
                      <w:sz w:val="21"/>
                      <w:lang w:eastAsia="zh-CN"/>
                    </w:rPr>
                    <w:t>、</w:t>
                  </w:r>
                  <w:r>
                    <w:rPr>
                      <w:rFonts w:hint="eastAsia" w:cs="Times New Roman"/>
                      <w:color w:val="auto"/>
                      <w:sz w:val="21"/>
                      <w:lang w:val="en-US" w:eastAsia="zh-CN"/>
                    </w:rPr>
                    <w:t>配料、混料</w:t>
                  </w:r>
                  <w:r>
                    <w:rPr>
                      <w:rFonts w:hint="default" w:ascii="Times New Roman" w:hAnsi="Times New Roman" w:eastAsia="宋体" w:cs="Times New Roman"/>
                      <w:color w:val="auto"/>
                      <w:sz w:val="21"/>
                      <w:lang w:eastAsia="zh-CN"/>
                    </w:rPr>
                    <w:t>产生的粉尘设置</w:t>
                  </w:r>
                  <w:r>
                    <w:rPr>
                      <w:rFonts w:hint="default" w:ascii="Times New Roman" w:hAnsi="Times New Roman" w:eastAsia="宋体" w:cs="Times New Roman"/>
                      <w:color w:val="auto"/>
                      <w:sz w:val="21"/>
                      <w:lang w:val="en-US" w:eastAsia="zh-CN"/>
                    </w:rPr>
                    <w:t>1套“</w:t>
                  </w:r>
                  <w:r>
                    <w:rPr>
                      <w:rFonts w:hint="default" w:ascii="Times New Roman" w:hAnsi="Times New Roman" w:eastAsia="宋体" w:cs="Times New Roman"/>
                      <w:color w:val="auto"/>
                      <w:sz w:val="21"/>
                      <w:lang w:eastAsia="zh-CN"/>
                    </w:rPr>
                    <w:t>集气罩收集</w:t>
                  </w:r>
                  <w:r>
                    <w:rPr>
                      <w:rFonts w:hint="default" w:ascii="Times New Roman" w:hAnsi="Times New Roman" w:eastAsia="宋体" w:cs="Times New Roman"/>
                      <w:color w:val="auto"/>
                      <w:sz w:val="21"/>
                      <w:lang w:val="en-US" w:eastAsia="zh-CN"/>
                    </w:rPr>
                    <w:t>+</w:t>
                  </w:r>
                  <w:r>
                    <w:rPr>
                      <w:rFonts w:hint="eastAsia" w:cs="Times New Roman"/>
                      <w:color w:val="auto"/>
                      <w:sz w:val="21"/>
                      <w:lang w:val="en-US" w:eastAsia="zh-CN"/>
                    </w:rPr>
                    <w:t>集中式滤筒除尘器</w:t>
                  </w:r>
                  <w:r>
                    <w:rPr>
                      <w:rFonts w:hint="default" w:ascii="Times New Roman" w:hAnsi="Times New Roman" w:eastAsia="宋体" w:cs="Times New Roman"/>
                      <w:color w:val="auto"/>
                      <w:sz w:val="21"/>
                      <w:lang w:val="en-US" w:eastAsia="zh-CN"/>
                    </w:rPr>
                    <w:t>”</w:t>
                  </w:r>
                  <w:r>
                    <w:rPr>
                      <w:rFonts w:hint="default" w:ascii="Times New Roman" w:hAnsi="Times New Roman" w:eastAsia="宋体" w:cs="Times New Roman"/>
                      <w:color w:val="auto"/>
                      <w:sz w:val="21"/>
                    </w:rPr>
                    <w:t>处理后经15m排气筒外排。</w:t>
                  </w:r>
                </w:p>
              </w:tc>
            </w:tr>
            <w:tr w14:paraId="3EF78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tcPr>
                <w:p w14:paraId="00687D87">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0"/>
                    </w:rPr>
                  </w:pPr>
                </w:p>
              </w:tc>
              <w:tc>
                <w:tcPr>
                  <w:tcW w:w="304" w:type="pct"/>
                  <w:vMerge w:val="continue"/>
                  <w:vAlign w:val="center"/>
                </w:tcPr>
                <w:p w14:paraId="66CADC95">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right="93"/>
                    <w:jc w:val="center"/>
                    <w:textAlignment w:val="auto"/>
                    <w:rPr>
                      <w:rFonts w:hint="default" w:ascii="Times New Roman" w:hAnsi="Times New Roman" w:eastAsia="宋体" w:cs="Times New Roman"/>
                      <w:color w:val="auto"/>
                      <w:sz w:val="21"/>
                    </w:rPr>
                  </w:pPr>
                </w:p>
              </w:tc>
              <w:tc>
                <w:tcPr>
                  <w:tcW w:w="747" w:type="pct"/>
                  <w:vAlign w:val="center"/>
                </w:tcPr>
                <w:p w14:paraId="3DEF0022">
                  <w:pPr>
                    <w:pStyle w:val="41"/>
                    <w:keepNext w:val="0"/>
                    <w:keepLines w:val="0"/>
                    <w:pageBreakBefore w:val="0"/>
                    <w:widowControl w:val="0"/>
                    <w:suppressLineNumbers w:val="0"/>
                    <w:kinsoku/>
                    <w:wordWrap/>
                    <w:overflowPunct/>
                    <w:topLinePunct w:val="0"/>
                    <w:autoSpaceDE/>
                    <w:autoSpaceDN/>
                    <w:bidi w:val="0"/>
                    <w:adjustRightInd/>
                    <w:snapToGrid/>
                    <w:spacing w:before="21" w:beforeAutospacing="0" w:after="0" w:afterAutospacing="0" w:line="240" w:lineRule="auto"/>
                    <w:ind w:left="109" w:right="93"/>
                    <w:jc w:val="center"/>
                    <w:textAlignment w:val="auto"/>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2套布袋除尘装置</w:t>
                  </w:r>
                </w:p>
              </w:tc>
              <w:tc>
                <w:tcPr>
                  <w:tcW w:w="3606" w:type="pct"/>
                  <w:vAlign w:val="center"/>
                </w:tcPr>
                <w:p w14:paraId="22361E4A">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val="en-US" w:eastAsia="zh-CN"/>
                    </w:rPr>
                  </w:pPr>
                  <w:r>
                    <w:rPr>
                      <w:rFonts w:hint="eastAsia" w:cs="Times New Roman"/>
                      <w:color w:val="auto"/>
                      <w:sz w:val="21"/>
                      <w:lang w:eastAsia="zh-CN"/>
                    </w:rPr>
                    <w:t>乳胶漆生产线、砂壁生产线投料粉尘分别采用</w:t>
                  </w:r>
                  <w:r>
                    <w:rPr>
                      <w:rFonts w:hint="eastAsia" w:cs="Times New Roman"/>
                      <w:color w:val="auto"/>
                      <w:sz w:val="21"/>
                      <w:lang w:val="en-US" w:eastAsia="zh-CN"/>
                    </w:rPr>
                    <w:t>1套布袋除尘器除尘后，无组织排放。</w:t>
                  </w:r>
                </w:p>
              </w:tc>
            </w:tr>
            <w:tr w14:paraId="1EC40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tcPr>
                <w:p w14:paraId="24EE8C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
                      <w:szCs w:val="2"/>
                    </w:rPr>
                  </w:pPr>
                </w:p>
              </w:tc>
              <w:tc>
                <w:tcPr>
                  <w:tcW w:w="304" w:type="pct"/>
                  <w:vAlign w:val="center"/>
                </w:tcPr>
                <w:p w14:paraId="47BB6AE2">
                  <w:pPr>
                    <w:pStyle w:val="41"/>
                    <w:keepNext w:val="0"/>
                    <w:keepLines w:val="0"/>
                    <w:pageBreakBefore w:val="0"/>
                    <w:widowControl w:val="0"/>
                    <w:suppressLineNumbers w:val="0"/>
                    <w:kinsoku/>
                    <w:wordWrap/>
                    <w:overflowPunct/>
                    <w:topLinePunct w:val="0"/>
                    <w:autoSpaceDE/>
                    <w:autoSpaceDN/>
                    <w:bidi w:val="0"/>
                    <w:adjustRightInd/>
                    <w:snapToGrid/>
                    <w:spacing w:before="20" w:beforeAutospacing="0" w:after="0" w:afterAutospacing="0" w:line="240" w:lineRule="auto"/>
                    <w:ind w:left="109" w:right="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固废</w:t>
                  </w:r>
                </w:p>
              </w:tc>
              <w:tc>
                <w:tcPr>
                  <w:tcW w:w="747" w:type="pct"/>
                  <w:vAlign w:val="center"/>
                </w:tcPr>
                <w:p w14:paraId="54BA92DD">
                  <w:pPr>
                    <w:pStyle w:val="41"/>
                    <w:keepNext w:val="0"/>
                    <w:keepLines w:val="0"/>
                    <w:pageBreakBefore w:val="0"/>
                    <w:widowControl w:val="0"/>
                    <w:suppressLineNumbers w:val="0"/>
                    <w:kinsoku/>
                    <w:wordWrap/>
                    <w:overflowPunct/>
                    <w:topLinePunct w:val="0"/>
                    <w:autoSpaceDE/>
                    <w:autoSpaceDN/>
                    <w:bidi w:val="0"/>
                    <w:adjustRightInd/>
                    <w:snapToGrid/>
                    <w:spacing w:before="20" w:beforeAutospacing="0" w:after="0" w:afterAutospacing="0" w:line="240" w:lineRule="auto"/>
                    <w:ind w:left="109" w:right="0"/>
                    <w:jc w:val="center"/>
                    <w:textAlignment w:val="auto"/>
                    <w:rPr>
                      <w:rFonts w:hint="default" w:ascii="Times New Roman" w:hAnsi="Times New Roman" w:eastAsia="宋体" w:cs="Times New Roman"/>
                      <w:color w:val="auto"/>
                      <w:sz w:val="21"/>
                      <w:lang w:eastAsia="zh-CN"/>
                    </w:rPr>
                  </w:pPr>
                  <w:r>
                    <w:rPr>
                      <w:rFonts w:hint="eastAsia"/>
                      <w:color w:val="auto"/>
                      <w:sz w:val="21"/>
                      <w:lang w:val="en-US" w:eastAsia="zh-CN"/>
                    </w:rPr>
                    <w:t>一般</w:t>
                  </w:r>
                  <w:r>
                    <w:rPr>
                      <w:rFonts w:hint="default"/>
                      <w:color w:val="auto"/>
                      <w:sz w:val="21"/>
                    </w:rPr>
                    <w:t>固废站</w:t>
                  </w:r>
                </w:p>
              </w:tc>
              <w:tc>
                <w:tcPr>
                  <w:tcW w:w="3606" w:type="pct"/>
                  <w:vAlign w:val="center"/>
                </w:tcPr>
                <w:p w14:paraId="6547BE04">
                  <w:pPr>
                    <w:pStyle w:val="41"/>
                    <w:keepNext w:val="0"/>
                    <w:keepLines w:val="0"/>
                    <w:suppressLineNumbers w:val="0"/>
                    <w:spacing w:before="20" w:beforeAutospacing="0" w:after="0" w:afterAutospacing="0"/>
                    <w:ind w:left="105" w:right="0"/>
                    <w:jc w:val="center"/>
                    <w:rPr>
                      <w:rFonts w:hint="eastAsia" w:ascii="Times New Roman" w:hAnsi="Times New Roman" w:eastAsia="宋体" w:cs="Times New Roman"/>
                      <w:color w:val="auto"/>
                      <w:sz w:val="21"/>
                      <w:lang w:eastAsia="zh-CN"/>
                    </w:rPr>
                  </w:pPr>
                  <w:r>
                    <w:rPr>
                      <w:rFonts w:hint="eastAsia" w:eastAsia="宋体"/>
                      <w:color w:val="auto"/>
                      <w:sz w:val="21"/>
                      <w:lang w:val="en-US" w:eastAsia="zh-CN"/>
                    </w:rPr>
                    <w:t>建成</w:t>
                  </w:r>
                  <w:r>
                    <w:rPr>
                      <w:rFonts w:hint="default" w:ascii="Times New Roman" w:eastAsia="Times New Roman"/>
                      <w:color w:val="auto"/>
                      <w:sz w:val="21"/>
                    </w:rPr>
                    <w:t>135m</w:t>
                  </w:r>
                  <w:r>
                    <w:rPr>
                      <w:rFonts w:hint="default" w:ascii="Times New Roman" w:eastAsia="Times New Roman"/>
                      <w:color w:val="auto"/>
                      <w:position w:val="7"/>
                      <w:sz w:val="13"/>
                    </w:rPr>
                    <w:t xml:space="preserve">2 </w:t>
                  </w:r>
                  <w:r>
                    <w:rPr>
                      <w:rFonts w:hint="default"/>
                      <w:color w:val="auto"/>
                      <w:sz w:val="21"/>
                    </w:rPr>
                    <w:t>固废站，独立彩钢板厂房，主要贮存生产中包装废弃物</w:t>
                  </w:r>
                  <w:r>
                    <w:rPr>
                      <w:rFonts w:hint="eastAsia"/>
                      <w:color w:val="auto"/>
                      <w:sz w:val="21"/>
                      <w:lang w:eastAsia="zh-CN"/>
                    </w:rPr>
                    <w:t>等一般固体废物。</w:t>
                  </w:r>
                </w:p>
              </w:tc>
            </w:tr>
            <w:tr w14:paraId="0190F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1" w:type="pct"/>
                  <w:vMerge w:val="continue"/>
                </w:tcPr>
                <w:p w14:paraId="4C9790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
                      <w:szCs w:val="2"/>
                    </w:rPr>
                  </w:pPr>
                </w:p>
              </w:tc>
              <w:tc>
                <w:tcPr>
                  <w:tcW w:w="304" w:type="pct"/>
                  <w:vAlign w:val="center"/>
                </w:tcPr>
                <w:p w14:paraId="74D24520">
                  <w:pPr>
                    <w:pStyle w:val="41"/>
                    <w:keepNext w:val="0"/>
                    <w:keepLines w:val="0"/>
                    <w:pageBreakBefore w:val="0"/>
                    <w:widowControl w:val="0"/>
                    <w:suppressLineNumbers w:val="0"/>
                    <w:kinsoku/>
                    <w:wordWrap/>
                    <w:overflowPunct/>
                    <w:topLinePunct w:val="0"/>
                    <w:autoSpaceDE/>
                    <w:autoSpaceDN/>
                    <w:bidi w:val="0"/>
                    <w:adjustRightInd/>
                    <w:snapToGrid/>
                    <w:spacing w:before="20" w:beforeAutospacing="0" w:after="0" w:afterAutospacing="0" w:line="240" w:lineRule="auto"/>
                    <w:ind w:left="109" w:right="0"/>
                    <w:jc w:val="center"/>
                    <w:textAlignment w:val="auto"/>
                    <w:rPr>
                      <w:rFonts w:hint="eastAsia" w:ascii="Times New Roman" w:hAnsi="Times New Roman" w:eastAsia="宋体" w:cs="Times New Roman"/>
                      <w:color w:val="auto"/>
                      <w:sz w:val="21"/>
                      <w:lang w:eastAsia="zh-CN"/>
                    </w:rPr>
                  </w:pPr>
                  <w:r>
                    <w:rPr>
                      <w:rFonts w:hint="eastAsia" w:ascii="Times New Roman" w:hAnsi="Times New Roman" w:eastAsia="宋体" w:cs="Times New Roman"/>
                      <w:color w:val="auto"/>
                      <w:sz w:val="21"/>
                      <w:lang w:eastAsia="zh-CN"/>
                    </w:rPr>
                    <w:t>噪声</w:t>
                  </w:r>
                </w:p>
              </w:tc>
              <w:tc>
                <w:tcPr>
                  <w:tcW w:w="4354" w:type="pct"/>
                  <w:gridSpan w:val="2"/>
                  <w:vAlign w:val="center"/>
                </w:tcPr>
                <w:p w14:paraId="3373D34B">
                  <w:pPr>
                    <w:pStyle w:val="41"/>
                    <w:keepNext w:val="0"/>
                    <w:keepLines w:val="0"/>
                    <w:suppressLineNumbers w:val="0"/>
                    <w:spacing w:before="21" w:beforeAutospacing="0" w:after="0" w:afterAutospacing="0" w:line="240" w:lineRule="auto"/>
                    <w:ind w:left="105" w:right="95"/>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aps w:val="0"/>
                      <w:color w:val="auto"/>
                      <w:spacing w:val="0"/>
                      <w:position w:val="0"/>
                      <w:sz w:val="21"/>
                      <w:szCs w:val="21"/>
                      <w:highlight w:val="none"/>
                      <w:lang w:eastAsia="zh-CN"/>
                    </w:rPr>
                    <w:t>选用低噪声设备</w:t>
                  </w:r>
                  <w:r>
                    <w:rPr>
                      <w:rFonts w:hint="eastAsia" w:cs="Times New Roman"/>
                      <w:caps w:val="0"/>
                      <w:color w:val="auto"/>
                      <w:spacing w:val="0"/>
                      <w:position w:val="0"/>
                      <w:sz w:val="21"/>
                      <w:szCs w:val="21"/>
                      <w:highlight w:val="none"/>
                      <w:lang w:eastAsia="zh-CN"/>
                    </w:rPr>
                    <w:t>、</w:t>
                  </w:r>
                  <w:r>
                    <w:rPr>
                      <w:rFonts w:hint="default" w:ascii="Times New Roman" w:hAnsi="Times New Roman" w:eastAsia="宋体" w:cs="Times New Roman"/>
                      <w:color w:val="auto"/>
                      <w:sz w:val="21"/>
                      <w:lang w:val="en-US" w:eastAsia="zh-CN"/>
                    </w:rPr>
                    <w:t>合理布局、厂房隔声</w:t>
                  </w:r>
                </w:p>
              </w:tc>
            </w:tr>
          </w:tbl>
          <w:p w14:paraId="45745465">
            <w:pPr>
              <w:pStyle w:val="88"/>
              <w:keepNext w:val="0"/>
              <w:keepLines w:val="0"/>
              <w:suppressLineNumbers w:val="0"/>
              <w:spacing w:before="0" w:beforeAutospacing="0" w:after="0" w:afterAutospacing="0"/>
              <w:ind w:left="0" w:right="0" w:firstLine="482"/>
              <w:rPr>
                <w:rFonts w:hint="default"/>
                <w:b/>
                <w:color w:val="auto"/>
              </w:rPr>
            </w:pPr>
            <w:r>
              <w:rPr>
                <w:rFonts w:hint="default"/>
                <w:b/>
                <w:color w:val="auto"/>
              </w:rPr>
              <w:t>3、</w:t>
            </w:r>
            <w:r>
              <w:rPr>
                <w:rFonts w:hint="eastAsia"/>
                <w:b/>
                <w:color w:val="auto"/>
                <w:lang w:eastAsia="zh-CN"/>
              </w:rPr>
              <w:t>原项目</w:t>
            </w:r>
            <w:r>
              <w:rPr>
                <w:rFonts w:hint="default"/>
                <w:b/>
                <w:color w:val="auto"/>
              </w:rPr>
              <w:t>产品规模</w:t>
            </w:r>
          </w:p>
          <w:p w14:paraId="23D0C75A">
            <w:pPr>
              <w:pStyle w:val="87"/>
              <w:keepNext w:val="0"/>
              <w:keepLines w:val="0"/>
              <w:suppressLineNumbers w:val="0"/>
              <w:spacing w:before="0" w:beforeAutospacing="0" w:after="0" w:afterAutospacing="0"/>
              <w:ind w:left="0" w:right="0" w:firstLine="480"/>
              <w:rPr>
                <w:rFonts w:hint="default"/>
                <w:color w:val="auto"/>
              </w:rPr>
            </w:pPr>
            <w:r>
              <w:rPr>
                <w:rFonts w:hint="default"/>
                <w:color w:val="auto"/>
                <w:spacing w:val="-8"/>
              </w:rPr>
              <w:t>产品及生产规模：设计生产的产品为水性涂料系列和腻子粉系列，设计产品</w:t>
            </w:r>
            <w:r>
              <w:rPr>
                <w:rFonts w:hint="default"/>
                <w:color w:val="auto"/>
                <w:spacing w:val="-14"/>
              </w:rPr>
              <w:t xml:space="preserve">为：水性涂料系列 </w:t>
            </w:r>
            <w:r>
              <w:rPr>
                <w:rFonts w:hint="default" w:ascii="Times New Roman" w:eastAsia="Times New Roman"/>
                <w:color w:val="auto"/>
              </w:rPr>
              <w:t>80000t/</w:t>
            </w:r>
            <w:r>
              <w:rPr>
                <w:rFonts w:hint="default" w:ascii="Times New Roman" w:eastAsia="Times New Roman"/>
                <w:color w:val="auto"/>
                <w:spacing w:val="-1"/>
              </w:rPr>
              <w:t>a</w:t>
            </w:r>
            <w:r>
              <w:rPr>
                <w:rFonts w:hint="default"/>
                <w:color w:val="auto"/>
              </w:rPr>
              <w:t>（</w:t>
            </w:r>
            <w:r>
              <w:rPr>
                <w:rFonts w:hint="eastAsia"/>
                <w:color w:val="auto"/>
                <w:lang w:eastAsia="zh-CN"/>
              </w:rPr>
              <w:t>砂壁</w:t>
            </w:r>
            <w:r>
              <w:rPr>
                <w:rFonts w:hint="eastAsia"/>
                <w:color w:val="auto"/>
                <w:lang w:val="en-US" w:eastAsia="zh-CN"/>
              </w:rPr>
              <w:t>20000吨，乳胶漆60000吨</w:t>
            </w:r>
            <w:r>
              <w:rPr>
                <w:rFonts w:hint="eastAsia"/>
                <w:color w:val="auto"/>
                <w:lang w:eastAsia="zh-CN"/>
              </w:rPr>
              <w:t>），</w:t>
            </w:r>
            <w:r>
              <w:rPr>
                <w:rFonts w:hint="default"/>
                <w:color w:val="auto"/>
                <w:spacing w:val="-9"/>
              </w:rPr>
              <w:t xml:space="preserve">腻子粉系列 </w:t>
            </w:r>
            <w:r>
              <w:rPr>
                <w:rFonts w:hint="default" w:ascii="Times New Roman" w:eastAsia="Times New Roman"/>
                <w:color w:val="auto"/>
              </w:rPr>
              <w:t>18500t/</w:t>
            </w:r>
            <w:r>
              <w:rPr>
                <w:rFonts w:hint="default" w:ascii="Times New Roman" w:eastAsia="Times New Roman"/>
                <w:color w:val="auto"/>
                <w:spacing w:val="-1"/>
              </w:rPr>
              <w:t>a</w:t>
            </w:r>
            <w:r>
              <w:rPr>
                <w:rFonts w:hint="default"/>
                <w:color w:val="auto"/>
                <w:spacing w:val="-14"/>
              </w:rPr>
              <w:t>。</w:t>
            </w:r>
          </w:p>
          <w:p w14:paraId="3BCBA9F2">
            <w:pPr>
              <w:keepNext w:val="0"/>
              <w:keepLines w:val="0"/>
              <w:suppressLineNumbers w:val="0"/>
              <w:spacing w:before="0" w:beforeAutospacing="0" w:after="0" w:afterAutospacing="0"/>
              <w:ind w:left="0" w:right="0"/>
              <w:jc w:val="center"/>
              <w:rPr>
                <w:rFonts w:hint="default"/>
                <w:b/>
                <w:color w:val="auto"/>
                <w:szCs w:val="21"/>
              </w:rPr>
            </w:pPr>
            <w:r>
              <w:rPr>
                <w:rFonts w:hint="default"/>
                <w:b/>
                <w:color w:val="auto"/>
                <w:szCs w:val="21"/>
              </w:rPr>
              <w:t>表2-</w:t>
            </w:r>
            <w:r>
              <w:rPr>
                <w:rFonts w:hint="eastAsia"/>
                <w:b/>
                <w:color w:val="auto"/>
                <w:szCs w:val="21"/>
                <w:lang w:val="en-US" w:eastAsia="zh-CN"/>
              </w:rPr>
              <w:t>17</w:t>
            </w:r>
            <w:r>
              <w:rPr>
                <w:rFonts w:hint="default"/>
                <w:b/>
                <w:color w:val="auto"/>
                <w:szCs w:val="21"/>
              </w:rPr>
              <w:t xml:space="preserve"> 水提车间原材料及产品方案</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43"/>
              <w:gridCol w:w="1324"/>
              <w:gridCol w:w="1966"/>
              <w:gridCol w:w="2660"/>
              <w:gridCol w:w="1582"/>
            </w:tblGrid>
            <w:tr w14:paraId="64B96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03" w:type="pct"/>
                  <w:vAlign w:val="center"/>
                </w:tcPr>
                <w:p w14:paraId="11BF8942">
                  <w:pPr>
                    <w:pStyle w:val="41"/>
                    <w:keepNext w:val="0"/>
                    <w:keepLines w:val="0"/>
                    <w:suppressLineNumbers w:val="0"/>
                    <w:spacing w:before="18" w:beforeAutospacing="0" w:after="0" w:afterAutospacing="0"/>
                    <w:ind w:left="178" w:right="169"/>
                    <w:jc w:val="center"/>
                    <w:rPr>
                      <w:rFonts w:hint="default"/>
                      <w:b/>
                      <w:bCs/>
                      <w:color w:val="auto"/>
                      <w:sz w:val="21"/>
                    </w:rPr>
                  </w:pPr>
                  <w:r>
                    <w:rPr>
                      <w:rFonts w:hint="default"/>
                      <w:b/>
                      <w:bCs/>
                      <w:color w:val="auto"/>
                      <w:sz w:val="21"/>
                    </w:rPr>
                    <w:t>序号</w:t>
                  </w:r>
                </w:p>
              </w:tc>
              <w:tc>
                <w:tcPr>
                  <w:tcW w:w="1963" w:type="pct"/>
                  <w:gridSpan w:val="2"/>
                  <w:vAlign w:val="center"/>
                </w:tcPr>
                <w:p w14:paraId="585662C8">
                  <w:pPr>
                    <w:pStyle w:val="41"/>
                    <w:keepNext w:val="0"/>
                    <w:keepLines w:val="0"/>
                    <w:suppressLineNumbers w:val="0"/>
                    <w:spacing w:before="18" w:beforeAutospacing="0" w:after="0" w:afterAutospacing="0"/>
                    <w:ind w:left="1305" w:right="1296"/>
                    <w:jc w:val="center"/>
                    <w:rPr>
                      <w:rFonts w:hint="default"/>
                      <w:b/>
                      <w:bCs/>
                      <w:color w:val="auto"/>
                      <w:sz w:val="21"/>
                    </w:rPr>
                  </w:pPr>
                  <w:r>
                    <w:rPr>
                      <w:rFonts w:hint="default"/>
                      <w:b/>
                      <w:bCs/>
                      <w:color w:val="auto"/>
                      <w:sz w:val="21"/>
                    </w:rPr>
                    <w:t>名称</w:t>
                  </w:r>
                </w:p>
              </w:tc>
              <w:tc>
                <w:tcPr>
                  <w:tcW w:w="1587" w:type="pct"/>
                  <w:vAlign w:val="center"/>
                </w:tcPr>
                <w:p w14:paraId="257B7B16">
                  <w:pPr>
                    <w:pStyle w:val="41"/>
                    <w:keepNext w:val="0"/>
                    <w:keepLines w:val="0"/>
                    <w:suppressLineNumbers w:val="0"/>
                    <w:spacing w:before="18" w:beforeAutospacing="0" w:after="0" w:afterAutospacing="0"/>
                    <w:ind w:left="715" w:right="705"/>
                    <w:jc w:val="center"/>
                    <w:rPr>
                      <w:rFonts w:hint="default"/>
                      <w:b/>
                      <w:bCs/>
                      <w:color w:val="auto"/>
                      <w:sz w:val="21"/>
                    </w:rPr>
                  </w:pPr>
                  <w:r>
                    <w:rPr>
                      <w:rFonts w:hint="default"/>
                      <w:b/>
                      <w:bCs/>
                      <w:color w:val="auto"/>
                      <w:sz w:val="21"/>
                    </w:rPr>
                    <w:t>数量（吨）</w:t>
                  </w:r>
                </w:p>
              </w:tc>
              <w:tc>
                <w:tcPr>
                  <w:tcW w:w="944" w:type="pct"/>
                  <w:vAlign w:val="center"/>
                </w:tcPr>
                <w:p w14:paraId="2F68801A">
                  <w:pPr>
                    <w:pStyle w:val="41"/>
                    <w:keepNext w:val="0"/>
                    <w:keepLines w:val="0"/>
                    <w:suppressLineNumbers w:val="0"/>
                    <w:spacing w:before="18" w:beforeAutospacing="0" w:after="0" w:afterAutospacing="0"/>
                    <w:ind w:left="46" w:right="34"/>
                    <w:jc w:val="center"/>
                    <w:rPr>
                      <w:rFonts w:hint="default"/>
                      <w:b/>
                      <w:bCs/>
                      <w:color w:val="auto"/>
                      <w:sz w:val="21"/>
                    </w:rPr>
                  </w:pPr>
                  <w:r>
                    <w:rPr>
                      <w:rFonts w:hint="default"/>
                      <w:b/>
                      <w:bCs/>
                      <w:color w:val="auto"/>
                      <w:sz w:val="21"/>
                    </w:rPr>
                    <w:t>备注</w:t>
                  </w:r>
                </w:p>
              </w:tc>
            </w:tr>
            <w:tr w14:paraId="70438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03" w:type="pct"/>
                  <w:vMerge w:val="restart"/>
                  <w:vAlign w:val="center"/>
                </w:tcPr>
                <w:p w14:paraId="4C95D455">
                  <w:pPr>
                    <w:pStyle w:val="41"/>
                    <w:keepNext w:val="0"/>
                    <w:keepLines w:val="0"/>
                    <w:suppressLineNumbers w:val="0"/>
                    <w:spacing w:before="23" w:beforeAutospacing="0" w:after="0" w:afterAutospacing="0"/>
                    <w:ind w:left="9" w:right="0"/>
                    <w:jc w:val="center"/>
                    <w:rPr>
                      <w:rFonts w:hint="default"/>
                      <w:color w:val="auto"/>
                      <w:sz w:val="21"/>
                    </w:rPr>
                  </w:pPr>
                  <w:r>
                    <w:rPr>
                      <w:rFonts w:hint="default"/>
                      <w:color w:val="auto"/>
                      <w:w w:val="100"/>
                      <w:sz w:val="21"/>
                    </w:rPr>
                    <w:t>1</w:t>
                  </w:r>
                </w:p>
              </w:tc>
              <w:tc>
                <w:tcPr>
                  <w:tcW w:w="790" w:type="pct"/>
                  <w:vMerge w:val="restart"/>
                  <w:vAlign w:val="center"/>
                </w:tcPr>
                <w:p w14:paraId="45FACEAF">
                  <w:pPr>
                    <w:pStyle w:val="41"/>
                    <w:keepNext w:val="0"/>
                    <w:keepLines w:val="0"/>
                    <w:suppressLineNumbers w:val="0"/>
                    <w:spacing w:before="23" w:beforeAutospacing="0" w:after="0" w:afterAutospacing="0"/>
                    <w:ind w:left="196" w:right="0"/>
                    <w:jc w:val="center"/>
                    <w:rPr>
                      <w:rFonts w:hint="default"/>
                      <w:color w:val="auto"/>
                      <w:sz w:val="21"/>
                    </w:rPr>
                  </w:pPr>
                  <w:r>
                    <w:rPr>
                      <w:rFonts w:hint="default"/>
                      <w:color w:val="auto"/>
                      <w:sz w:val="21"/>
                    </w:rPr>
                    <w:t>水性涂料</w:t>
                  </w:r>
                </w:p>
              </w:tc>
              <w:tc>
                <w:tcPr>
                  <w:tcW w:w="1173" w:type="pct"/>
                  <w:vAlign w:val="center"/>
                </w:tcPr>
                <w:p w14:paraId="16AADBB2">
                  <w:pPr>
                    <w:pStyle w:val="41"/>
                    <w:keepNext w:val="0"/>
                    <w:keepLines w:val="0"/>
                    <w:suppressLineNumbers w:val="0"/>
                    <w:spacing w:before="23" w:beforeAutospacing="0" w:after="0" w:afterAutospacing="0" w:line="269" w:lineRule="exact"/>
                    <w:ind w:left="371" w:right="364"/>
                    <w:jc w:val="center"/>
                    <w:rPr>
                      <w:rFonts w:hint="default"/>
                      <w:color w:val="auto"/>
                      <w:sz w:val="21"/>
                    </w:rPr>
                  </w:pPr>
                  <w:r>
                    <w:rPr>
                      <w:rFonts w:hint="default"/>
                      <w:color w:val="auto"/>
                      <w:sz w:val="21"/>
                    </w:rPr>
                    <w:t>水性乳胶漆</w:t>
                  </w:r>
                </w:p>
              </w:tc>
              <w:tc>
                <w:tcPr>
                  <w:tcW w:w="1587" w:type="pct"/>
                  <w:vAlign w:val="center"/>
                </w:tcPr>
                <w:p w14:paraId="08A04407">
                  <w:pPr>
                    <w:pStyle w:val="41"/>
                    <w:keepNext w:val="0"/>
                    <w:keepLines w:val="0"/>
                    <w:suppressLineNumbers w:val="0"/>
                    <w:spacing w:before="23" w:beforeAutospacing="0" w:after="0" w:afterAutospacing="0" w:line="269" w:lineRule="exact"/>
                    <w:ind w:left="715" w:right="700"/>
                    <w:jc w:val="center"/>
                    <w:rPr>
                      <w:rFonts w:hint="default"/>
                      <w:color w:val="auto"/>
                      <w:sz w:val="21"/>
                    </w:rPr>
                  </w:pPr>
                  <w:r>
                    <w:rPr>
                      <w:rFonts w:hint="default"/>
                      <w:color w:val="auto"/>
                      <w:sz w:val="21"/>
                    </w:rPr>
                    <w:t>60000</w:t>
                  </w:r>
                </w:p>
              </w:tc>
              <w:tc>
                <w:tcPr>
                  <w:tcW w:w="944" w:type="pct"/>
                  <w:vAlign w:val="center"/>
                </w:tcPr>
                <w:p w14:paraId="60635377">
                  <w:pPr>
                    <w:pStyle w:val="41"/>
                    <w:keepNext w:val="0"/>
                    <w:keepLines w:val="0"/>
                    <w:suppressLineNumbers w:val="0"/>
                    <w:spacing w:before="23" w:beforeAutospacing="0" w:after="0" w:afterAutospacing="0" w:line="269" w:lineRule="exact"/>
                    <w:ind w:left="42" w:right="34"/>
                    <w:jc w:val="center"/>
                    <w:rPr>
                      <w:rFonts w:hint="default"/>
                      <w:color w:val="auto"/>
                      <w:sz w:val="21"/>
                    </w:rPr>
                  </w:pPr>
                  <w:r>
                    <w:rPr>
                      <w:rFonts w:hint="default"/>
                      <w:color w:val="auto"/>
                      <w:sz w:val="21"/>
                    </w:rPr>
                    <w:t>白色系</w:t>
                  </w:r>
                </w:p>
              </w:tc>
            </w:tr>
            <w:tr w14:paraId="40D47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03" w:type="pct"/>
                  <w:vMerge w:val="continue"/>
                  <w:tcBorders>
                    <w:top w:val="nil"/>
                  </w:tcBorders>
                  <w:vAlign w:val="center"/>
                </w:tcPr>
                <w:p w14:paraId="4C535A1D">
                  <w:pPr>
                    <w:keepNext w:val="0"/>
                    <w:keepLines w:val="0"/>
                    <w:suppressLineNumbers w:val="0"/>
                    <w:spacing w:before="0" w:beforeAutospacing="0" w:after="0" w:afterAutospacing="0"/>
                    <w:ind w:left="0" w:right="0"/>
                    <w:jc w:val="center"/>
                    <w:rPr>
                      <w:rFonts w:hint="default"/>
                      <w:color w:val="auto"/>
                      <w:sz w:val="2"/>
                      <w:szCs w:val="2"/>
                    </w:rPr>
                  </w:pPr>
                </w:p>
              </w:tc>
              <w:tc>
                <w:tcPr>
                  <w:tcW w:w="790" w:type="pct"/>
                  <w:vMerge w:val="continue"/>
                  <w:tcBorders>
                    <w:top w:val="nil"/>
                  </w:tcBorders>
                  <w:vAlign w:val="center"/>
                </w:tcPr>
                <w:p w14:paraId="7EB86F03">
                  <w:pPr>
                    <w:keepNext w:val="0"/>
                    <w:keepLines w:val="0"/>
                    <w:suppressLineNumbers w:val="0"/>
                    <w:spacing w:before="0" w:beforeAutospacing="0" w:after="0" w:afterAutospacing="0"/>
                    <w:ind w:left="0" w:right="0"/>
                    <w:jc w:val="center"/>
                    <w:rPr>
                      <w:rFonts w:hint="default"/>
                      <w:color w:val="auto"/>
                      <w:sz w:val="2"/>
                      <w:szCs w:val="2"/>
                    </w:rPr>
                  </w:pPr>
                </w:p>
              </w:tc>
              <w:tc>
                <w:tcPr>
                  <w:tcW w:w="1173" w:type="pct"/>
                  <w:vAlign w:val="center"/>
                </w:tcPr>
                <w:p w14:paraId="750DFAC9">
                  <w:pPr>
                    <w:pStyle w:val="41"/>
                    <w:keepNext w:val="0"/>
                    <w:keepLines w:val="0"/>
                    <w:suppressLineNumbers w:val="0"/>
                    <w:spacing w:before="23" w:beforeAutospacing="0" w:after="0" w:afterAutospacing="0"/>
                    <w:ind w:left="371" w:right="360"/>
                    <w:jc w:val="center"/>
                    <w:rPr>
                      <w:rFonts w:hint="default"/>
                      <w:color w:val="auto"/>
                      <w:sz w:val="21"/>
                    </w:rPr>
                  </w:pPr>
                  <w:r>
                    <w:rPr>
                      <w:rFonts w:hint="default"/>
                      <w:color w:val="auto"/>
                      <w:sz w:val="21"/>
                    </w:rPr>
                    <w:t>砂壁</w:t>
                  </w:r>
                </w:p>
              </w:tc>
              <w:tc>
                <w:tcPr>
                  <w:tcW w:w="1587" w:type="pct"/>
                  <w:vAlign w:val="center"/>
                </w:tcPr>
                <w:p w14:paraId="75BDFAE4">
                  <w:pPr>
                    <w:pStyle w:val="41"/>
                    <w:keepNext w:val="0"/>
                    <w:keepLines w:val="0"/>
                    <w:suppressLineNumbers w:val="0"/>
                    <w:spacing w:before="23" w:beforeAutospacing="0" w:after="0" w:afterAutospacing="0"/>
                    <w:ind w:left="715" w:right="700"/>
                    <w:jc w:val="center"/>
                    <w:rPr>
                      <w:rFonts w:hint="default"/>
                      <w:color w:val="auto"/>
                      <w:sz w:val="21"/>
                    </w:rPr>
                  </w:pPr>
                  <w:r>
                    <w:rPr>
                      <w:rFonts w:hint="default"/>
                      <w:color w:val="auto"/>
                      <w:sz w:val="21"/>
                    </w:rPr>
                    <w:t>20000</w:t>
                  </w:r>
                </w:p>
              </w:tc>
              <w:tc>
                <w:tcPr>
                  <w:tcW w:w="944" w:type="pct"/>
                  <w:vAlign w:val="center"/>
                </w:tcPr>
                <w:p w14:paraId="1849C3E2">
                  <w:pPr>
                    <w:pStyle w:val="41"/>
                    <w:keepNext w:val="0"/>
                    <w:keepLines w:val="0"/>
                    <w:suppressLineNumbers w:val="0"/>
                    <w:spacing w:before="23" w:beforeAutospacing="0" w:after="0" w:afterAutospacing="0"/>
                    <w:ind w:left="42" w:right="34"/>
                    <w:jc w:val="center"/>
                    <w:rPr>
                      <w:rFonts w:hint="default"/>
                      <w:color w:val="auto"/>
                      <w:sz w:val="21"/>
                    </w:rPr>
                  </w:pPr>
                  <w:r>
                    <w:rPr>
                      <w:rFonts w:hint="default"/>
                      <w:color w:val="auto"/>
                      <w:sz w:val="21"/>
                    </w:rPr>
                    <w:t>黄、红、黑色系</w:t>
                  </w:r>
                </w:p>
              </w:tc>
            </w:tr>
            <w:tr w14:paraId="113369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03" w:type="pct"/>
                  <w:vAlign w:val="center"/>
                </w:tcPr>
                <w:p w14:paraId="5A881786">
                  <w:pPr>
                    <w:pStyle w:val="41"/>
                    <w:keepNext w:val="0"/>
                    <w:keepLines w:val="0"/>
                    <w:suppressLineNumbers w:val="0"/>
                    <w:spacing w:before="22" w:beforeAutospacing="0" w:after="0" w:afterAutospacing="0"/>
                    <w:ind w:left="9" w:right="0"/>
                    <w:jc w:val="center"/>
                    <w:rPr>
                      <w:rFonts w:hint="default"/>
                      <w:color w:val="auto"/>
                      <w:sz w:val="21"/>
                    </w:rPr>
                  </w:pPr>
                  <w:r>
                    <w:rPr>
                      <w:rFonts w:hint="default"/>
                      <w:color w:val="auto"/>
                      <w:w w:val="100"/>
                      <w:sz w:val="21"/>
                    </w:rPr>
                    <w:t>2</w:t>
                  </w:r>
                </w:p>
              </w:tc>
              <w:tc>
                <w:tcPr>
                  <w:tcW w:w="1963" w:type="pct"/>
                  <w:gridSpan w:val="2"/>
                  <w:vAlign w:val="center"/>
                </w:tcPr>
                <w:p w14:paraId="1861D670">
                  <w:pPr>
                    <w:pStyle w:val="41"/>
                    <w:keepNext w:val="0"/>
                    <w:keepLines w:val="0"/>
                    <w:suppressLineNumbers w:val="0"/>
                    <w:spacing w:before="22" w:beforeAutospacing="0" w:after="0" w:afterAutospacing="0"/>
                    <w:ind w:left="1007" w:right="0"/>
                    <w:jc w:val="center"/>
                    <w:rPr>
                      <w:rFonts w:hint="default"/>
                      <w:color w:val="auto"/>
                      <w:sz w:val="21"/>
                    </w:rPr>
                  </w:pPr>
                  <w:r>
                    <w:rPr>
                      <w:rFonts w:hint="default"/>
                      <w:color w:val="auto"/>
                      <w:sz w:val="21"/>
                    </w:rPr>
                    <w:t>腻子粉涂料</w:t>
                  </w:r>
                </w:p>
              </w:tc>
              <w:tc>
                <w:tcPr>
                  <w:tcW w:w="1587" w:type="pct"/>
                  <w:vAlign w:val="center"/>
                </w:tcPr>
                <w:p w14:paraId="2FE7A77A">
                  <w:pPr>
                    <w:pStyle w:val="41"/>
                    <w:keepNext w:val="0"/>
                    <w:keepLines w:val="0"/>
                    <w:suppressLineNumbers w:val="0"/>
                    <w:spacing w:before="22" w:beforeAutospacing="0" w:after="0" w:afterAutospacing="0"/>
                    <w:ind w:left="715" w:right="705"/>
                    <w:jc w:val="center"/>
                    <w:rPr>
                      <w:rFonts w:hint="default"/>
                      <w:color w:val="auto"/>
                      <w:sz w:val="21"/>
                    </w:rPr>
                  </w:pPr>
                  <w:r>
                    <w:rPr>
                      <w:rFonts w:hint="default"/>
                      <w:color w:val="auto"/>
                      <w:sz w:val="21"/>
                    </w:rPr>
                    <w:t>18500</w:t>
                  </w:r>
                </w:p>
              </w:tc>
              <w:tc>
                <w:tcPr>
                  <w:tcW w:w="944" w:type="pct"/>
                  <w:vAlign w:val="center"/>
                </w:tcPr>
                <w:p w14:paraId="5DDB29DC">
                  <w:pPr>
                    <w:pStyle w:val="41"/>
                    <w:keepNext w:val="0"/>
                    <w:keepLines w:val="0"/>
                    <w:suppressLineNumbers w:val="0"/>
                    <w:spacing w:before="22" w:beforeAutospacing="0" w:after="0" w:afterAutospacing="0"/>
                    <w:ind w:left="42" w:right="34"/>
                    <w:jc w:val="center"/>
                    <w:rPr>
                      <w:rFonts w:hint="default"/>
                      <w:color w:val="auto"/>
                      <w:sz w:val="21"/>
                    </w:rPr>
                  </w:pPr>
                  <w:r>
                    <w:rPr>
                      <w:rFonts w:hint="default"/>
                      <w:color w:val="auto"/>
                      <w:sz w:val="21"/>
                    </w:rPr>
                    <w:t>白色系</w:t>
                  </w:r>
                </w:p>
              </w:tc>
            </w:tr>
            <w:tr w14:paraId="42DE0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03" w:type="pct"/>
                  <w:vAlign w:val="center"/>
                </w:tcPr>
                <w:p w14:paraId="2E57E7E0">
                  <w:pPr>
                    <w:pStyle w:val="41"/>
                    <w:keepNext w:val="0"/>
                    <w:keepLines w:val="0"/>
                    <w:suppressLineNumbers w:val="0"/>
                    <w:spacing w:before="22" w:beforeAutospacing="0" w:after="0" w:afterAutospacing="0"/>
                    <w:ind w:left="9" w:right="0"/>
                    <w:jc w:val="center"/>
                    <w:rPr>
                      <w:rFonts w:hint="default"/>
                      <w:color w:val="auto"/>
                      <w:sz w:val="21"/>
                    </w:rPr>
                  </w:pPr>
                  <w:r>
                    <w:rPr>
                      <w:rFonts w:hint="default"/>
                      <w:color w:val="auto"/>
                      <w:w w:val="100"/>
                      <w:sz w:val="21"/>
                    </w:rPr>
                    <w:t>3</w:t>
                  </w:r>
                </w:p>
              </w:tc>
              <w:tc>
                <w:tcPr>
                  <w:tcW w:w="1963" w:type="pct"/>
                  <w:gridSpan w:val="2"/>
                  <w:vAlign w:val="center"/>
                </w:tcPr>
                <w:p w14:paraId="70FC0377">
                  <w:pPr>
                    <w:pStyle w:val="41"/>
                    <w:keepNext w:val="0"/>
                    <w:keepLines w:val="0"/>
                    <w:suppressLineNumbers w:val="0"/>
                    <w:spacing w:before="22" w:beforeAutospacing="0" w:after="0" w:afterAutospacing="0"/>
                    <w:ind w:left="1305" w:right="1296"/>
                    <w:jc w:val="center"/>
                    <w:rPr>
                      <w:rFonts w:hint="default"/>
                      <w:color w:val="auto"/>
                      <w:sz w:val="21"/>
                    </w:rPr>
                  </w:pPr>
                  <w:r>
                    <w:rPr>
                      <w:rFonts w:hint="default"/>
                      <w:color w:val="auto"/>
                      <w:sz w:val="21"/>
                    </w:rPr>
                    <w:t>总计</w:t>
                  </w:r>
                </w:p>
              </w:tc>
              <w:tc>
                <w:tcPr>
                  <w:tcW w:w="1587" w:type="pct"/>
                  <w:vAlign w:val="center"/>
                </w:tcPr>
                <w:p w14:paraId="55415C6D">
                  <w:pPr>
                    <w:pStyle w:val="41"/>
                    <w:keepNext w:val="0"/>
                    <w:keepLines w:val="0"/>
                    <w:suppressLineNumbers w:val="0"/>
                    <w:spacing w:before="22" w:beforeAutospacing="0" w:after="0" w:afterAutospacing="0"/>
                    <w:ind w:left="715" w:right="700"/>
                    <w:jc w:val="center"/>
                    <w:rPr>
                      <w:rFonts w:hint="default"/>
                      <w:color w:val="auto"/>
                      <w:sz w:val="21"/>
                    </w:rPr>
                  </w:pPr>
                  <w:r>
                    <w:rPr>
                      <w:rFonts w:hint="default"/>
                      <w:color w:val="auto"/>
                      <w:sz w:val="21"/>
                    </w:rPr>
                    <w:t>98500</w:t>
                  </w:r>
                </w:p>
              </w:tc>
              <w:tc>
                <w:tcPr>
                  <w:tcW w:w="944" w:type="pct"/>
                  <w:vAlign w:val="center"/>
                </w:tcPr>
                <w:p w14:paraId="24CEB451">
                  <w:pPr>
                    <w:pStyle w:val="41"/>
                    <w:keepNext w:val="0"/>
                    <w:keepLines w:val="0"/>
                    <w:suppressLineNumbers w:val="0"/>
                    <w:spacing w:before="0" w:beforeAutospacing="0" w:after="0" w:afterAutospacing="0"/>
                    <w:ind w:left="0" w:right="0"/>
                    <w:jc w:val="center"/>
                    <w:rPr>
                      <w:rFonts w:hint="default" w:ascii="Times New Roman"/>
                      <w:color w:val="auto"/>
                      <w:sz w:val="22"/>
                    </w:rPr>
                  </w:pPr>
                </w:p>
              </w:tc>
            </w:tr>
          </w:tbl>
          <w:p w14:paraId="0A22DAB7">
            <w:pPr>
              <w:pStyle w:val="87"/>
              <w:keepNext w:val="0"/>
              <w:keepLines w:val="0"/>
              <w:suppressLineNumbers w:val="0"/>
              <w:spacing w:before="0" w:beforeAutospacing="0" w:after="0" w:afterAutospacing="0"/>
              <w:ind w:left="0" w:right="0" w:firstLine="480"/>
              <w:rPr>
                <w:rFonts w:hint="eastAsia"/>
                <w:b w:val="0"/>
                <w:bCs/>
                <w:color w:val="auto"/>
                <w:sz w:val="24"/>
                <w:szCs w:val="21"/>
                <w:lang w:val="en-US" w:eastAsia="zh-CN"/>
              </w:rPr>
            </w:pPr>
            <w:r>
              <w:rPr>
                <w:rFonts w:hint="eastAsia"/>
                <w:b w:val="0"/>
                <w:bCs/>
                <w:color w:val="auto"/>
                <w:sz w:val="24"/>
                <w:szCs w:val="21"/>
                <w:lang w:val="en-US" w:eastAsia="zh-CN"/>
              </w:rPr>
              <w:t xml:space="preserve"> 原项目原辅料材料消耗情况。</w:t>
            </w:r>
          </w:p>
          <w:p w14:paraId="015901E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 xml:space="preserve">表 </w:t>
            </w:r>
            <w:r>
              <w:rPr>
                <w:rFonts w:hint="eastAsia" w:cs="Times New Roman"/>
                <w:b/>
                <w:color w:val="auto"/>
                <w:szCs w:val="21"/>
                <w:lang w:val="en-US" w:eastAsia="zh-CN"/>
              </w:rPr>
              <w:t>2-18</w:t>
            </w:r>
            <w:r>
              <w:rPr>
                <w:rFonts w:hint="default" w:ascii="Times New Roman" w:hAnsi="Times New Roman" w:eastAsia="宋体" w:cs="Times New Roman"/>
                <w:b/>
                <w:color w:val="auto"/>
                <w:szCs w:val="21"/>
              </w:rPr>
              <w:tab/>
            </w:r>
            <w:r>
              <w:rPr>
                <w:rFonts w:hint="default" w:ascii="Times New Roman" w:hAnsi="Times New Roman" w:eastAsia="宋体" w:cs="Times New Roman"/>
                <w:b/>
                <w:color w:val="auto"/>
                <w:szCs w:val="21"/>
              </w:rPr>
              <w:t>水性乳胶涂料系列产品原辅材料消耗表</w:t>
            </w:r>
          </w:p>
          <w:tbl>
            <w:tblPr>
              <w:tblStyle w:val="28"/>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707"/>
              <w:gridCol w:w="693"/>
              <w:gridCol w:w="2455"/>
              <w:gridCol w:w="861"/>
              <w:gridCol w:w="879"/>
              <w:gridCol w:w="2772"/>
            </w:tblGrid>
            <w:tr w14:paraId="1969D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720" w:type="dxa"/>
                  <w:shd w:val="clear" w:color="auto" w:fill="F1F1F1"/>
                  <w:vAlign w:val="center"/>
                </w:tcPr>
                <w:p w14:paraId="050E0503">
                  <w:pPr>
                    <w:pStyle w:val="41"/>
                    <w:keepNext w:val="0"/>
                    <w:keepLines w:val="0"/>
                    <w:suppressLineNumbers w:val="0"/>
                    <w:spacing w:before="0" w:beforeAutospacing="0" w:after="0" w:afterAutospacing="0" w:line="268" w:lineRule="exact"/>
                    <w:ind w:left="129" w:right="114"/>
                    <w:jc w:val="center"/>
                    <w:rPr>
                      <w:rFonts w:hint="default"/>
                      <w:b/>
                      <w:color w:val="auto"/>
                      <w:sz w:val="21"/>
                    </w:rPr>
                  </w:pPr>
                  <w:r>
                    <w:rPr>
                      <w:rFonts w:hint="default"/>
                      <w:b/>
                      <w:color w:val="auto"/>
                      <w:sz w:val="21"/>
                    </w:rPr>
                    <w:t>种类</w:t>
                  </w:r>
                </w:p>
              </w:tc>
              <w:tc>
                <w:tcPr>
                  <w:tcW w:w="720" w:type="dxa"/>
                  <w:tcBorders>
                    <w:right w:val="single" w:color="000000" w:sz="4" w:space="0"/>
                  </w:tcBorders>
                  <w:shd w:val="clear" w:color="auto" w:fill="F1F1F1"/>
                  <w:vAlign w:val="center"/>
                </w:tcPr>
                <w:p w14:paraId="0376A58B">
                  <w:pPr>
                    <w:pStyle w:val="41"/>
                    <w:keepNext w:val="0"/>
                    <w:keepLines w:val="0"/>
                    <w:suppressLineNumbers w:val="0"/>
                    <w:spacing w:before="0" w:beforeAutospacing="0" w:after="0" w:afterAutospacing="0" w:line="268" w:lineRule="exact"/>
                    <w:ind w:left="128" w:right="116"/>
                    <w:jc w:val="center"/>
                    <w:rPr>
                      <w:rFonts w:hint="default"/>
                      <w:b/>
                      <w:color w:val="auto"/>
                      <w:sz w:val="21"/>
                    </w:rPr>
                  </w:pPr>
                  <w:r>
                    <w:rPr>
                      <w:rFonts w:hint="default"/>
                      <w:b/>
                      <w:color w:val="auto"/>
                      <w:sz w:val="21"/>
                    </w:rPr>
                    <w:t>序号</w:t>
                  </w:r>
                </w:p>
              </w:tc>
              <w:tc>
                <w:tcPr>
                  <w:tcW w:w="2700" w:type="dxa"/>
                  <w:tcBorders>
                    <w:left w:val="single" w:color="000000" w:sz="4" w:space="0"/>
                  </w:tcBorders>
                  <w:shd w:val="clear" w:color="auto" w:fill="F1F1F1"/>
                  <w:vAlign w:val="center"/>
                </w:tcPr>
                <w:p w14:paraId="3BBBD189">
                  <w:pPr>
                    <w:pStyle w:val="41"/>
                    <w:keepNext w:val="0"/>
                    <w:keepLines w:val="0"/>
                    <w:suppressLineNumbers w:val="0"/>
                    <w:tabs>
                      <w:tab w:val="left" w:pos="437"/>
                    </w:tabs>
                    <w:spacing w:before="0" w:beforeAutospacing="0" w:after="0" w:afterAutospacing="0" w:line="268" w:lineRule="exact"/>
                    <w:ind w:left="20" w:right="0"/>
                    <w:jc w:val="center"/>
                    <w:rPr>
                      <w:rFonts w:hint="default"/>
                      <w:b/>
                      <w:color w:val="auto"/>
                      <w:sz w:val="21"/>
                    </w:rPr>
                  </w:pPr>
                  <w:r>
                    <w:rPr>
                      <w:rFonts w:hint="default"/>
                      <w:b/>
                      <w:color w:val="auto"/>
                      <w:sz w:val="21"/>
                    </w:rPr>
                    <w:t>名</w:t>
                  </w:r>
                  <w:r>
                    <w:rPr>
                      <w:rFonts w:hint="default"/>
                      <w:b/>
                      <w:color w:val="auto"/>
                      <w:sz w:val="21"/>
                    </w:rPr>
                    <w:tab/>
                  </w:r>
                  <w:r>
                    <w:rPr>
                      <w:rFonts w:hint="default"/>
                      <w:b/>
                      <w:color w:val="auto"/>
                      <w:sz w:val="21"/>
                    </w:rPr>
                    <w:t>称</w:t>
                  </w:r>
                </w:p>
              </w:tc>
              <w:tc>
                <w:tcPr>
                  <w:tcW w:w="900" w:type="dxa"/>
                  <w:shd w:val="clear" w:color="auto" w:fill="F1F1F1"/>
                  <w:vAlign w:val="center"/>
                </w:tcPr>
                <w:p w14:paraId="09BD06BD">
                  <w:pPr>
                    <w:pStyle w:val="41"/>
                    <w:keepNext w:val="0"/>
                    <w:keepLines w:val="0"/>
                    <w:suppressLineNumbers w:val="0"/>
                    <w:spacing w:before="0" w:beforeAutospacing="0" w:after="0" w:afterAutospacing="0" w:line="268" w:lineRule="exact"/>
                    <w:ind w:left="167" w:right="150"/>
                    <w:jc w:val="center"/>
                    <w:rPr>
                      <w:rFonts w:hint="default"/>
                      <w:b/>
                      <w:color w:val="auto"/>
                      <w:sz w:val="21"/>
                    </w:rPr>
                  </w:pPr>
                  <w:r>
                    <w:rPr>
                      <w:rFonts w:hint="default"/>
                      <w:b/>
                      <w:color w:val="auto"/>
                      <w:sz w:val="21"/>
                    </w:rPr>
                    <w:t>单 位</w:t>
                  </w:r>
                </w:p>
              </w:tc>
              <w:tc>
                <w:tcPr>
                  <w:tcW w:w="900" w:type="dxa"/>
                  <w:shd w:val="clear" w:color="auto" w:fill="F1F1F1"/>
                  <w:vAlign w:val="center"/>
                </w:tcPr>
                <w:p w14:paraId="68F89385">
                  <w:pPr>
                    <w:pStyle w:val="41"/>
                    <w:keepNext w:val="0"/>
                    <w:keepLines w:val="0"/>
                    <w:suppressLineNumbers w:val="0"/>
                    <w:spacing w:before="0" w:beforeAutospacing="0" w:after="0" w:afterAutospacing="0" w:line="268" w:lineRule="exact"/>
                    <w:ind w:left="240" w:right="0"/>
                    <w:jc w:val="center"/>
                    <w:rPr>
                      <w:rFonts w:hint="default"/>
                      <w:b/>
                      <w:color w:val="auto"/>
                      <w:sz w:val="21"/>
                    </w:rPr>
                  </w:pPr>
                  <w:r>
                    <w:rPr>
                      <w:rFonts w:hint="default"/>
                      <w:b/>
                      <w:color w:val="auto"/>
                      <w:sz w:val="21"/>
                    </w:rPr>
                    <w:t>数量</w:t>
                  </w:r>
                </w:p>
              </w:tc>
              <w:tc>
                <w:tcPr>
                  <w:tcW w:w="3060" w:type="dxa"/>
                  <w:shd w:val="clear" w:color="auto" w:fill="F1F1F1"/>
                  <w:vAlign w:val="center"/>
                </w:tcPr>
                <w:p w14:paraId="585466B6">
                  <w:pPr>
                    <w:pStyle w:val="41"/>
                    <w:keepNext w:val="0"/>
                    <w:keepLines w:val="0"/>
                    <w:suppressLineNumbers w:val="0"/>
                    <w:spacing w:before="0" w:beforeAutospacing="0" w:after="0" w:afterAutospacing="0" w:line="268" w:lineRule="exact"/>
                    <w:ind w:left="103" w:right="81"/>
                    <w:jc w:val="center"/>
                    <w:rPr>
                      <w:rFonts w:hint="default"/>
                      <w:b/>
                      <w:color w:val="auto"/>
                      <w:sz w:val="21"/>
                    </w:rPr>
                  </w:pPr>
                  <w:r>
                    <w:rPr>
                      <w:rFonts w:hint="default"/>
                      <w:b/>
                      <w:color w:val="auto"/>
                      <w:sz w:val="21"/>
                    </w:rPr>
                    <w:t>来源</w:t>
                  </w:r>
                </w:p>
              </w:tc>
            </w:tr>
            <w:tr w14:paraId="59942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720" w:type="dxa"/>
                  <w:vMerge w:val="restart"/>
                  <w:vAlign w:val="center"/>
                </w:tcPr>
                <w:p w14:paraId="56A37718">
                  <w:pPr>
                    <w:pStyle w:val="41"/>
                    <w:keepNext w:val="0"/>
                    <w:keepLines w:val="0"/>
                    <w:suppressLineNumbers w:val="0"/>
                    <w:spacing w:before="0" w:beforeAutospacing="0" w:after="0" w:afterAutospacing="0"/>
                    <w:ind w:left="0" w:right="0"/>
                    <w:jc w:val="center"/>
                    <w:rPr>
                      <w:rFonts w:hint="default"/>
                      <w:color w:val="auto"/>
                      <w:sz w:val="20"/>
                    </w:rPr>
                  </w:pPr>
                </w:p>
                <w:p w14:paraId="6115B772">
                  <w:pPr>
                    <w:pStyle w:val="41"/>
                    <w:keepNext w:val="0"/>
                    <w:keepLines w:val="0"/>
                    <w:suppressLineNumbers w:val="0"/>
                    <w:spacing w:before="10" w:beforeAutospacing="0" w:after="0" w:afterAutospacing="0"/>
                    <w:ind w:left="0" w:right="0"/>
                    <w:jc w:val="center"/>
                    <w:rPr>
                      <w:rFonts w:hint="default"/>
                      <w:color w:val="auto"/>
                      <w:sz w:val="23"/>
                    </w:rPr>
                  </w:pPr>
                </w:p>
                <w:p w14:paraId="6D12BAF5">
                  <w:pPr>
                    <w:pStyle w:val="41"/>
                    <w:keepNext w:val="0"/>
                    <w:keepLines w:val="0"/>
                    <w:suppressLineNumbers w:val="0"/>
                    <w:spacing w:before="0" w:beforeAutospacing="0" w:after="0" w:afterAutospacing="0" w:line="316" w:lineRule="auto"/>
                    <w:ind w:left="254" w:right="131" w:hanging="106"/>
                    <w:jc w:val="center"/>
                    <w:rPr>
                      <w:rFonts w:hint="default"/>
                      <w:color w:val="auto"/>
                      <w:sz w:val="21"/>
                    </w:rPr>
                  </w:pPr>
                  <w:r>
                    <w:rPr>
                      <w:rFonts w:hint="default"/>
                      <w:color w:val="auto"/>
                      <w:sz w:val="21"/>
                    </w:rPr>
                    <w:t>颜填料</w:t>
                  </w:r>
                </w:p>
              </w:tc>
              <w:tc>
                <w:tcPr>
                  <w:tcW w:w="720" w:type="dxa"/>
                  <w:tcBorders>
                    <w:right w:val="single" w:color="000000" w:sz="4" w:space="0"/>
                  </w:tcBorders>
                  <w:vAlign w:val="center"/>
                </w:tcPr>
                <w:p w14:paraId="4ABA4AD0">
                  <w:pPr>
                    <w:pStyle w:val="41"/>
                    <w:keepNext w:val="0"/>
                    <w:keepLines w:val="0"/>
                    <w:suppressLineNumbers w:val="0"/>
                    <w:spacing w:before="18" w:beforeAutospacing="0" w:after="0" w:afterAutospacing="0"/>
                    <w:ind w:left="13" w:right="0"/>
                    <w:jc w:val="center"/>
                    <w:rPr>
                      <w:rFonts w:hint="default" w:ascii="Times New Roman"/>
                      <w:color w:val="auto"/>
                      <w:sz w:val="21"/>
                    </w:rPr>
                  </w:pPr>
                  <w:r>
                    <w:rPr>
                      <w:rFonts w:hint="default" w:ascii="Times New Roman"/>
                      <w:color w:val="auto"/>
                      <w:w w:val="100"/>
                      <w:sz w:val="21"/>
                    </w:rPr>
                    <w:t>1</w:t>
                  </w:r>
                </w:p>
              </w:tc>
              <w:tc>
                <w:tcPr>
                  <w:tcW w:w="2700" w:type="dxa"/>
                  <w:tcBorders>
                    <w:left w:val="single" w:color="000000" w:sz="4" w:space="0"/>
                  </w:tcBorders>
                  <w:vAlign w:val="center"/>
                </w:tcPr>
                <w:p w14:paraId="7E4F2439">
                  <w:pPr>
                    <w:pStyle w:val="41"/>
                    <w:keepNext w:val="0"/>
                    <w:keepLines w:val="0"/>
                    <w:suppressLineNumbers w:val="0"/>
                    <w:spacing w:before="0" w:beforeAutospacing="0" w:after="0" w:afterAutospacing="0" w:line="269" w:lineRule="exact"/>
                    <w:ind w:left="20" w:right="0"/>
                    <w:jc w:val="center"/>
                    <w:rPr>
                      <w:rFonts w:hint="default"/>
                      <w:color w:val="auto"/>
                      <w:sz w:val="21"/>
                    </w:rPr>
                  </w:pPr>
                  <w:r>
                    <w:rPr>
                      <w:rFonts w:hint="default"/>
                      <w:color w:val="auto"/>
                      <w:sz w:val="21"/>
                    </w:rPr>
                    <w:t>金红石钛白粉</w:t>
                  </w:r>
                </w:p>
              </w:tc>
              <w:tc>
                <w:tcPr>
                  <w:tcW w:w="900" w:type="dxa"/>
                  <w:vAlign w:val="center"/>
                </w:tcPr>
                <w:p w14:paraId="4679F05D">
                  <w:pPr>
                    <w:pStyle w:val="41"/>
                    <w:keepNext w:val="0"/>
                    <w:keepLines w:val="0"/>
                    <w:suppressLineNumbers w:val="0"/>
                    <w:spacing w:before="4" w:beforeAutospacing="0" w:after="0" w:afterAutospacing="0"/>
                    <w:ind w:left="167" w:right="150"/>
                    <w:jc w:val="center"/>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900" w:type="dxa"/>
                  <w:vAlign w:val="center"/>
                </w:tcPr>
                <w:p w14:paraId="05DC9FF9">
                  <w:pPr>
                    <w:pStyle w:val="41"/>
                    <w:keepNext w:val="0"/>
                    <w:keepLines w:val="0"/>
                    <w:suppressLineNumbers w:val="0"/>
                    <w:spacing w:before="43" w:beforeAutospacing="0" w:after="0" w:afterAutospacing="0"/>
                    <w:ind w:left="0" w:right="172"/>
                    <w:jc w:val="center"/>
                    <w:rPr>
                      <w:rFonts w:hint="default"/>
                      <w:color w:val="auto"/>
                      <w:sz w:val="21"/>
                    </w:rPr>
                  </w:pPr>
                  <w:r>
                    <w:rPr>
                      <w:rFonts w:hint="default"/>
                      <w:color w:val="auto"/>
                      <w:sz w:val="21"/>
                    </w:rPr>
                    <w:t>3042</w:t>
                  </w:r>
                </w:p>
              </w:tc>
              <w:tc>
                <w:tcPr>
                  <w:tcW w:w="3060" w:type="dxa"/>
                  <w:tcBorders>
                    <w:bottom w:val="single" w:color="000000" w:sz="4" w:space="0"/>
                  </w:tcBorders>
                  <w:vAlign w:val="center"/>
                </w:tcPr>
                <w:p w14:paraId="1CA850E3">
                  <w:pPr>
                    <w:pStyle w:val="41"/>
                    <w:keepNext w:val="0"/>
                    <w:keepLines w:val="0"/>
                    <w:suppressLineNumbers w:val="0"/>
                    <w:spacing w:before="43" w:beforeAutospacing="0" w:after="0" w:afterAutospacing="0"/>
                    <w:ind w:left="146" w:right="33"/>
                    <w:jc w:val="center"/>
                    <w:rPr>
                      <w:rFonts w:hint="default"/>
                      <w:color w:val="auto"/>
                      <w:sz w:val="21"/>
                    </w:rPr>
                  </w:pPr>
                  <w:r>
                    <w:rPr>
                      <w:rFonts w:hint="default"/>
                      <w:color w:val="auto"/>
                      <w:sz w:val="21"/>
                    </w:rPr>
                    <w:t>富民工业园区钛白粉生产企业</w:t>
                  </w:r>
                </w:p>
              </w:tc>
            </w:tr>
            <w:tr w14:paraId="76F5D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720" w:type="dxa"/>
                  <w:vMerge w:val="continue"/>
                  <w:tcBorders>
                    <w:top w:val="nil"/>
                  </w:tcBorders>
                  <w:vAlign w:val="center"/>
                </w:tcPr>
                <w:p w14:paraId="4C13FC49">
                  <w:pPr>
                    <w:keepNext w:val="0"/>
                    <w:keepLines w:val="0"/>
                    <w:suppressLineNumbers w:val="0"/>
                    <w:spacing w:before="0" w:beforeAutospacing="0" w:after="0" w:afterAutospacing="0"/>
                    <w:ind w:left="0" w:right="0"/>
                    <w:jc w:val="center"/>
                    <w:rPr>
                      <w:rFonts w:hint="default"/>
                      <w:color w:val="auto"/>
                      <w:sz w:val="2"/>
                      <w:szCs w:val="2"/>
                    </w:rPr>
                  </w:pPr>
                </w:p>
              </w:tc>
              <w:tc>
                <w:tcPr>
                  <w:tcW w:w="720" w:type="dxa"/>
                  <w:tcBorders>
                    <w:right w:val="single" w:color="000000" w:sz="4" w:space="0"/>
                  </w:tcBorders>
                  <w:vAlign w:val="center"/>
                </w:tcPr>
                <w:p w14:paraId="41922955">
                  <w:pPr>
                    <w:pStyle w:val="41"/>
                    <w:keepNext w:val="0"/>
                    <w:keepLines w:val="0"/>
                    <w:suppressLineNumbers w:val="0"/>
                    <w:spacing w:before="19" w:beforeAutospacing="0" w:after="0" w:afterAutospacing="0"/>
                    <w:ind w:left="13" w:right="0"/>
                    <w:jc w:val="center"/>
                    <w:rPr>
                      <w:rFonts w:hint="default" w:ascii="Times New Roman"/>
                      <w:color w:val="auto"/>
                      <w:sz w:val="21"/>
                    </w:rPr>
                  </w:pPr>
                  <w:r>
                    <w:rPr>
                      <w:rFonts w:hint="default" w:ascii="Times New Roman"/>
                      <w:color w:val="auto"/>
                      <w:w w:val="100"/>
                      <w:sz w:val="21"/>
                    </w:rPr>
                    <w:t>2</w:t>
                  </w:r>
                </w:p>
              </w:tc>
              <w:tc>
                <w:tcPr>
                  <w:tcW w:w="2700" w:type="dxa"/>
                  <w:tcBorders>
                    <w:left w:val="single" w:color="000000" w:sz="4" w:space="0"/>
                  </w:tcBorders>
                  <w:vAlign w:val="center"/>
                </w:tcPr>
                <w:p w14:paraId="0BA4256E">
                  <w:pPr>
                    <w:pStyle w:val="41"/>
                    <w:keepNext w:val="0"/>
                    <w:keepLines w:val="0"/>
                    <w:suppressLineNumbers w:val="0"/>
                    <w:spacing w:before="19" w:beforeAutospacing="0" w:after="0" w:afterAutospacing="0"/>
                    <w:ind w:left="20" w:right="0"/>
                    <w:jc w:val="center"/>
                    <w:rPr>
                      <w:rFonts w:hint="default"/>
                      <w:color w:val="auto"/>
                      <w:sz w:val="21"/>
                    </w:rPr>
                  </w:pPr>
                  <w:r>
                    <w:rPr>
                      <w:rFonts w:hint="default"/>
                      <w:color w:val="auto"/>
                      <w:sz w:val="21"/>
                    </w:rPr>
                    <w:t>重质碳酸钙</w:t>
                  </w:r>
                </w:p>
              </w:tc>
              <w:tc>
                <w:tcPr>
                  <w:tcW w:w="900" w:type="dxa"/>
                  <w:vAlign w:val="center"/>
                </w:tcPr>
                <w:p w14:paraId="5CAC77D7">
                  <w:pPr>
                    <w:pStyle w:val="41"/>
                    <w:keepNext w:val="0"/>
                    <w:keepLines w:val="0"/>
                    <w:suppressLineNumbers w:val="0"/>
                    <w:spacing w:before="0" w:beforeAutospacing="0" w:after="0" w:afterAutospacing="0"/>
                    <w:ind w:left="167" w:right="150"/>
                    <w:jc w:val="center"/>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900" w:type="dxa"/>
                  <w:vAlign w:val="center"/>
                </w:tcPr>
                <w:p w14:paraId="7CD512D5">
                  <w:pPr>
                    <w:pStyle w:val="41"/>
                    <w:keepNext w:val="0"/>
                    <w:keepLines w:val="0"/>
                    <w:suppressLineNumbers w:val="0"/>
                    <w:spacing w:before="38" w:beforeAutospacing="0" w:after="0" w:afterAutospacing="0"/>
                    <w:ind w:left="0" w:right="167"/>
                    <w:jc w:val="center"/>
                    <w:rPr>
                      <w:rFonts w:hint="default" w:ascii="Times New Roman"/>
                      <w:color w:val="auto"/>
                      <w:sz w:val="21"/>
                    </w:rPr>
                  </w:pPr>
                  <w:r>
                    <w:rPr>
                      <w:rFonts w:hint="default" w:ascii="Times New Roman"/>
                      <w:color w:val="auto"/>
                      <w:sz w:val="21"/>
                    </w:rPr>
                    <w:t>19551</w:t>
                  </w:r>
                </w:p>
              </w:tc>
              <w:tc>
                <w:tcPr>
                  <w:tcW w:w="3060" w:type="dxa"/>
                  <w:tcBorders>
                    <w:top w:val="single" w:color="000000" w:sz="4" w:space="0"/>
                  </w:tcBorders>
                  <w:vAlign w:val="center"/>
                </w:tcPr>
                <w:p w14:paraId="18A9747F">
                  <w:pPr>
                    <w:pStyle w:val="41"/>
                    <w:keepNext w:val="0"/>
                    <w:keepLines w:val="0"/>
                    <w:suppressLineNumbers w:val="0"/>
                    <w:spacing w:before="0" w:beforeAutospacing="0" w:after="0" w:afterAutospacing="0"/>
                    <w:ind w:left="98" w:right="81"/>
                    <w:jc w:val="center"/>
                    <w:rPr>
                      <w:rFonts w:hint="default"/>
                      <w:color w:val="auto"/>
                      <w:sz w:val="21"/>
                    </w:rPr>
                  </w:pPr>
                  <w:r>
                    <w:rPr>
                      <w:rFonts w:hint="default"/>
                      <w:color w:val="auto"/>
                      <w:sz w:val="21"/>
                    </w:rPr>
                    <w:t>省内购买</w:t>
                  </w:r>
                </w:p>
              </w:tc>
            </w:tr>
            <w:tr w14:paraId="4D403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720" w:type="dxa"/>
                  <w:vMerge w:val="continue"/>
                  <w:tcBorders>
                    <w:top w:val="nil"/>
                  </w:tcBorders>
                  <w:vAlign w:val="center"/>
                </w:tcPr>
                <w:p w14:paraId="67F17213">
                  <w:pPr>
                    <w:keepNext w:val="0"/>
                    <w:keepLines w:val="0"/>
                    <w:suppressLineNumbers w:val="0"/>
                    <w:spacing w:before="0" w:beforeAutospacing="0" w:after="0" w:afterAutospacing="0"/>
                    <w:ind w:left="0" w:right="0"/>
                    <w:jc w:val="center"/>
                    <w:rPr>
                      <w:rFonts w:hint="default"/>
                      <w:color w:val="auto"/>
                      <w:sz w:val="2"/>
                      <w:szCs w:val="2"/>
                    </w:rPr>
                  </w:pPr>
                </w:p>
              </w:tc>
              <w:tc>
                <w:tcPr>
                  <w:tcW w:w="720" w:type="dxa"/>
                  <w:tcBorders>
                    <w:right w:val="single" w:color="000000" w:sz="4" w:space="0"/>
                  </w:tcBorders>
                  <w:vAlign w:val="center"/>
                </w:tcPr>
                <w:p w14:paraId="34B9586A">
                  <w:pPr>
                    <w:pStyle w:val="41"/>
                    <w:keepNext w:val="0"/>
                    <w:keepLines w:val="0"/>
                    <w:suppressLineNumbers w:val="0"/>
                    <w:spacing w:before="19" w:beforeAutospacing="0" w:after="0" w:afterAutospacing="0"/>
                    <w:ind w:left="13" w:right="0"/>
                    <w:jc w:val="center"/>
                    <w:rPr>
                      <w:rFonts w:hint="default" w:ascii="Times New Roman"/>
                      <w:color w:val="auto"/>
                      <w:sz w:val="21"/>
                    </w:rPr>
                  </w:pPr>
                  <w:r>
                    <w:rPr>
                      <w:rFonts w:hint="default" w:ascii="Times New Roman"/>
                      <w:color w:val="auto"/>
                      <w:w w:val="100"/>
                      <w:sz w:val="21"/>
                    </w:rPr>
                    <w:t>3</w:t>
                  </w:r>
                </w:p>
              </w:tc>
              <w:tc>
                <w:tcPr>
                  <w:tcW w:w="2700" w:type="dxa"/>
                  <w:tcBorders>
                    <w:left w:val="single" w:color="000000" w:sz="4" w:space="0"/>
                  </w:tcBorders>
                  <w:vAlign w:val="center"/>
                </w:tcPr>
                <w:p w14:paraId="5C192B5D">
                  <w:pPr>
                    <w:pStyle w:val="41"/>
                    <w:keepNext w:val="0"/>
                    <w:keepLines w:val="0"/>
                    <w:suppressLineNumbers w:val="0"/>
                    <w:spacing w:before="20" w:beforeAutospacing="0" w:after="0" w:afterAutospacing="0"/>
                    <w:ind w:left="10" w:right="0"/>
                    <w:jc w:val="center"/>
                    <w:rPr>
                      <w:rFonts w:hint="default"/>
                      <w:color w:val="auto"/>
                      <w:sz w:val="21"/>
                    </w:rPr>
                  </w:pPr>
                  <w:r>
                    <w:rPr>
                      <w:rFonts w:hint="default"/>
                      <w:color w:val="auto"/>
                      <w:sz w:val="21"/>
                    </w:rPr>
                    <w:t>高岭土</w:t>
                  </w:r>
                </w:p>
              </w:tc>
              <w:tc>
                <w:tcPr>
                  <w:tcW w:w="900" w:type="dxa"/>
                  <w:vAlign w:val="center"/>
                </w:tcPr>
                <w:p w14:paraId="7A07DF0B">
                  <w:pPr>
                    <w:pStyle w:val="41"/>
                    <w:keepNext w:val="0"/>
                    <w:keepLines w:val="0"/>
                    <w:suppressLineNumbers w:val="0"/>
                    <w:spacing w:before="1" w:beforeAutospacing="0" w:after="0" w:afterAutospacing="0"/>
                    <w:ind w:left="167" w:right="150"/>
                    <w:jc w:val="center"/>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900" w:type="dxa"/>
                  <w:vAlign w:val="center"/>
                </w:tcPr>
                <w:p w14:paraId="1B914049">
                  <w:pPr>
                    <w:pStyle w:val="41"/>
                    <w:keepNext w:val="0"/>
                    <w:keepLines w:val="0"/>
                    <w:suppressLineNumbers w:val="0"/>
                    <w:spacing w:before="63" w:beforeAutospacing="0" w:after="0" w:afterAutospacing="0"/>
                    <w:ind w:left="0" w:right="114"/>
                    <w:jc w:val="center"/>
                    <w:rPr>
                      <w:rFonts w:hint="default"/>
                      <w:color w:val="auto"/>
                      <w:sz w:val="21"/>
                    </w:rPr>
                  </w:pPr>
                  <w:r>
                    <w:rPr>
                      <w:rFonts w:hint="default"/>
                      <w:color w:val="auto"/>
                      <w:sz w:val="21"/>
                    </w:rPr>
                    <w:t>6086</w:t>
                  </w:r>
                </w:p>
              </w:tc>
              <w:tc>
                <w:tcPr>
                  <w:tcW w:w="3060" w:type="dxa"/>
                  <w:vAlign w:val="center"/>
                </w:tcPr>
                <w:p w14:paraId="5375A1BD">
                  <w:pPr>
                    <w:pStyle w:val="41"/>
                    <w:keepNext w:val="0"/>
                    <w:keepLines w:val="0"/>
                    <w:suppressLineNumbers w:val="0"/>
                    <w:spacing w:before="44" w:beforeAutospacing="0" w:after="0" w:afterAutospacing="0"/>
                    <w:ind w:left="146" w:right="42"/>
                    <w:jc w:val="center"/>
                    <w:rPr>
                      <w:rFonts w:hint="default"/>
                      <w:color w:val="auto"/>
                      <w:sz w:val="21"/>
                    </w:rPr>
                  </w:pPr>
                  <w:r>
                    <w:rPr>
                      <w:rFonts w:hint="default"/>
                      <w:color w:val="auto"/>
                      <w:sz w:val="21"/>
                    </w:rPr>
                    <w:t>省内购买</w:t>
                  </w:r>
                </w:p>
              </w:tc>
            </w:tr>
            <w:tr w14:paraId="140C6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720" w:type="dxa"/>
                  <w:vMerge w:val="continue"/>
                  <w:tcBorders>
                    <w:top w:val="nil"/>
                  </w:tcBorders>
                  <w:vAlign w:val="center"/>
                </w:tcPr>
                <w:p w14:paraId="62819A7F">
                  <w:pPr>
                    <w:keepNext w:val="0"/>
                    <w:keepLines w:val="0"/>
                    <w:suppressLineNumbers w:val="0"/>
                    <w:spacing w:before="0" w:beforeAutospacing="0" w:after="0" w:afterAutospacing="0"/>
                    <w:ind w:left="0" w:right="0"/>
                    <w:jc w:val="center"/>
                    <w:rPr>
                      <w:rFonts w:hint="default"/>
                      <w:color w:val="auto"/>
                      <w:sz w:val="2"/>
                      <w:szCs w:val="2"/>
                    </w:rPr>
                  </w:pPr>
                </w:p>
              </w:tc>
              <w:tc>
                <w:tcPr>
                  <w:tcW w:w="720" w:type="dxa"/>
                  <w:tcBorders>
                    <w:right w:val="single" w:color="000000" w:sz="4" w:space="0"/>
                  </w:tcBorders>
                  <w:vAlign w:val="center"/>
                </w:tcPr>
                <w:p w14:paraId="4262E285">
                  <w:pPr>
                    <w:pStyle w:val="41"/>
                    <w:keepNext w:val="0"/>
                    <w:keepLines w:val="0"/>
                    <w:suppressLineNumbers w:val="0"/>
                    <w:spacing w:before="20" w:beforeAutospacing="0" w:after="0" w:afterAutospacing="0"/>
                    <w:ind w:left="13" w:right="0"/>
                    <w:jc w:val="center"/>
                    <w:rPr>
                      <w:rFonts w:hint="default" w:ascii="Times New Roman"/>
                      <w:color w:val="auto"/>
                      <w:sz w:val="21"/>
                    </w:rPr>
                  </w:pPr>
                  <w:r>
                    <w:rPr>
                      <w:rFonts w:hint="default" w:ascii="Times New Roman"/>
                      <w:color w:val="auto"/>
                      <w:w w:val="100"/>
                      <w:sz w:val="21"/>
                    </w:rPr>
                    <w:t>4</w:t>
                  </w:r>
                </w:p>
              </w:tc>
              <w:tc>
                <w:tcPr>
                  <w:tcW w:w="2700" w:type="dxa"/>
                  <w:tcBorders>
                    <w:left w:val="single" w:color="000000" w:sz="4" w:space="0"/>
                  </w:tcBorders>
                  <w:vAlign w:val="center"/>
                </w:tcPr>
                <w:p w14:paraId="535A5CF9">
                  <w:pPr>
                    <w:pStyle w:val="41"/>
                    <w:keepNext w:val="0"/>
                    <w:keepLines w:val="0"/>
                    <w:suppressLineNumbers w:val="0"/>
                    <w:spacing w:before="1" w:beforeAutospacing="0" w:after="0" w:afterAutospacing="0"/>
                    <w:ind w:left="20" w:right="0"/>
                    <w:jc w:val="center"/>
                    <w:rPr>
                      <w:rFonts w:hint="default"/>
                      <w:color w:val="auto"/>
                      <w:sz w:val="21"/>
                    </w:rPr>
                  </w:pPr>
                  <w:r>
                    <w:rPr>
                      <w:rFonts w:hint="default"/>
                      <w:color w:val="auto"/>
                      <w:sz w:val="21"/>
                    </w:rPr>
                    <w:t>醋丙乳液</w:t>
                  </w:r>
                </w:p>
              </w:tc>
              <w:tc>
                <w:tcPr>
                  <w:tcW w:w="900" w:type="dxa"/>
                  <w:vAlign w:val="center"/>
                </w:tcPr>
                <w:p w14:paraId="66B5601C">
                  <w:pPr>
                    <w:pStyle w:val="41"/>
                    <w:keepNext w:val="0"/>
                    <w:keepLines w:val="0"/>
                    <w:suppressLineNumbers w:val="0"/>
                    <w:spacing w:before="1" w:beforeAutospacing="0" w:after="0" w:afterAutospacing="0"/>
                    <w:ind w:left="167" w:right="150"/>
                    <w:jc w:val="center"/>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900" w:type="dxa"/>
                  <w:vAlign w:val="center"/>
                </w:tcPr>
                <w:p w14:paraId="1FE5BD5F">
                  <w:pPr>
                    <w:pStyle w:val="41"/>
                    <w:keepNext w:val="0"/>
                    <w:keepLines w:val="0"/>
                    <w:suppressLineNumbers w:val="0"/>
                    <w:spacing w:before="64" w:beforeAutospacing="0" w:after="0" w:afterAutospacing="0"/>
                    <w:ind w:left="0" w:right="124"/>
                    <w:jc w:val="center"/>
                    <w:rPr>
                      <w:rFonts w:hint="default"/>
                      <w:color w:val="auto"/>
                      <w:sz w:val="21"/>
                    </w:rPr>
                  </w:pPr>
                  <w:r>
                    <w:rPr>
                      <w:rFonts w:hint="default"/>
                      <w:color w:val="auto"/>
                      <w:sz w:val="21"/>
                    </w:rPr>
                    <w:t>2349</w:t>
                  </w:r>
                </w:p>
              </w:tc>
              <w:tc>
                <w:tcPr>
                  <w:tcW w:w="3060" w:type="dxa"/>
                  <w:vAlign w:val="center"/>
                </w:tcPr>
                <w:p w14:paraId="43937810">
                  <w:pPr>
                    <w:pStyle w:val="41"/>
                    <w:keepNext w:val="0"/>
                    <w:keepLines w:val="0"/>
                    <w:suppressLineNumbers w:val="0"/>
                    <w:spacing w:before="1" w:beforeAutospacing="0" w:after="0" w:afterAutospacing="0"/>
                    <w:ind w:left="93" w:right="81"/>
                    <w:jc w:val="center"/>
                    <w:rPr>
                      <w:rFonts w:hint="default"/>
                      <w:color w:val="auto"/>
                      <w:sz w:val="21"/>
                    </w:rPr>
                  </w:pPr>
                  <w:r>
                    <w:rPr>
                      <w:rFonts w:hint="default"/>
                      <w:color w:val="auto"/>
                      <w:sz w:val="21"/>
                    </w:rPr>
                    <w:t>战略合作企业及伙伴</w:t>
                  </w:r>
                </w:p>
              </w:tc>
            </w:tr>
            <w:tr w14:paraId="417B8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720" w:type="dxa"/>
                  <w:vMerge w:val="continue"/>
                  <w:tcBorders>
                    <w:top w:val="nil"/>
                  </w:tcBorders>
                  <w:vAlign w:val="center"/>
                </w:tcPr>
                <w:p w14:paraId="3EBFC03A">
                  <w:pPr>
                    <w:keepNext w:val="0"/>
                    <w:keepLines w:val="0"/>
                    <w:suppressLineNumbers w:val="0"/>
                    <w:spacing w:before="0" w:beforeAutospacing="0" w:after="0" w:afterAutospacing="0"/>
                    <w:ind w:left="0" w:right="0"/>
                    <w:jc w:val="center"/>
                    <w:rPr>
                      <w:rFonts w:hint="default"/>
                      <w:color w:val="auto"/>
                      <w:sz w:val="2"/>
                      <w:szCs w:val="2"/>
                    </w:rPr>
                  </w:pPr>
                </w:p>
              </w:tc>
              <w:tc>
                <w:tcPr>
                  <w:tcW w:w="720" w:type="dxa"/>
                  <w:tcBorders>
                    <w:right w:val="single" w:color="000000" w:sz="4" w:space="0"/>
                  </w:tcBorders>
                  <w:vAlign w:val="center"/>
                </w:tcPr>
                <w:p w14:paraId="0690B105">
                  <w:pPr>
                    <w:pStyle w:val="41"/>
                    <w:keepNext w:val="0"/>
                    <w:keepLines w:val="0"/>
                    <w:suppressLineNumbers w:val="0"/>
                    <w:spacing w:before="21" w:beforeAutospacing="0" w:after="0" w:afterAutospacing="0"/>
                    <w:ind w:left="13" w:right="0"/>
                    <w:jc w:val="center"/>
                    <w:rPr>
                      <w:rFonts w:hint="default" w:ascii="Times New Roman"/>
                      <w:color w:val="auto"/>
                      <w:sz w:val="21"/>
                    </w:rPr>
                  </w:pPr>
                  <w:r>
                    <w:rPr>
                      <w:rFonts w:hint="default" w:ascii="Times New Roman"/>
                      <w:color w:val="auto"/>
                      <w:w w:val="100"/>
                      <w:sz w:val="21"/>
                    </w:rPr>
                    <w:t>5</w:t>
                  </w:r>
                </w:p>
              </w:tc>
              <w:tc>
                <w:tcPr>
                  <w:tcW w:w="2700" w:type="dxa"/>
                  <w:tcBorders>
                    <w:left w:val="single" w:color="000000" w:sz="4" w:space="0"/>
                  </w:tcBorders>
                  <w:vAlign w:val="center"/>
                </w:tcPr>
                <w:p w14:paraId="509B3C09">
                  <w:pPr>
                    <w:pStyle w:val="41"/>
                    <w:keepNext w:val="0"/>
                    <w:keepLines w:val="0"/>
                    <w:suppressLineNumbers w:val="0"/>
                    <w:spacing w:before="2" w:beforeAutospacing="0" w:after="0" w:afterAutospacing="0"/>
                    <w:ind w:left="15" w:right="0"/>
                    <w:jc w:val="center"/>
                    <w:rPr>
                      <w:rFonts w:hint="default"/>
                      <w:color w:val="auto"/>
                      <w:sz w:val="21"/>
                    </w:rPr>
                  </w:pPr>
                  <w:r>
                    <w:rPr>
                      <w:rFonts w:hint="default"/>
                      <w:color w:val="auto"/>
                      <w:sz w:val="21"/>
                    </w:rPr>
                    <w:t>苯乙烯</w:t>
                  </w:r>
                  <w:r>
                    <w:rPr>
                      <w:rFonts w:hint="default" w:ascii="Times New Roman" w:eastAsia="Times New Roman"/>
                      <w:color w:val="auto"/>
                      <w:sz w:val="21"/>
                    </w:rPr>
                    <w:t>-</w:t>
                  </w:r>
                  <w:r>
                    <w:rPr>
                      <w:rFonts w:hint="default"/>
                      <w:color w:val="auto"/>
                      <w:sz w:val="21"/>
                    </w:rPr>
                    <w:t>丙烯酸聚合乳液</w:t>
                  </w:r>
                </w:p>
              </w:tc>
              <w:tc>
                <w:tcPr>
                  <w:tcW w:w="900" w:type="dxa"/>
                  <w:vAlign w:val="center"/>
                </w:tcPr>
                <w:p w14:paraId="36D9A783">
                  <w:pPr>
                    <w:pStyle w:val="41"/>
                    <w:keepNext w:val="0"/>
                    <w:keepLines w:val="0"/>
                    <w:suppressLineNumbers w:val="0"/>
                    <w:spacing w:before="2" w:beforeAutospacing="0" w:after="0" w:afterAutospacing="0"/>
                    <w:ind w:left="167" w:right="150"/>
                    <w:jc w:val="center"/>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900" w:type="dxa"/>
                  <w:vAlign w:val="center"/>
                </w:tcPr>
                <w:p w14:paraId="23978007">
                  <w:pPr>
                    <w:pStyle w:val="41"/>
                    <w:keepNext w:val="0"/>
                    <w:keepLines w:val="0"/>
                    <w:suppressLineNumbers w:val="0"/>
                    <w:spacing w:before="64" w:beforeAutospacing="0" w:after="0" w:afterAutospacing="0"/>
                    <w:ind w:left="0" w:right="124"/>
                    <w:jc w:val="center"/>
                    <w:rPr>
                      <w:rFonts w:hint="default"/>
                      <w:color w:val="auto"/>
                      <w:sz w:val="21"/>
                    </w:rPr>
                  </w:pPr>
                  <w:r>
                    <w:rPr>
                      <w:rFonts w:hint="default"/>
                      <w:color w:val="auto"/>
                      <w:sz w:val="21"/>
                    </w:rPr>
                    <w:t>6387</w:t>
                  </w:r>
                </w:p>
              </w:tc>
              <w:tc>
                <w:tcPr>
                  <w:tcW w:w="3060" w:type="dxa"/>
                  <w:vAlign w:val="center"/>
                </w:tcPr>
                <w:p w14:paraId="75AECBFF">
                  <w:pPr>
                    <w:pStyle w:val="41"/>
                    <w:keepNext w:val="0"/>
                    <w:keepLines w:val="0"/>
                    <w:suppressLineNumbers w:val="0"/>
                    <w:spacing w:before="2" w:beforeAutospacing="0" w:after="0" w:afterAutospacing="0"/>
                    <w:ind w:left="93" w:right="81"/>
                    <w:jc w:val="center"/>
                    <w:rPr>
                      <w:rFonts w:hint="default"/>
                      <w:color w:val="auto"/>
                      <w:sz w:val="21"/>
                    </w:rPr>
                  </w:pPr>
                  <w:r>
                    <w:rPr>
                      <w:rFonts w:hint="default"/>
                      <w:color w:val="auto"/>
                      <w:sz w:val="21"/>
                    </w:rPr>
                    <w:t>战略合作企业及伙伴</w:t>
                  </w:r>
                </w:p>
              </w:tc>
            </w:tr>
            <w:tr w14:paraId="51A38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720" w:type="dxa"/>
                  <w:vAlign w:val="center"/>
                </w:tcPr>
                <w:p w14:paraId="1BD8287A">
                  <w:pPr>
                    <w:pStyle w:val="41"/>
                    <w:keepNext w:val="0"/>
                    <w:keepLines w:val="0"/>
                    <w:suppressLineNumbers w:val="0"/>
                    <w:spacing w:before="2" w:beforeAutospacing="0" w:after="0" w:afterAutospacing="0"/>
                    <w:ind w:left="129" w:right="114"/>
                    <w:jc w:val="center"/>
                    <w:rPr>
                      <w:rFonts w:hint="default"/>
                      <w:color w:val="auto"/>
                      <w:sz w:val="21"/>
                    </w:rPr>
                  </w:pPr>
                  <w:r>
                    <w:rPr>
                      <w:rFonts w:hint="default"/>
                      <w:color w:val="auto"/>
                      <w:sz w:val="21"/>
                    </w:rPr>
                    <w:t>溶剂</w:t>
                  </w:r>
                </w:p>
              </w:tc>
              <w:tc>
                <w:tcPr>
                  <w:tcW w:w="720" w:type="dxa"/>
                  <w:tcBorders>
                    <w:right w:val="single" w:color="000000" w:sz="4" w:space="0"/>
                  </w:tcBorders>
                  <w:vAlign w:val="center"/>
                </w:tcPr>
                <w:p w14:paraId="0FE40FAD">
                  <w:pPr>
                    <w:pStyle w:val="41"/>
                    <w:keepNext w:val="0"/>
                    <w:keepLines w:val="0"/>
                    <w:suppressLineNumbers w:val="0"/>
                    <w:spacing w:before="21" w:beforeAutospacing="0" w:after="0" w:afterAutospacing="0"/>
                    <w:ind w:left="13" w:right="0"/>
                    <w:jc w:val="center"/>
                    <w:rPr>
                      <w:rFonts w:hint="default" w:ascii="Times New Roman"/>
                      <w:color w:val="auto"/>
                      <w:sz w:val="21"/>
                    </w:rPr>
                  </w:pPr>
                  <w:r>
                    <w:rPr>
                      <w:rFonts w:hint="default" w:ascii="Times New Roman"/>
                      <w:color w:val="auto"/>
                      <w:w w:val="100"/>
                      <w:sz w:val="21"/>
                    </w:rPr>
                    <w:t>6</w:t>
                  </w:r>
                </w:p>
              </w:tc>
              <w:tc>
                <w:tcPr>
                  <w:tcW w:w="2700" w:type="dxa"/>
                  <w:tcBorders>
                    <w:left w:val="single" w:color="000000" w:sz="4" w:space="0"/>
                  </w:tcBorders>
                  <w:vAlign w:val="center"/>
                </w:tcPr>
                <w:p w14:paraId="2FFE3D12">
                  <w:pPr>
                    <w:pStyle w:val="41"/>
                    <w:keepNext w:val="0"/>
                    <w:keepLines w:val="0"/>
                    <w:suppressLineNumbers w:val="0"/>
                    <w:spacing w:before="2" w:beforeAutospacing="0" w:after="0" w:afterAutospacing="0"/>
                    <w:ind w:left="20" w:right="0"/>
                    <w:jc w:val="center"/>
                    <w:rPr>
                      <w:rFonts w:hint="default"/>
                      <w:color w:val="auto"/>
                      <w:sz w:val="21"/>
                    </w:rPr>
                  </w:pPr>
                  <w:r>
                    <w:rPr>
                      <w:rFonts w:hint="default"/>
                      <w:color w:val="auto"/>
                      <w:sz w:val="21"/>
                    </w:rPr>
                    <w:t>过滤水</w:t>
                  </w:r>
                </w:p>
              </w:tc>
              <w:tc>
                <w:tcPr>
                  <w:tcW w:w="900" w:type="dxa"/>
                  <w:vAlign w:val="center"/>
                </w:tcPr>
                <w:p w14:paraId="681EB898">
                  <w:pPr>
                    <w:pStyle w:val="41"/>
                    <w:keepNext w:val="0"/>
                    <w:keepLines w:val="0"/>
                    <w:suppressLineNumbers w:val="0"/>
                    <w:spacing w:before="2" w:beforeAutospacing="0" w:after="0" w:afterAutospacing="0"/>
                    <w:ind w:left="167" w:right="150"/>
                    <w:jc w:val="center"/>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900" w:type="dxa"/>
                  <w:vAlign w:val="center"/>
                </w:tcPr>
                <w:p w14:paraId="2708EC1D">
                  <w:pPr>
                    <w:pStyle w:val="41"/>
                    <w:keepNext w:val="0"/>
                    <w:keepLines w:val="0"/>
                    <w:suppressLineNumbers w:val="0"/>
                    <w:spacing w:before="40" w:beforeAutospacing="0" w:after="0" w:afterAutospacing="0"/>
                    <w:ind w:left="0" w:right="167"/>
                    <w:jc w:val="center"/>
                    <w:rPr>
                      <w:rFonts w:hint="default" w:ascii="Times New Roman"/>
                      <w:color w:val="auto"/>
                      <w:sz w:val="21"/>
                    </w:rPr>
                  </w:pPr>
                  <w:r>
                    <w:rPr>
                      <w:rFonts w:hint="default" w:ascii="Times New Roman"/>
                      <w:color w:val="auto"/>
                      <w:sz w:val="21"/>
                    </w:rPr>
                    <w:t>21505</w:t>
                  </w:r>
                </w:p>
              </w:tc>
              <w:tc>
                <w:tcPr>
                  <w:tcW w:w="3060" w:type="dxa"/>
                  <w:vAlign w:val="center"/>
                </w:tcPr>
                <w:p w14:paraId="7364F1F3">
                  <w:pPr>
                    <w:pStyle w:val="41"/>
                    <w:keepNext w:val="0"/>
                    <w:keepLines w:val="0"/>
                    <w:suppressLineNumbers w:val="0"/>
                    <w:spacing w:before="65" w:beforeAutospacing="0" w:after="0" w:afterAutospacing="0"/>
                    <w:ind w:left="146" w:right="42"/>
                    <w:jc w:val="center"/>
                    <w:rPr>
                      <w:rFonts w:hint="default"/>
                      <w:color w:val="auto"/>
                      <w:sz w:val="21"/>
                    </w:rPr>
                  </w:pPr>
                  <w:r>
                    <w:rPr>
                      <w:rFonts w:hint="default"/>
                      <w:color w:val="auto"/>
                      <w:sz w:val="21"/>
                    </w:rPr>
                    <w:t>工业园区</w:t>
                  </w:r>
                </w:p>
              </w:tc>
            </w:tr>
            <w:tr w14:paraId="2AF92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720" w:type="dxa"/>
                  <w:vMerge w:val="restart"/>
                  <w:vAlign w:val="center"/>
                </w:tcPr>
                <w:p w14:paraId="1E5640C5">
                  <w:pPr>
                    <w:pStyle w:val="41"/>
                    <w:keepNext w:val="0"/>
                    <w:keepLines w:val="0"/>
                    <w:suppressLineNumbers w:val="0"/>
                    <w:spacing w:before="0" w:beforeAutospacing="0" w:after="0" w:afterAutospacing="0"/>
                    <w:ind w:left="0" w:right="0"/>
                    <w:jc w:val="center"/>
                    <w:rPr>
                      <w:rFonts w:hint="default"/>
                      <w:color w:val="auto"/>
                      <w:sz w:val="20"/>
                    </w:rPr>
                  </w:pPr>
                </w:p>
                <w:p w14:paraId="731DA9C9">
                  <w:pPr>
                    <w:pStyle w:val="41"/>
                    <w:keepNext w:val="0"/>
                    <w:keepLines w:val="0"/>
                    <w:suppressLineNumbers w:val="0"/>
                    <w:spacing w:before="0" w:beforeAutospacing="0" w:after="0" w:afterAutospacing="0"/>
                    <w:ind w:left="0" w:right="0"/>
                    <w:jc w:val="center"/>
                    <w:rPr>
                      <w:rFonts w:hint="default"/>
                      <w:color w:val="auto"/>
                      <w:sz w:val="20"/>
                    </w:rPr>
                  </w:pPr>
                </w:p>
                <w:p w14:paraId="4E1BBAAF">
                  <w:pPr>
                    <w:pStyle w:val="41"/>
                    <w:keepNext w:val="0"/>
                    <w:keepLines w:val="0"/>
                    <w:suppressLineNumbers w:val="0"/>
                    <w:spacing w:before="7" w:beforeAutospacing="0" w:after="0" w:afterAutospacing="0"/>
                    <w:ind w:left="0" w:right="0"/>
                    <w:jc w:val="center"/>
                    <w:rPr>
                      <w:rFonts w:hint="default"/>
                      <w:color w:val="auto"/>
                      <w:sz w:val="17"/>
                    </w:rPr>
                  </w:pPr>
                </w:p>
                <w:p w14:paraId="36A32B66">
                  <w:pPr>
                    <w:pStyle w:val="41"/>
                    <w:keepNext w:val="0"/>
                    <w:keepLines w:val="0"/>
                    <w:suppressLineNumbers w:val="0"/>
                    <w:spacing w:before="0" w:beforeAutospacing="0" w:after="0" w:afterAutospacing="0"/>
                    <w:ind w:left="149" w:right="0"/>
                    <w:jc w:val="center"/>
                    <w:rPr>
                      <w:rFonts w:hint="default"/>
                      <w:color w:val="auto"/>
                      <w:sz w:val="21"/>
                    </w:rPr>
                  </w:pPr>
                  <w:r>
                    <w:rPr>
                      <w:rFonts w:hint="default"/>
                      <w:color w:val="auto"/>
                      <w:sz w:val="21"/>
                    </w:rPr>
                    <w:t>助剂</w:t>
                  </w:r>
                </w:p>
              </w:tc>
              <w:tc>
                <w:tcPr>
                  <w:tcW w:w="720" w:type="dxa"/>
                  <w:tcBorders>
                    <w:right w:val="single" w:color="000000" w:sz="4" w:space="0"/>
                  </w:tcBorders>
                  <w:vAlign w:val="center"/>
                </w:tcPr>
                <w:p w14:paraId="4487E524">
                  <w:pPr>
                    <w:pStyle w:val="41"/>
                    <w:keepNext w:val="0"/>
                    <w:keepLines w:val="0"/>
                    <w:suppressLineNumbers w:val="0"/>
                    <w:spacing w:before="22" w:beforeAutospacing="0" w:after="0" w:afterAutospacing="0"/>
                    <w:ind w:left="13" w:right="0"/>
                    <w:jc w:val="center"/>
                    <w:rPr>
                      <w:rFonts w:hint="default" w:ascii="Times New Roman"/>
                      <w:color w:val="auto"/>
                      <w:sz w:val="21"/>
                    </w:rPr>
                  </w:pPr>
                  <w:r>
                    <w:rPr>
                      <w:rFonts w:hint="default" w:ascii="Times New Roman"/>
                      <w:color w:val="auto"/>
                      <w:w w:val="100"/>
                      <w:sz w:val="21"/>
                    </w:rPr>
                    <w:t>7</w:t>
                  </w:r>
                </w:p>
              </w:tc>
              <w:tc>
                <w:tcPr>
                  <w:tcW w:w="2700" w:type="dxa"/>
                  <w:tcBorders>
                    <w:left w:val="single" w:color="000000" w:sz="4" w:space="0"/>
                  </w:tcBorders>
                  <w:vAlign w:val="center"/>
                </w:tcPr>
                <w:p w14:paraId="740E3337">
                  <w:pPr>
                    <w:pStyle w:val="41"/>
                    <w:keepNext w:val="0"/>
                    <w:keepLines w:val="0"/>
                    <w:suppressLineNumbers w:val="0"/>
                    <w:spacing w:before="22" w:beforeAutospacing="0" w:after="0" w:afterAutospacing="0"/>
                    <w:ind w:left="15" w:right="0"/>
                    <w:jc w:val="center"/>
                    <w:rPr>
                      <w:rFonts w:hint="default"/>
                      <w:color w:val="auto"/>
                      <w:sz w:val="21"/>
                    </w:rPr>
                  </w:pPr>
                  <w:r>
                    <w:rPr>
                      <w:rFonts w:hint="default"/>
                      <w:color w:val="auto"/>
                      <w:sz w:val="21"/>
                    </w:rPr>
                    <w:t>成膜助剂（十二碳酸酯）</w:t>
                  </w:r>
                </w:p>
              </w:tc>
              <w:tc>
                <w:tcPr>
                  <w:tcW w:w="900" w:type="dxa"/>
                  <w:vAlign w:val="center"/>
                </w:tcPr>
                <w:p w14:paraId="36ABB1B2">
                  <w:pPr>
                    <w:pStyle w:val="41"/>
                    <w:keepNext w:val="0"/>
                    <w:keepLines w:val="0"/>
                    <w:suppressLineNumbers w:val="0"/>
                    <w:spacing w:before="3" w:beforeAutospacing="0" w:after="0" w:afterAutospacing="0"/>
                    <w:ind w:left="167" w:right="150"/>
                    <w:jc w:val="center"/>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900" w:type="dxa"/>
                  <w:vAlign w:val="center"/>
                </w:tcPr>
                <w:p w14:paraId="045F44B2">
                  <w:pPr>
                    <w:pStyle w:val="41"/>
                    <w:keepNext w:val="0"/>
                    <w:keepLines w:val="0"/>
                    <w:suppressLineNumbers w:val="0"/>
                    <w:spacing w:before="40" w:beforeAutospacing="0" w:after="0" w:afterAutospacing="0"/>
                    <w:ind w:left="0" w:right="167"/>
                    <w:jc w:val="center"/>
                    <w:rPr>
                      <w:rFonts w:hint="default" w:ascii="Times New Roman"/>
                      <w:color w:val="auto"/>
                      <w:sz w:val="21"/>
                    </w:rPr>
                  </w:pPr>
                  <w:r>
                    <w:rPr>
                      <w:rFonts w:hint="default" w:ascii="Times New Roman"/>
                      <w:color w:val="auto"/>
                      <w:sz w:val="21"/>
                    </w:rPr>
                    <w:t>477</w:t>
                  </w:r>
                </w:p>
              </w:tc>
              <w:tc>
                <w:tcPr>
                  <w:tcW w:w="3060" w:type="dxa"/>
                  <w:vAlign w:val="center"/>
                </w:tcPr>
                <w:p w14:paraId="2964E6CD">
                  <w:pPr>
                    <w:pStyle w:val="41"/>
                    <w:keepNext w:val="0"/>
                    <w:keepLines w:val="0"/>
                    <w:suppressLineNumbers w:val="0"/>
                    <w:spacing w:before="41" w:beforeAutospacing="0" w:after="0" w:afterAutospacing="0"/>
                    <w:ind w:left="146" w:right="42"/>
                    <w:jc w:val="center"/>
                    <w:rPr>
                      <w:rFonts w:hint="default"/>
                      <w:color w:val="auto"/>
                      <w:sz w:val="21"/>
                    </w:rPr>
                  </w:pPr>
                  <w:r>
                    <w:rPr>
                      <w:rFonts w:hint="default"/>
                      <w:color w:val="auto"/>
                      <w:sz w:val="21"/>
                    </w:rPr>
                    <w:t>省内购买</w:t>
                  </w:r>
                </w:p>
              </w:tc>
            </w:tr>
            <w:tr w14:paraId="387F8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720" w:type="dxa"/>
                  <w:vMerge w:val="continue"/>
                  <w:tcBorders>
                    <w:top w:val="nil"/>
                  </w:tcBorders>
                  <w:vAlign w:val="center"/>
                </w:tcPr>
                <w:p w14:paraId="1A7F45FB">
                  <w:pPr>
                    <w:keepNext w:val="0"/>
                    <w:keepLines w:val="0"/>
                    <w:suppressLineNumbers w:val="0"/>
                    <w:spacing w:before="0" w:beforeAutospacing="0" w:after="0" w:afterAutospacing="0"/>
                    <w:ind w:left="0" w:right="0"/>
                    <w:jc w:val="center"/>
                    <w:rPr>
                      <w:rFonts w:hint="default"/>
                      <w:color w:val="auto"/>
                      <w:sz w:val="2"/>
                      <w:szCs w:val="2"/>
                    </w:rPr>
                  </w:pPr>
                </w:p>
              </w:tc>
              <w:tc>
                <w:tcPr>
                  <w:tcW w:w="720" w:type="dxa"/>
                  <w:tcBorders>
                    <w:right w:val="single" w:color="000000" w:sz="4" w:space="0"/>
                  </w:tcBorders>
                  <w:vAlign w:val="center"/>
                </w:tcPr>
                <w:p w14:paraId="67703AB7">
                  <w:pPr>
                    <w:pStyle w:val="41"/>
                    <w:keepNext w:val="0"/>
                    <w:keepLines w:val="0"/>
                    <w:suppressLineNumbers w:val="0"/>
                    <w:spacing w:before="18" w:beforeAutospacing="0" w:after="0" w:afterAutospacing="0"/>
                    <w:ind w:left="13" w:right="0"/>
                    <w:jc w:val="center"/>
                    <w:rPr>
                      <w:rFonts w:hint="default" w:ascii="Times New Roman"/>
                      <w:color w:val="auto"/>
                      <w:sz w:val="21"/>
                    </w:rPr>
                  </w:pPr>
                  <w:r>
                    <w:rPr>
                      <w:rFonts w:hint="default" w:ascii="Times New Roman"/>
                      <w:color w:val="auto"/>
                      <w:w w:val="100"/>
                      <w:sz w:val="21"/>
                    </w:rPr>
                    <w:t>8</w:t>
                  </w:r>
                </w:p>
              </w:tc>
              <w:tc>
                <w:tcPr>
                  <w:tcW w:w="2700" w:type="dxa"/>
                  <w:tcBorders>
                    <w:left w:val="single" w:color="000000" w:sz="4" w:space="0"/>
                  </w:tcBorders>
                  <w:vAlign w:val="center"/>
                </w:tcPr>
                <w:p w14:paraId="45517BFE">
                  <w:pPr>
                    <w:pStyle w:val="41"/>
                    <w:keepNext w:val="0"/>
                    <w:keepLines w:val="0"/>
                    <w:suppressLineNumbers w:val="0"/>
                    <w:spacing w:before="23" w:beforeAutospacing="0" w:after="0" w:afterAutospacing="0"/>
                    <w:ind w:left="10" w:right="0"/>
                    <w:jc w:val="center"/>
                    <w:rPr>
                      <w:rFonts w:hint="default"/>
                      <w:color w:val="auto"/>
                      <w:sz w:val="21"/>
                    </w:rPr>
                  </w:pPr>
                  <w:r>
                    <w:rPr>
                      <w:rFonts w:hint="default"/>
                      <w:color w:val="auto"/>
                      <w:sz w:val="21"/>
                    </w:rPr>
                    <w:t>增稠剂（羟乙基纤维素）</w:t>
                  </w:r>
                </w:p>
              </w:tc>
              <w:tc>
                <w:tcPr>
                  <w:tcW w:w="900" w:type="dxa"/>
                  <w:vAlign w:val="center"/>
                </w:tcPr>
                <w:p w14:paraId="5B368C56">
                  <w:pPr>
                    <w:pStyle w:val="41"/>
                    <w:keepNext w:val="0"/>
                    <w:keepLines w:val="0"/>
                    <w:suppressLineNumbers w:val="0"/>
                    <w:spacing w:before="4" w:beforeAutospacing="0" w:after="0" w:afterAutospacing="0"/>
                    <w:ind w:left="167" w:right="150"/>
                    <w:jc w:val="center"/>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900" w:type="dxa"/>
                  <w:vAlign w:val="center"/>
                </w:tcPr>
                <w:p w14:paraId="0EB58B9E">
                  <w:pPr>
                    <w:pStyle w:val="41"/>
                    <w:keepNext w:val="0"/>
                    <w:keepLines w:val="0"/>
                    <w:suppressLineNumbers w:val="0"/>
                    <w:spacing w:before="40" w:beforeAutospacing="0" w:after="0" w:afterAutospacing="0"/>
                    <w:ind w:left="0" w:right="167"/>
                    <w:jc w:val="center"/>
                    <w:rPr>
                      <w:rFonts w:hint="default" w:ascii="Times New Roman"/>
                      <w:color w:val="auto"/>
                      <w:sz w:val="21"/>
                    </w:rPr>
                  </w:pPr>
                  <w:r>
                    <w:rPr>
                      <w:rFonts w:hint="default" w:ascii="Times New Roman"/>
                      <w:color w:val="auto"/>
                      <w:sz w:val="21"/>
                    </w:rPr>
                    <w:t>200</w:t>
                  </w:r>
                </w:p>
              </w:tc>
              <w:tc>
                <w:tcPr>
                  <w:tcW w:w="3060" w:type="dxa"/>
                  <w:vAlign w:val="center"/>
                </w:tcPr>
                <w:p w14:paraId="18D6685D">
                  <w:pPr>
                    <w:pStyle w:val="41"/>
                    <w:keepNext w:val="0"/>
                    <w:keepLines w:val="0"/>
                    <w:suppressLineNumbers w:val="0"/>
                    <w:spacing w:before="0" w:beforeAutospacing="0" w:after="0" w:afterAutospacing="0" w:line="268" w:lineRule="exact"/>
                    <w:ind w:left="98" w:right="81"/>
                    <w:jc w:val="center"/>
                    <w:rPr>
                      <w:rFonts w:hint="default"/>
                      <w:color w:val="auto"/>
                      <w:sz w:val="21"/>
                    </w:rPr>
                  </w:pPr>
                  <w:r>
                    <w:rPr>
                      <w:rFonts w:hint="default"/>
                      <w:color w:val="auto"/>
                      <w:sz w:val="21"/>
                    </w:rPr>
                    <w:t>省内购买</w:t>
                  </w:r>
                </w:p>
              </w:tc>
            </w:tr>
            <w:tr w14:paraId="35330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720" w:type="dxa"/>
                  <w:vMerge w:val="continue"/>
                  <w:tcBorders>
                    <w:top w:val="nil"/>
                  </w:tcBorders>
                  <w:vAlign w:val="center"/>
                </w:tcPr>
                <w:p w14:paraId="3B15AF01">
                  <w:pPr>
                    <w:keepNext w:val="0"/>
                    <w:keepLines w:val="0"/>
                    <w:suppressLineNumbers w:val="0"/>
                    <w:spacing w:before="0" w:beforeAutospacing="0" w:after="0" w:afterAutospacing="0"/>
                    <w:ind w:left="0" w:right="0"/>
                    <w:jc w:val="center"/>
                    <w:rPr>
                      <w:rFonts w:hint="default"/>
                      <w:color w:val="auto"/>
                      <w:sz w:val="2"/>
                      <w:szCs w:val="2"/>
                    </w:rPr>
                  </w:pPr>
                </w:p>
              </w:tc>
              <w:tc>
                <w:tcPr>
                  <w:tcW w:w="720" w:type="dxa"/>
                  <w:tcBorders>
                    <w:right w:val="single" w:color="000000" w:sz="4" w:space="0"/>
                  </w:tcBorders>
                  <w:vAlign w:val="center"/>
                </w:tcPr>
                <w:p w14:paraId="3A515DD3">
                  <w:pPr>
                    <w:pStyle w:val="41"/>
                    <w:keepNext w:val="0"/>
                    <w:keepLines w:val="0"/>
                    <w:suppressLineNumbers w:val="0"/>
                    <w:spacing w:before="18" w:beforeAutospacing="0" w:after="0" w:afterAutospacing="0"/>
                    <w:ind w:left="13" w:right="0"/>
                    <w:jc w:val="center"/>
                    <w:rPr>
                      <w:rFonts w:hint="default" w:ascii="Times New Roman"/>
                      <w:color w:val="auto"/>
                      <w:sz w:val="21"/>
                    </w:rPr>
                  </w:pPr>
                  <w:r>
                    <w:rPr>
                      <w:rFonts w:hint="default" w:ascii="Times New Roman"/>
                      <w:color w:val="auto"/>
                      <w:w w:val="100"/>
                      <w:sz w:val="21"/>
                    </w:rPr>
                    <w:t>9</w:t>
                  </w:r>
                </w:p>
              </w:tc>
              <w:tc>
                <w:tcPr>
                  <w:tcW w:w="2700" w:type="dxa"/>
                  <w:tcBorders>
                    <w:left w:val="single" w:color="000000" w:sz="4" w:space="0"/>
                  </w:tcBorders>
                  <w:vAlign w:val="center"/>
                </w:tcPr>
                <w:p w14:paraId="05D0410B">
                  <w:pPr>
                    <w:pStyle w:val="41"/>
                    <w:keepNext w:val="0"/>
                    <w:keepLines w:val="0"/>
                    <w:suppressLineNumbers w:val="0"/>
                    <w:spacing w:before="19" w:beforeAutospacing="0" w:after="0" w:afterAutospacing="0"/>
                    <w:ind w:left="10" w:right="0"/>
                    <w:jc w:val="center"/>
                    <w:rPr>
                      <w:rFonts w:hint="default"/>
                      <w:color w:val="auto"/>
                      <w:sz w:val="21"/>
                    </w:rPr>
                  </w:pPr>
                  <w:r>
                    <w:rPr>
                      <w:rFonts w:hint="default"/>
                      <w:color w:val="auto"/>
                      <w:sz w:val="21"/>
                    </w:rPr>
                    <w:t>分散剂（聚丙烯酸钠盐）</w:t>
                  </w:r>
                </w:p>
              </w:tc>
              <w:tc>
                <w:tcPr>
                  <w:tcW w:w="900" w:type="dxa"/>
                  <w:vAlign w:val="center"/>
                </w:tcPr>
                <w:p w14:paraId="636A5B88">
                  <w:pPr>
                    <w:pStyle w:val="41"/>
                    <w:keepNext w:val="0"/>
                    <w:keepLines w:val="0"/>
                    <w:suppressLineNumbers w:val="0"/>
                    <w:spacing w:before="4" w:beforeAutospacing="0" w:after="0" w:afterAutospacing="0"/>
                    <w:ind w:left="167" w:right="150"/>
                    <w:jc w:val="center"/>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900" w:type="dxa"/>
                  <w:vAlign w:val="center"/>
                </w:tcPr>
                <w:p w14:paraId="17B4160E">
                  <w:pPr>
                    <w:pStyle w:val="41"/>
                    <w:keepNext w:val="0"/>
                    <w:keepLines w:val="0"/>
                    <w:suppressLineNumbers w:val="0"/>
                    <w:spacing w:before="40" w:beforeAutospacing="0" w:after="0" w:afterAutospacing="0"/>
                    <w:ind w:left="0" w:right="167"/>
                    <w:jc w:val="center"/>
                    <w:rPr>
                      <w:rFonts w:hint="default" w:ascii="Times New Roman"/>
                      <w:color w:val="auto"/>
                      <w:sz w:val="21"/>
                    </w:rPr>
                  </w:pPr>
                  <w:r>
                    <w:rPr>
                      <w:rFonts w:hint="default" w:ascii="Times New Roman"/>
                      <w:color w:val="auto"/>
                      <w:sz w:val="21"/>
                    </w:rPr>
                    <w:t>200</w:t>
                  </w:r>
                </w:p>
              </w:tc>
              <w:tc>
                <w:tcPr>
                  <w:tcW w:w="3060" w:type="dxa"/>
                  <w:vAlign w:val="center"/>
                </w:tcPr>
                <w:p w14:paraId="235E4EF9">
                  <w:pPr>
                    <w:pStyle w:val="41"/>
                    <w:keepNext w:val="0"/>
                    <w:keepLines w:val="0"/>
                    <w:suppressLineNumbers w:val="0"/>
                    <w:spacing w:before="62" w:beforeAutospacing="0" w:after="0" w:afterAutospacing="0"/>
                    <w:ind w:left="146" w:right="42"/>
                    <w:jc w:val="center"/>
                    <w:rPr>
                      <w:rFonts w:hint="default"/>
                      <w:color w:val="auto"/>
                      <w:sz w:val="21"/>
                    </w:rPr>
                  </w:pPr>
                  <w:r>
                    <w:rPr>
                      <w:rFonts w:hint="default"/>
                      <w:color w:val="auto"/>
                      <w:sz w:val="21"/>
                    </w:rPr>
                    <w:t>省内购买</w:t>
                  </w:r>
                </w:p>
              </w:tc>
            </w:tr>
            <w:tr w14:paraId="216EE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5" w:hRule="atLeast"/>
              </w:trPr>
              <w:tc>
                <w:tcPr>
                  <w:tcW w:w="720" w:type="dxa"/>
                  <w:vMerge w:val="continue"/>
                  <w:tcBorders>
                    <w:top w:val="nil"/>
                  </w:tcBorders>
                  <w:vAlign w:val="center"/>
                </w:tcPr>
                <w:p w14:paraId="6C68F043">
                  <w:pPr>
                    <w:keepNext w:val="0"/>
                    <w:keepLines w:val="0"/>
                    <w:suppressLineNumbers w:val="0"/>
                    <w:spacing w:before="0" w:beforeAutospacing="0" w:after="0" w:afterAutospacing="0"/>
                    <w:ind w:left="0" w:right="0"/>
                    <w:jc w:val="center"/>
                    <w:rPr>
                      <w:rFonts w:hint="default"/>
                      <w:color w:val="auto"/>
                      <w:sz w:val="2"/>
                      <w:szCs w:val="2"/>
                    </w:rPr>
                  </w:pPr>
                </w:p>
              </w:tc>
              <w:tc>
                <w:tcPr>
                  <w:tcW w:w="720" w:type="dxa"/>
                  <w:tcBorders>
                    <w:right w:val="single" w:color="000000" w:sz="4" w:space="0"/>
                  </w:tcBorders>
                  <w:vAlign w:val="center"/>
                </w:tcPr>
                <w:p w14:paraId="627CEE6E">
                  <w:pPr>
                    <w:pStyle w:val="41"/>
                    <w:keepNext w:val="0"/>
                    <w:keepLines w:val="0"/>
                    <w:suppressLineNumbers w:val="0"/>
                    <w:spacing w:before="19" w:beforeAutospacing="0" w:after="0" w:afterAutospacing="0"/>
                    <w:ind w:left="128" w:right="116"/>
                    <w:jc w:val="center"/>
                    <w:rPr>
                      <w:rFonts w:hint="default" w:ascii="Times New Roman"/>
                      <w:color w:val="auto"/>
                      <w:sz w:val="21"/>
                    </w:rPr>
                  </w:pPr>
                  <w:r>
                    <w:rPr>
                      <w:rFonts w:hint="default" w:ascii="Times New Roman"/>
                      <w:color w:val="auto"/>
                      <w:sz w:val="21"/>
                    </w:rPr>
                    <w:t>10</w:t>
                  </w:r>
                </w:p>
              </w:tc>
              <w:tc>
                <w:tcPr>
                  <w:tcW w:w="2700" w:type="dxa"/>
                  <w:tcBorders>
                    <w:left w:val="single" w:color="000000" w:sz="4" w:space="0"/>
                  </w:tcBorders>
                  <w:vAlign w:val="center"/>
                </w:tcPr>
                <w:p w14:paraId="39C01F8A">
                  <w:pPr>
                    <w:pStyle w:val="41"/>
                    <w:keepNext w:val="0"/>
                    <w:keepLines w:val="0"/>
                    <w:suppressLineNumbers w:val="0"/>
                    <w:spacing w:before="19" w:beforeAutospacing="0" w:after="0" w:afterAutospacing="0"/>
                    <w:ind w:left="15" w:right="0"/>
                    <w:jc w:val="center"/>
                    <w:rPr>
                      <w:rFonts w:hint="default"/>
                      <w:color w:val="auto"/>
                      <w:sz w:val="21"/>
                    </w:rPr>
                  </w:pPr>
                  <w:r>
                    <w:rPr>
                      <w:rFonts w:hint="default"/>
                      <w:color w:val="auto"/>
                      <w:sz w:val="21"/>
                    </w:rPr>
                    <w:t>消泡剂（矿物油）</w:t>
                  </w:r>
                </w:p>
              </w:tc>
              <w:tc>
                <w:tcPr>
                  <w:tcW w:w="900" w:type="dxa"/>
                  <w:vAlign w:val="center"/>
                </w:tcPr>
                <w:p w14:paraId="56AAFBA7">
                  <w:pPr>
                    <w:pStyle w:val="41"/>
                    <w:keepNext w:val="0"/>
                    <w:keepLines w:val="0"/>
                    <w:suppressLineNumbers w:val="0"/>
                    <w:spacing w:before="0" w:beforeAutospacing="0" w:after="0" w:afterAutospacing="0"/>
                    <w:ind w:left="167" w:right="150"/>
                    <w:jc w:val="center"/>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900" w:type="dxa"/>
                  <w:vAlign w:val="center"/>
                </w:tcPr>
                <w:p w14:paraId="1E58A0E4">
                  <w:pPr>
                    <w:pStyle w:val="41"/>
                    <w:keepNext w:val="0"/>
                    <w:keepLines w:val="0"/>
                    <w:suppressLineNumbers w:val="0"/>
                    <w:spacing w:before="40" w:beforeAutospacing="0" w:after="0" w:afterAutospacing="0"/>
                    <w:ind w:left="0" w:right="167"/>
                    <w:jc w:val="center"/>
                    <w:rPr>
                      <w:rFonts w:hint="default" w:ascii="Times New Roman"/>
                      <w:color w:val="auto"/>
                      <w:sz w:val="21"/>
                    </w:rPr>
                  </w:pPr>
                  <w:r>
                    <w:rPr>
                      <w:rFonts w:hint="default" w:ascii="Times New Roman"/>
                      <w:color w:val="auto"/>
                      <w:sz w:val="21"/>
                    </w:rPr>
                    <w:t>134</w:t>
                  </w:r>
                </w:p>
              </w:tc>
              <w:tc>
                <w:tcPr>
                  <w:tcW w:w="3060" w:type="dxa"/>
                  <w:vAlign w:val="center"/>
                </w:tcPr>
                <w:p w14:paraId="4D7CB083">
                  <w:pPr>
                    <w:pStyle w:val="41"/>
                    <w:keepNext w:val="0"/>
                    <w:keepLines w:val="0"/>
                    <w:suppressLineNumbers w:val="0"/>
                    <w:spacing w:before="0" w:beforeAutospacing="0" w:after="0" w:afterAutospacing="0"/>
                    <w:ind w:left="98" w:right="81"/>
                    <w:jc w:val="center"/>
                    <w:rPr>
                      <w:rFonts w:hint="default"/>
                      <w:color w:val="auto"/>
                      <w:sz w:val="21"/>
                    </w:rPr>
                  </w:pPr>
                  <w:r>
                    <w:rPr>
                      <w:rFonts w:hint="default"/>
                      <w:color w:val="auto"/>
                      <w:sz w:val="21"/>
                    </w:rPr>
                    <w:t>省内购买</w:t>
                  </w:r>
                </w:p>
              </w:tc>
            </w:tr>
            <w:tr w14:paraId="4264F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720" w:type="dxa"/>
                  <w:vMerge w:val="continue"/>
                  <w:tcBorders>
                    <w:top w:val="nil"/>
                  </w:tcBorders>
                  <w:vAlign w:val="center"/>
                </w:tcPr>
                <w:p w14:paraId="46EC6912">
                  <w:pPr>
                    <w:keepNext w:val="0"/>
                    <w:keepLines w:val="0"/>
                    <w:suppressLineNumbers w:val="0"/>
                    <w:spacing w:before="0" w:beforeAutospacing="0" w:after="0" w:afterAutospacing="0"/>
                    <w:ind w:left="0" w:right="0"/>
                    <w:jc w:val="center"/>
                    <w:rPr>
                      <w:rFonts w:hint="default"/>
                      <w:color w:val="auto"/>
                      <w:sz w:val="2"/>
                      <w:szCs w:val="2"/>
                    </w:rPr>
                  </w:pPr>
                </w:p>
              </w:tc>
              <w:tc>
                <w:tcPr>
                  <w:tcW w:w="720" w:type="dxa"/>
                  <w:tcBorders>
                    <w:right w:val="single" w:color="000000" w:sz="4" w:space="0"/>
                  </w:tcBorders>
                  <w:vAlign w:val="center"/>
                </w:tcPr>
                <w:p w14:paraId="2DFC0611">
                  <w:pPr>
                    <w:pStyle w:val="41"/>
                    <w:keepNext w:val="0"/>
                    <w:keepLines w:val="0"/>
                    <w:suppressLineNumbers w:val="0"/>
                    <w:spacing w:before="18" w:beforeAutospacing="0" w:after="0" w:afterAutospacing="0"/>
                    <w:ind w:left="128" w:right="111"/>
                    <w:jc w:val="center"/>
                    <w:rPr>
                      <w:rFonts w:hint="default" w:ascii="Times New Roman"/>
                      <w:color w:val="auto"/>
                      <w:sz w:val="21"/>
                    </w:rPr>
                  </w:pPr>
                  <w:r>
                    <w:rPr>
                      <w:rFonts w:hint="default" w:ascii="Times New Roman"/>
                      <w:color w:val="auto"/>
                      <w:sz w:val="21"/>
                    </w:rPr>
                    <w:t>11</w:t>
                  </w:r>
                </w:p>
              </w:tc>
              <w:tc>
                <w:tcPr>
                  <w:tcW w:w="2700" w:type="dxa"/>
                  <w:tcBorders>
                    <w:left w:val="single" w:color="000000" w:sz="4" w:space="0"/>
                  </w:tcBorders>
                  <w:vAlign w:val="center"/>
                </w:tcPr>
                <w:p w14:paraId="012FEC81">
                  <w:pPr>
                    <w:pStyle w:val="41"/>
                    <w:keepNext w:val="0"/>
                    <w:keepLines w:val="0"/>
                    <w:suppressLineNumbers w:val="0"/>
                    <w:spacing w:before="19" w:beforeAutospacing="0" w:after="0" w:afterAutospacing="0"/>
                    <w:ind w:left="15" w:right="0"/>
                    <w:jc w:val="center"/>
                    <w:rPr>
                      <w:rFonts w:hint="default"/>
                      <w:color w:val="auto"/>
                      <w:sz w:val="21"/>
                    </w:rPr>
                  </w:pPr>
                  <w:r>
                    <w:rPr>
                      <w:rFonts w:hint="default"/>
                      <w:color w:val="auto"/>
                      <w:sz w:val="21"/>
                    </w:rPr>
                    <w:t>防冻剂（丙二醇）</w:t>
                  </w:r>
                </w:p>
              </w:tc>
              <w:tc>
                <w:tcPr>
                  <w:tcW w:w="900" w:type="dxa"/>
                  <w:vAlign w:val="center"/>
                </w:tcPr>
                <w:p w14:paraId="2F4C1FB1">
                  <w:pPr>
                    <w:pStyle w:val="41"/>
                    <w:keepNext w:val="0"/>
                    <w:keepLines w:val="0"/>
                    <w:suppressLineNumbers w:val="0"/>
                    <w:spacing w:before="0" w:beforeAutospacing="0" w:after="0" w:afterAutospacing="0"/>
                    <w:ind w:left="167" w:right="150"/>
                    <w:jc w:val="center"/>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900" w:type="dxa"/>
                  <w:vAlign w:val="center"/>
                </w:tcPr>
                <w:p w14:paraId="20C88D42">
                  <w:pPr>
                    <w:pStyle w:val="41"/>
                    <w:keepNext w:val="0"/>
                    <w:keepLines w:val="0"/>
                    <w:suppressLineNumbers w:val="0"/>
                    <w:spacing w:before="40" w:beforeAutospacing="0" w:after="0" w:afterAutospacing="0"/>
                    <w:ind w:left="0" w:right="167"/>
                    <w:jc w:val="center"/>
                    <w:rPr>
                      <w:rFonts w:hint="default" w:ascii="Times New Roman"/>
                      <w:color w:val="auto"/>
                      <w:sz w:val="21"/>
                    </w:rPr>
                  </w:pPr>
                  <w:r>
                    <w:rPr>
                      <w:rFonts w:hint="default" w:ascii="Times New Roman"/>
                      <w:color w:val="auto"/>
                      <w:sz w:val="21"/>
                    </w:rPr>
                    <w:t>69</w:t>
                  </w:r>
                </w:p>
              </w:tc>
              <w:tc>
                <w:tcPr>
                  <w:tcW w:w="3060" w:type="dxa"/>
                  <w:vAlign w:val="center"/>
                </w:tcPr>
                <w:p w14:paraId="236359EF">
                  <w:pPr>
                    <w:pStyle w:val="41"/>
                    <w:keepNext w:val="0"/>
                    <w:keepLines w:val="0"/>
                    <w:suppressLineNumbers w:val="0"/>
                    <w:spacing w:before="62" w:beforeAutospacing="0" w:after="0" w:afterAutospacing="0"/>
                    <w:ind w:left="146" w:right="42"/>
                    <w:jc w:val="center"/>
                    <w:rPr>
                      <w:rFonts w:hint="default"/>
                      <w:color w:val="auto"/>
                      <w:sz w:val="21"/>
                    </w:rPr>
                  </w:pPr>
                  <w:r>
                    <w:rPr>
                      <w:rFonts w:hint="default"/>
                      <w:color w:val="auto"/>
                      <w:sz w:val="21"/>
                    </w:rPr>
                    <w:t>省内购买</w:t>
                  </w:r>
                </w:p>
              </w:tc>
            </w:tr>
          </w:tbl>
          <w:p w14:paraId="4A7E388D">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 xml:space="preserve">表 </w:t>
            </w:r>
            <w:r>
              <w:rPr>
                <w:rFonts w:hint="eastAsia" w:cs="Times New Roman"/>
                <w:b/>
                <w:color w:val="auto"/>
                <w:szCs w:val="21"/>
                <w:lang w:val="en-US" w:eastAsia="zh-CN"/>
              </w:rPr>
              <w:t>2-19</w:t>
            </w:r>
            <w:r>
              <w:rPr>
                <w:rFonts w:hint="default" w:ascii="Times New Roman" w:hAnsi="Times New Roman" w:eastAsia="宋体" w:cs="Times New Roman"/>
                <w:b/>
                <w:color w:val="auto"/>
                <w:szCs w:val="21"/>
              </w:rPr>
              <w:tab/>
            </w:r>
            <w:r>
              <w:rPr>
                <w:rFonts w:hint="default" w:ascii="Times New Roman" w:hAnsi="Times New Roman" w:eastAsia="宋体" w:cs="Times New Roman"/>
                <w:b/>
                <w:color w:val="auto"/>
                <w:szCs w:val="21"/>
              </w:rPr>
              <w:t>砂壁产品原辅材料消耗表</w:t>
            </w:r>
          </w:p>
          <w:tbl>
            <w:tblPr>
              <w:tblStyle w:val="28"/>
              <w:tblW w:w="4998"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677"/>
              <w:gridCol w:w="683"/>
              <w:gridCol w:w="2470"/>
              <w:gridCol w:w="846"/>
              <w:gridCol w:w="899"/>
              <w:gridCol w:w="2795"/>
            </w:tblGrid>
            <w:tr w14:paraId="53177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404" w:type="pct"/>
                  <w:shd w:val="clear" w:color="auto" w:fill="F1F1F1"/>
                </w:tcPr>
                <w:p w14:paraId="46E4F94F">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种类</w:t>
                  </w:r>
                </w:p>
              </w:tc>
              <w:tc>
                <w:tcPr>
                  <w:tcW w:w="408" w:type="pct"/>
                  <w:tcBorders>
                    <w:right w:val="single" w:color="000000" w:sz="4" w:space="0"/>
                  </w:tcBorders>
                  <w:shd w:val="clear" w:color="auto" w:fill="F1F1F1"/>
                </w:tcPr>
                <w:p w14:paraId="0732AFD2">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序号</w:t>
                  </w:r>
                </w:p>
              </w:tc>
              <w:tc>
                <w:tcPr>
                  <w:tcW w:w="1475" w:type="pct"/>
                  <w:tcBorders>
                    <w:left w:val="single" w:color="000000" w:sz="4" w:space="0"/>
                  </w:tcBorders>
                  <w:shd w:val="clear" w:color="auto" w:fill="F1F1F1"/>
                </w:tcPr>
                <w:p w14:paraId="54DC9854">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名</w:t>
                  </w:r>
                  <w:r>
                    <w:rPr>
                      <w:rFonts w:hint="default" w:ascii="Times New Roman" w:hAnsi="Times New Roman" w:eastAsia="宋体" w:cs="Times New Roman"/>
                      <w:b/>
                      <w:color w:val="auto"/>
                      <w:szCs w:val="21"/>
                    </w:rPr>
                    <w:tab/>
                  </w:r>
                  <w:r>
                    <w:rPr>
                      <w:rFonts w:hint="default" w:ascii="Times New Roman" w:hAnsi="Times New Roman" w:eastAsia="宋体" w:cs="Times New Roman"/>
                      <w:b/>
                      <w:color w:val="auto"/>
                      <w:szCs w:val="21"/>
                    </w:rPr>
                    <w:t>称</w:t>
                  </w:r>
                </w:p>
              </w:tc>
              <w:tc>
                <w:tcPr>
                  <w:tcW w:w="505" w:type="pct"/>
                  <w:shd w:val="clear" w:color="auto" w:fill="F1F1F1"/>
                </w:tcPr>
                <w:p w14:paraId="0102B11E">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单 位</w:t>
                  </w:r>
                </w:p>
              </w:tc>
              <w:tc>
                <w:tcPr>
                  <w:tcW w:w="537" w:type="pct"/>
                  <w:shd w:val="clear" w:color="auto" w:fill="F1F1F1"/>
                </w:tcPr>
                <w:p w14:paraId="614B369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数量</w:t>
                  </w:r>
                </w:p>
              </w:tc>
              <w:tc>
                <w:tcPr>
                  <w:tcW w:w="1669" w:type="pct"/>
                  <w:shd w:val="clear" w:color="auto" w:fill="F1F1F1"/>
                </w:tcPr>
                <w:p w14:paraId="682069A8">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来源</w:t>
                  </w:r>
                </w:p>
              </w:tc>
            </w:tr>
            <w:tr w14:paraId="6BB24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404" w:type="pct"/>
                  <w:vMerge w:val="restart"/>
                </w:tcPr>
                <w:p w14:paraId="2D40F9E6">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p>
                <w:p w14:paraId="58008D2F">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颜填料</w:t>
                  </w:r>
                </w:p>
              </w:tc>
              <w:tc>
                <w:tcPr>
                  <w:tcW w:w="408" w:type="pct"/>
                  <w:tcBorders>
                    <w:right w:val="single" w:color="000000" w:sz="4" w:space="0"/>
                  </w:tcBorders>
                </w:tcPr>
                <w:p w14:paraId="2ED28A49">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1475" w:type="pct"/>
                  <w:tcBorders>
                    <w:left w:val="single" w:color="000000" w:sz="4" w:space="0"/>
                  </w:tcBorders>
                </w:tcPr>
                <w:p w14:paraId="217CC6E0">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白砂</w:t>
                  </w:r>
                </w:p>
              </w:tc>
              <w:tc>
                <w:tcPr>
                  <w:tcW w:w="505" w:type="pct"/>
                </w:tcPr>
                <w:p w14:paraId="2E882AE4">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吨/年</w:t>
                  </w:r>
                </w:p>
              </w:tc>
              <w:tc>
                <w:tcPr>
                  <w:tcW w:w="537" w:type="pct"/>
                </w:tcPr>
                <w:p w14:paraId="5DC3DD6D">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12944</w:t>
                  </w:r>
                </w:p>
              </w:tc>
              <w:tc>
                <w:tcPr>
                  <w:tcW w:w="1669" w:type="pct"/>
                  <w:tcBorders>
                    <w:bottom w:val="single" w:color="000000" w:sz="4" w:space="0"/>
                  </w:tcBorders>
                </w:tcPr>
                <w:p w14:paraId="34B6D87D">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r w14:paraId="3F20A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404" w:type="pct"/>
                  <w:vMerge w:val="continue"/>
                  <w:tcBorders>
                    <w:top w:val="nil"/>
                  </w:tcBorders>
                </w:tcPr>
                <w:p w14:paraId="7213180E">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p>
              </w:tc>
              <w:tc>
                <w:tcPr>
                  <w:tcW w:w="408" w:type="pct"/>
                  <w:tcBorders>
                    <w:right w:val="single" w:color="000000" w:sz="4" w:space="0"/>
                  </w:tcBorders>
                </w:tcPr>
                <w:p w14:paraId="44171902">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p>
              </w:tc>
              <w:tc>
                <w:tcPr>
                  <w:tcW w:w="1475" w:type="pct"/>
                  <w:tcBorders>
                    <w:left w:val="single" w:color="000000" w:sz="4" w:space="0"/>
                  </w:tcBorders>
                </w:tcPr>
                <w:p w14:paraId="16D20D3F">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苯乙烯-丙烯酸聚合乳液</w:t>
                  </w:r>
                </w:p>
              </w:tc>
              <w:tc>
                <w:tcPr>
                  <w:tcW w:w="505" w:type="pct"/>
                </w:tcPr>
                <w:p w14:paraId="13817C0C">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吨/年</w:t>
                  </w:r>
                </w:p>
              </w:tc>
              <w:tc>
                <w:tcPr>
                  <w:tcW w:w="537" w:type="pct"/>
                </w:tcPr>
                <w:p w14:paraId="606CE2B4">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2879</w:t>
                  </w:r>
                </w:p>
              </w:tc>
              <w:tc>
                <w:tcPr>
                  <w:tcW w:w="1669" w:type="pct"/>
                  <w:tcBorders>
                    <w:top w:val="single" w:color="000000" w:sz="4" w:space="0"/>
                  </w:tcBorders>
                </w:tcPr>
                <w:p w14:paraId="225F282D">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战略合作企业及伙伴</w:t>
                  </w:r>
                </w:p>
              </w:tc>
            </w:tr>
            <w:tr w14:paraId="50C80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404" w:type="pct"/>
                  <w:vMerge w:val="continue"/>
                  <w:tcBorders>
                    <w:top w:val="nil"/>
                  </w:tcBorders>
                </w:tcPr>
                <w:p w14:paraId="60C96E36">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p>
              </w:tc>
              <w:tc>
                <w:tcPr>
                  <w:tcW w:w="408" w:type="pct"/>
                  <w:tcBorders>
                    <w:right w:val="single" w:color="000000" w:sz="4" w:space="0"/>
                  </w:tcBorders>
                </w:tcPr>
                <w:p w14:paraId="280D9F2C">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w:t>
                  </w:r>
                </w:p>
              </w:tc>
              <w:tc>
                <w:tcPr>
                  <w:tcW w:w="1475" w:type="pct"/>
                  <w:tcBorders>
                    <w:left w:val="single" w:color="000000" w:sz="4" w:space="0"/>
                  </w:tcBorders>
                </w:tcPr>
                <w:p w14:paraId="0EE2F8A4">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重质碳酸钙</w:t>
                  </w:r>
                </w:p>
              </w:tc>
              <w:tc>
                <w:tcPr>
                  <w:tcW w:w="505" w:type="pct"/>
                </w:tcPr>
                <w:p w14:paraId="42E2E0EF">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吨/年</w:t>
                  </w:r>
                </w:p>
              </w:tc>
              <w:tc>
                <w:tcPr>
                  <w:tcW w:w="537" w:type="pct"/>
                </w:tcPr>
                <w:p w14:paraId="132D83B7">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1746</w:t>
                  </w:r>
                </w:p>
              </w:tc>
              <w:tc>
                <w:tcPr>
                  <w:tcW w:w="1669" w:type="pct"/>
                </w:tcPr>
                <w:p w14:paraId="13F1FC4A">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r w14:paraId="6FE99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404" w:type="pct"/>
                  <w:vMerge w:val="continue"/>
                  <w:tcBorders>
                    <w:top w:val="nil"/>
                  </w:tcBorders>
                </w:tcPr>
                <w:p w14:paraId="693D4D03">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p>
              </w:tc>
              <w:tc>
                <w:tcPr>
                  <w:tcW w:w="408" w:type="pct"/>
                  <w:tcBorders>
                    <w:right w:val="single" w:color="000000" w:sz="4" w:space="0"/>
                  </w:tcBorders>
                </w:tcPr>
                <w:p w14:paraId="516992D5">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w:t>
                  </w:r>
                </w:p>
              </w:tc>
              <w:tc>
                <w:tcPr>
                  <w:tcW w:w="1475" w:type="pct"/>
                  <w:tcBorders>
                    <w:left w:val="single" w:color="000000" w:sz="4" w:space="0"/>
                  </w:tcBorders>
                </w:tcPr>
                <w:p w14:paraId="2D82367C">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钛白粉</w:t>
                  </w:r>
                </w:p>
              </w:tc>
              <w:tc>
                <w:tcPr>
                  <w:tcW w:w="505" w:type="pct"/>
                </w:tcPr>
                <w:p w14:paraId="28E6DC10">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吨/年</w:t>
                  </w:r>
                </w:p>
              </w:tc>
              <w:tc>
                <w:tcPr>
                  <w:tcW w:w="537" w:type="pct"/>
                </w:tcPr>
                <w:p w14:paraId="6C68FAB2">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147</w:t>
                  </w:r>
                </w:p>
              </w:tc>
              <w:tc>
                <w:tcPr>
                  <w:tcW w:w="1669" w:type="pct"/>
                </w:tcPr>
                <w:p w14:paraId="32C4FADB">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富民工业园区钛白粉生产企业</w:t>
                  </w:r>
                </w:p>
              </w:tc>
            </w:tr>
            <w:tr w14:paraId="12298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404" w:type="pct"/>
                </w:tcPr>
                <w:p w14:paraId="61324A90">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溶剂</w:t>
                  </w:r>
                </w:p>
              </w:tc>
              <w:tc>
                <w:tcPr>
                  <w:tcW w:w="408" w:type="pct"/>
                  <w:tcBorders>
                    <w:right w:val="single" w:color="000000" w:sz="4" w:space="0"/>
                  </w:tcBorders>
                </w:tcPr>
                <w:p w14:paraId="51E3E75F">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5</w:t>
                  </w:r>
                </w:p>
              </w:tc>
              <w:tc>
                <w:tcPr>
                  <w:tcW w:w="1475" w:type="pct"/>
                  <w:tcBorders>
                    <w:left w:val="single" w:color="000000" w:sz="4" w:space="0"/>
                  </w:tcBorders>
                </w:tcPr>
                <w:p w14:paraId="13C066C0">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过滤水</w:t>
                  </w:r>
                </w:p>
              </w:tc>
              <w:tc>
                <w:tcPr>
                  <w:tcW w:w="505" w:type="pct"/>
                </w:tcPr>
                <w:p w14:paraId="40D4363B">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吨/年</w:t>
                  </w:r>
                </w:p>
              </w:tc>
              <w:tc>
                <w:tcPr>
                  <w:tcW w:w="537" w:type="pct"/>
                </w:tcPr>
                <w:p w14:paraId="78E49EEE">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1911</w:t>
                  </w:r>
                </w:p>
              </w:tc>
              <w:tc>
                <w:tcPr>
                  <w:tcW w:w="1669" w:type="pct"/>
                </w:tcPr>
                <w:p w14:paraId="5A3B47C2">
                  <w:pPr>
                    <w:pStyle w:val="41"/>
                    <w:keepNext w:val="0"/>
                    <w:keepLines w:val="0"/>
                    <w:suppressLineNumbers w:val="0"/>
                    <w:spacing w:before="19"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工业园区</w:t>
                  </w:r>
                </w:p>
              </w:tc>
            </w:tr>
            <w:tr w14:paraId="37624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404" w:type="pct"/>
                  <w:vMerge w:val="restart"/>
                </w:tcPr>
                <w:p w14:paraId="11C543D5">
                  <w:pPr>
                    <w:pStyle w:val="41"/>
                    <w:keepNext w:val="0"/>
                    <w:keepLines w:val="0"/>
                    <w:suppressLineNumbers w:val="0"/>
                    <w:spacing w:before="0" w:beforeAutospacing="0" w:after="0" w:afterAutospacing="0"/>
                    <w:ind w:left="0" w:right="0"/>
                    <w:rPr>
                      <w:rFonts w:hint="default"/>
                      <w:color w:val="auto"/>
                      <w:sz w:val="20"/>
                    </w:rPr>
                  </w:pPr>
                </w:p>
                <w:p w14:paraId="1CC4DD91">
                  <w:pPr>
                    <w:pStyle w:val="41"/>
                    <w:keepNext w:val="0"/>
                    <w:keepLines w:val="0"/>
                    <w:suppressLineNumbers w:val="0"/>
                    <w:spacing w:before="0" w:beforeAutospacing="0" w:after="0" w:afterAutospacing="0"/>
                    <w:ind w:left="0" w:right="0"/>
                    <w:rPr>
                      <w:rFonts w:hint="default"/>
                      <w:color w:val="auto"/>
                      <w:sz w:val="20"/>
                    </w:rPr>
                  </w:pPr>
                </w:p>
                <w:p w14:paraId="49A02F2A">
                  <w:pPr>
                    <w:pStyle w:val="41"/>
                    <w:keepNext w:val="0"/>
                    <w:keepLines w:val="0"/>
                    <w:suppressLineNumbers w:val="0"/>
                    <w:spacing w:before="5" w:beforeAutospacing="0" w:after="0" w:afterAutospacing="0"/>
                    <w:ind w:left="0" w:right="0"/>
                    <w:rPr>
                      <w:rFonts w:hint="default"/>
                      <w:color w:val="auto"/>
                      <w:sz w:val="17"/>
                    </w:rPr>
                  </w:pPr>
                </w:p>
                <w:p w14:paraId="65604F2A">
                  <w:pPr>
                    <w:pStyle w:val="41"/>
                    <w:keepNext w:val="0"/>
                    <w:keepLines w:val="0"/>
                    <w:suppressLineNumbers w:val="0"/>
                    <w:spacing w:before="1" w:beforeAutospacing="0" w:after="0" w:afterAutospacing="0"/>
                    <w:ind w:left="149" w:right="0"/>
                    <w:rPr>
                      <w:rFonts w:hint="default"/>
                      <w:color w:val="auto"/>
                      <w:sz w:val="21"/>
                    </w:rPr>
                  </w:pPr>
                  <w:r>
                    <w:rPr>
                      <w:rFonts w:hint="default"/>
                      <w:color w:val="auto"/>
                      <w:sz w:val="21"/>
                    </w:rPr>
                    <w:t>助剂</w:t>
                  </w:r>
                </w:p>
              </w:tc>
              <w:tc>
                <w:tcPr>
                  <w:tcW w:w="408" w:type="pct"/>
                  <w:tcBorders>
                    <w:right w:val="single" w:color="000000" w:sz="4" w:space="0"/>
                  </w:tcBorders>
                </w:tcPr>
                <w:p w14:paraId="4185D665">
                  <w:pPr>
                    <w:pStyle w:val="41"/>
                    <w:keepNext w:val="0"/>
                    <w:keepLines w:val="0"/>
                    <w:suppressLineNumbers w:val="0"/>
                    <w:spacing w:before="20" w:beforeAutospacing="0" w:after="0" w:afterAutospacing="0"/>
                    <w:ind w:left="13" w:right="0"/>
                    <w:jc w:val="center"/>
                    <w:rPr>
                      <w:rFonts w:hint="default" w:ascii="Times New Roman"/>
                      <w:color w:val="auto"/>
                      <w:sz w:val="21"/>
                    </w:rPr>
                  </w:pPr>
                  <w:r>
                    <w:rPr>
                      <w:rFonts w:hint="default" w:ascii="Times New Roman"/>
                      <w:color w:val="auto"/>
                      <w:w w:val="100"/>
                      <w:sz w:val="21"/>
                    </w:rPr>
                    <w:t>6</w:t>
                  </w:r>
                </w:p>
              </w:tc>
              <w:tc>
                <w:tcPr>
                  <w:tcW w:w="1475" w:type="pct"/>
                  <w:tcBorders>
                    <w:left w:val="single" w:color="000000" w:sz="4" w:space="0"/>
                  </w:tcBorders>
                </w:tcPr>
                <w:p w14:paraId="4A3B678C">
                  <w:pPr>
                    <w:pStyle w:val="41"/>
                    <w:keepNext w:val="0"/>
                    <w:keepLines w:val="0"/>
                    <w:suppressLineNumbers w:val="0"/>
                    <w:spacing w:before="40" w:beforeAutospacing="0" w:after="0" w:afterAutospacing="0"/>
                    <w:ind w:left="15" w:right="0"/>
                    <w:jc w:val="center"/>
                    <w:rPr>
                      <w:rFonts w:hint="default"/>
                      <w:color w:val="auto"/>
                      <w:sz w:val="21"/>
                    </w:rPr>
                  </w:pPr>
                  <w:r>
                    <w:rPr>
                      <w:rFonts w:hint="default"/>
                      <w:color w:val="auto"/>
                      <w:sz w:val="21"/>
                    </w:rPr>
                    <w:t>成膜助剂（十二碳酸酯）</w:t>
                  </w:r>
                </w:p>
              </w:tc>
              <w:tc>
                <w:tcPr>
                  <w:tcW w:w="505" w:type="pct"/>
                </w:tcPr>
                <w:p w14:paraId="72E87F39">
                  <w:pPr>
                    <w:pStyle w:val="41"/>
                    <w:keepNext w:val="0"/>
                    <w:keepLines w:val="0"/>
                    <w:suppressLineNumbers w:val="0"/>
                    <w:spacing w:before="2" w:beforeAutospacing="0" w:after="0" w:afterAutospacing="0"/>
                    <w:ind w:left="0" w:right="194"/>
                    <w:jc w:val="right"/>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537" w:type="pct"/>
                </w:tcPr>
                <w:p w14:paraId="63665C75">
                  <w:pPr>
                    <w:pStyle w:val="41"/>
                    <w:keepNext w:val="0"/>
                    <w:keepLines w:val="0"/>
                    <w:suppressLineNumbers w:val="0"/>
                    <w:spacing w:before="40" w:beforeAutospacing="0" w:after="0" w:afterAutospacing="0"/>
                    <w:ind w:left="167" w:right="150"/>
                    <w:jc w:val="center"/>
                    <w:rPr>
                      <w:rFonts w:hint="default"/>
                      <w:color w:val="auto"/>
                      <w:sz w:val="21"/>
                    </w:rPr>
                  </w:pPr>
                  <w:r>
                    <w:rPr>
                      <w:rFonts w:hint="default"/>
                      <w:color w:val="auto"/>
                      <w:sz w:val="21"/>
                    </w:rPr>
                    <w:t>146</w:t>
                  </w:r>
                </w:p>
              </w:tc>
              <w:tc>
                <w:tcPr>
                  <w:tcW w:w="1669" w:type="pct"/>
                </w:tcPr>
                <w:p w14:paraId="777FB9FD">
                  <w:pPr>
                    <w:pStyle w:val="41"/>
                    <w:keepNext w:val="0"/>
                    <w:keepLines w:val="0"/>
                    <w:suppressLineNumbers w:val="0"/>
                    <w:spacing w:before="40" w:beforeAutospacing="0" w:after="0" w:afterAutospacing="0"/>
                    <w:ind w:left="1154" w:right="0"/>
                    <w:rPr>
                      <w:rFonts w:hint="default"/>
                      <w:color w:val="auto"/>
                      <w:sz w:val="21"/>
                    </w:rPr>
                  </w:pPr>
                  <w:r>
                    <w:rPr>
                      <w:rFonts w:hint="default"/>
                      <w:color w:val="auto"/>
                      <w:sz w:val="21"/>
                    </w:rPr>
                    <w:t>省内购买</w:t>
                  </w:r>
                </w:p>
              </w:tc>
            </w:tr>
            <w:tr w14:paraId="28165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404" w:type="pct"/>
                  <w:vMerge w:val="continue"/>
                  <w:tcBorders>
                    <w:top w:val="nil"/>
                  </w:tcBorders>
                </w:tcPr>
                <w:p w14:paraId="4C0DE507">
                  <w:pPr>
                    <w:keepNext w:val="0"/>
                    <w:keepLines w:val="0"/>
                    <w:suppressLineNumbers w:val="0"/>
                    <w:spacing w:before="0" w:beforeAutospacing="0" w:after="0" w:afterAutospacing="0"/>
                    <w:ind w:left="0" w:right="0"/>
                    <w:rPr>
                      <w:rFonts w:hint="default"/>
                      <w:color w:val="auto"/>
                      <w:sz w:val="2"/>
                      <w:szCs w:val="2"/>
                    </w:rPr>
                  </w:pPr>
                </w:p>
              </w:tc>
              <w:tc>
                <w:tcPr>
                  <w:tcW w:w="408" w:type="pct"/>
                  <w:tcBorders>
                    <w:right w:val="single" w:color="000000" w:sz="4" w:space="0"/>
                  </w:tcBorders>
                </w:tcPr>
                <w:p w14:paraId="368332A9">
                  <w:pPr>
                    <w:pStyle w:val="41"/>
                    <w:keepNext w:val="0"/>
                    <w:keepLines w:val="0"/>
                    <w:suppressLineNumbers w:val="0"/>
                    <w:spacing w:before="21" w:beforeAutospacing="0" w:after="0" w:afterAutospacing="0"/>
                    <w:ind w:left="13" w:right="0"/>
                    <w:jc w:val="center"/>
                    <w:rPr>
                      <w:rFonts w:hint="default" w:ascii="Times New Roman"/>
                      <w:color w:val="auto"/>
                      <w:sz w:val="21"/>
                    </w:rPr>
                  </w:pPr>
                  <w:r>
                    <w:rPr>
                      <w:rFonts w:hint="default" w:ascii="Times New Roman"/>
                      <w:color w:val="auto"/>
                      <w:w w:val="100"/>
                      <w:sz w:val="21"/>
                    </w:rPr>
                    <w:t>7</w:t>
                  </w:r>
                </w:p>
              </w:tc>
              <w:tc>
                <w:tcPr>
                  <w:tcW w:w="1475" w:type="pct"/>
                  <w:tcBorders>
                    <w:left w:val="single" w:color="000000" w:sz="4" w:space="0"/>
                  </w:tcBorders>
                </w:tcPr>
                <w:p w14:paraId="340FBD7F">
                  <w:pPr>
                    <w:pStyle w:val="41"/>
                    <w:keepNext w:val="0"/>
                    <w:keepLines w:val="0"/>
                    <w:suppressLineNumbers w:val="0"/>
                    <w:spacing w:before="41" w:beforeAutospacing="0" w:after="0" w:afterAutospacing="0"/>
                    <w:ind w:left="10" w:right="0"/>
                    <w:jc w:val="center"/>
                    <w:rPr>
                      <w:rFonts w:hint="default"/>
                      <w:color w:val="auto"/>
                      <w:sz w:val="21"/>
                    </w:rPr>
                  </w:pPr>
                  <w:r>
                    <w:rPr>
                      <w:rFonts w:hint="default"/>
                      <w:color w:val="auto"/>
                      <w:sz w:val="21"/>
                    </w:rPr>
                    <w:t>增稠剂（羟乙基纤维素）</w:t>
                  </w:r>
                </w:p>
              </w:tc>
              <w:tc>
                <w:tcPr>
                  <w:tcW w:w="505" w:type="pct"/>
                </w:tcPr>
                <w:p w14:paraId="36A3F7A7">
                  <w:pPr>
                    <w:pStyle w:val="41"/>
                    <w:keepNext w:val="0"/>
                    <w:keepLines w:val="0"/>
                    <w:suppressLineNumbers w:val="0"/>
                    <w:spacing w:before="2" w:beforeAutospacing="0" w:after="0" w:afterAutospacing="0"/>
                    <w:ind w:left="0" w:right="194"/>
                    <w:jc w:val="right"/>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537" w:type="pct"/>
                </w:tcPr>
                <w:p w14:paraId="0BAF6E92">
                  <w:pPr>
                    <w:pStyle w:val="41"/>
                    <w:keepNext w:val="0"/>
                    <w:keepLines w:val="0"/>
                    <w:suppressLineNumbers w:val="0"/>
                    <w:spacing w:before="41" w:beforeAutospacing="0" w:after="0" w:afterAutospacing="0"/>
                    <w:ind w:left="167" w:right="150"/>
                    <w:jc w:val="center"/>
                    <w:rPr>
                      <w:rFonts w:hint="default"/>
                      <w:color w:val="auto"/>
                      <w:sz w:val="21"/>
                    </w:rPr>
                  </w:pPr>
                  <w:r>
                    <w:rPr>
                      <w:rFonts w:hint="default"/>
                      <w:color w:val="auto"/>
                      <w:sz w:val="21"/>
                    </w:rPr>
                    <w:t>27</w:t>
                  </w:r>
                </w:p>
              </w:tc>
              <w:tc>
                <w:tcPr>
                  <w:tcW w:w="1669" w:type="pct"/>
                </w:tcPr>
                <w:p w14:paraId="67BEEE32">
                  <w:pPr>
                    <w:pStyle w:val="41"/>
                    <w:keepNext w:val="0"/>
                    <w:keepLines w:val="0"/>
                    <w:suppressLineNumbers w:val="0"/>
                    <w:spacing w:before="2" w:beforeAutospacing="0" w:after="0" w:afterAutospacing="0"/>
                    <w:ind w:left="1111" w:right="0"/>
                    <w:rPr>
                      <w:rFonts w:hint="default"/>
                      <w:color w:val="auto"/>
                      <w:sz w:val="21"/>
                    </w:rPr>
                  </w:pPr>
                  <w:r>
                    <w:rPr>
                      <w:rFonts w:hint="default"/>
                      <w:color w:val="auto"/>
                      <w:sz w:val="21"/>
                    </w:rPr>
                    <w:t>省内购买</w:t>
                  </w:r>
                </w:p>
              </w:tc>
            </w:tr>
            <w:tr w14:paraId="2234F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404" w:type="pct"/>
                  <w:vMerge w:val="continue"/>
                  <w:tcBorders>
                    <w:top w:val="nil"/>
                  </w:tcBorders>
                </w:tcPr>
                <w:p w14:paraId="4E314656">
                  <w:pPr>
                    <w:keepNext w:val="0"/>
                    <w:keepLines w:val="0"/>
                    <w:suppressLineNumbers w:val="0"/>
                    <w:spacing w:before="0" w:beforeAutospacing="0" w:after="0" w:afterAutospacing="0"/>
                    <w:ind w:left="0" w:right="0"/>
                    <w:rPr>
                      <w:rFonts w:hint="default"/>
                      <w:color w:val="auto"/>
                      <w:sz w:val="2"/>
                      <w:szCs w:val="2"/>
                    </w:rPr>
                  </w:pPr>
                </w:p>
              </w:tc>
              <w:tc>
                <w:tcPr>
                  <w:tcW w:w="408" w:type="pct"/>
                  <w:tcBorders>
                    <w:right w:val="single" w:color="000000" w:sz="4" w:space="0"/>
                  </w:tcBorders>
                </w:tcPr>
                <w:p w14:paraId="3697B480">
                  <w:pPr>
                    <w:pStyle w:val="41"/>
                    <w:keepNext w:val="0"/>
                    <w:keepLines w:val="0"/>
                    <w:suppressLineNumbers w:val="0"/>
                    <w:spacing w:before="22" w:beforeAutospacing="0" w:after="0" w:afterAutospacing="0"/>
                    <w:ind w:left="13" w:right="0"/>
                    <w:jc w:val="center"/>
                    <w:rPr>
                      <w:rFonts w:hint="default" w:ascii="Times New Roman"/>
                      <w:color w:val="auto"/>
                      <w:sz w:val="21"/>
                    </w:rPr>
                  </w:pPr>
                  <w:r>
                    <w:rPr>
                      <w:rFonts w:hint="default" w:ascii="Times New Roman"/>
                      <w:color w:val="auto"/>
                      <w:w w:val="100"/>
                      <w:sz w:val="21"/>
                    </w:rPr>
                    <w:t>8</w:t>
                  </w:r>
                </w:p>
              </w:tc>
              <w:tc>
                <w:tcPr>
                  <w:tcW w:w="1475" w:type="pct"/>
                  <w:tcBorders>
                    <w:left w:val="single" w:color="000000" w:sz="4" w:space="0"/>
                  </w:tcBorders>
                </w:tcPr>
                <w:p w14:paraId="033E42CE">
                  <w:pPr>
                    <w:pStyle w:val="41"/>
                    <w:keepNext w:val="0"/>
                    <w:keepLines w:val="0"/>
                    <w:suppressLineNumbers w:val="0"/>
                    <w:spacing w:before="41" w:beforeAutospacing="0" w:after="0" w:afterAutospacing="0"/>
                    <w:ind w:left="20" w:right="0"/>
                    <w:jc w:val="center"/>
                    <w:rPr>
                      <w:rFonts w:hint="default"/>
                      <w:color w:val="auto"/>
                      <w:sz w:val="21"/>
                    </w:rPr>
                  </w:pPr>
                  <w:r>
                    <w:rPr>
                      <w:rFonts w:hint="default"/>
                      <w:color w:val="auto"/>
                      <w:sz w:val="21"/>
                    </w:rPr>
                    <w:t>阻聚剂（氨水 25%）</w:t>
                  </w:r>
                </w:p>
              </w:tc>
              <w:tc>
                <w:tcPr>
                  <w:tcW w:w="505" w:type="pct"/>
                </w:tcPr>
                <w:p w14:paraId="61582CFC">
                  <w:pPr>
                    <w:pStyle w:val="41"/>
                    <w:keepNext w:val="0"/>
                    <w:keepLines w:val="0"/>
                    <w:suppressLineNumbers w:val="0"/>
                    <w:spacing w:before="3" w:beforeAutospacing="0" w:after="0" w:afterAutospacing="0"/>
                    <w:ind w:left="0" w:right="194"/>
                    <w:jc w:val="right"/>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537" w:type="pct"/>
                </w:tcPr>
                <w:p w14:paraId="072E85FE">
                  <w:pPr>
                    <w:pStyle w:val="41"/>
                    <w:keepNext w:val="0"/>
                    <w:keepLines w:val="0"/>
                    <w:suppressLineNumbers w:val="0"/>
                    <w:spacing w:before="41" w:beforeAutospacing="0" w:after="0" w:afterAutospacing="0"/>
                    <w:ind w:left="167" w:right="150"/>
                    <w:jc w:val="center"/>
                    <w:rPr>
                      <w:rFonts w:hint="default"/>
                      <w:color w:val="auto"/>
                      <w:sz w:val="21"/>
                    </w:rPr>
                  </w:pPr>
                  <w:r>
                    <w:rPr>
                      <w:rFonts w:hint="default"/>
                      <w:color w:val="auto"/>
                      <w:sz w:val="21"/>
                    </w:rPr>
                    <w:t>14</w:t>
                  </w:r>
                </w:p>
              </w:tc>
              <w:tc>
                <w:tcPr>
                  <w:tcW w:w="1669" w:type="pct"/>
                </w:tcPr>
                <w:p w14:paraId="4EF1BCEA">
                  <w:pPr>
                    <w:pStyle w:val="41"/>
                    <w:keepNext w:val="0"/>
                    <w:keepLines w:val="0"/>
                    <w:suppressLineNumbers w:val="0"/>
                    <w:spacing w:before="3" w:beforeAutospacing="0" w:after="0" w:afterAutospacing="0"/>
                    <w:ind w:left="1111" w:right="0"/>
                    <w:rPr>
                      <w:rFonts w:hint="default"/>
                      <w:color w:val="auto"/>
                      <w:sz w:val="21"/>
                    </w:rPr>
                  </w:pPr>
                  <w:r>
                    <w:rPr>
                      <w:rFonts w:hint="default"/>
                      <w:color w:val="auto"/>
                      <w:sz w:val="21"/>
                    </w:rPr>
                    <w:t>省内购买</w:t>
                  </w:r>
                </w:p>
              </w:tc>
            </w:tr>
            <w:tr w14:paraId="3A6E7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404" w:type="pct"/>
                  <w:vMerge w:val="continue"/>
                  <w:tcBorders>
                    <w:top w:val="nil"/>
                  </w:tcBorders>
                </w:tcPr>
                <w:p w14:paraId="7E192B01">
                  <w:pPr>
                    <w:keepNext w:val="0"/>
                    <w:keepLines w:val="0"/>
                    <w:suppressLineNumbers w:val="0"/>
                    <w:spacing w:before="0" w:beforeAutospacing="0" w:after="0" w:afterAutospacing="0"/>
                    <w:ind w:left="0" w:right="0"/>
                    <w:rPr>
                      <w:rFonts w:hint="default"/>
                      <w:color w:val="auto"/>
                      <w:sz w:val="2"/>
                      <w:szCs w:val="2"/>
                    </w:rPr>
                  </w:pPr>
                </w:p>
              </w:tc>
              <w:tc>
                <w:tcPr>
                  <w:tcW w:w="408" w:type="pct"/>
                  <w:tcBorders>
                    <w:right w:val="single" w:color="000000" w:sz="4" w:space="0"/>
                  </w:tcBorders>
                </w:tcPr>
                <w:p w14:paraId="61761309">
                  <w:pPr>
                    <w:pStyle w:val="41"/>
                    <w:keepNext w:val="0"/>
                    <w:keepLines w:val="0"/>
                    <w:suppressLineNumbers w:val="0"/>
                    <w:spacing w:before="22" w:beforeAutospacing="0" w:after="0" w:afterAutospacing="0"/>
                    <w:ind w:left="13" w:right="0"/>
                    <w:jc w:val="center"/>
                    <w:rPr>
                      <w:rFonts w:hint="default" w:ascii="Times New Roman"/>
                      <w:color w:val="auto"/>
                      <w:sz w:val="21"/>
                    </w:rPr>
                  </w:pPr>
                  <w:r>
                    <w:rPr>
                      <w:rFonts w:hint="default" w:ascii="Times New Roman"/>
                      <w:color w:val="auto"/>
                      <w:w w:val="100"/>
                      <w:sz w:val="21"/>
                    </w:rPr>
                    <w:t>9</w:t>
                  </w:r>
                </w:p>
              </w:tc>
              <w:tc>
                <w:tcPr>
                  <w:tcW w:w="1475" w:type="pct"/>
                  <w:tcBorders>
                    <w:left w:val="single" w:color="000000" w:sz="4" w:space="0"/>
                  </w:tcBorders>
                </w:tcPr>
                <w:p w14:paraId="60A5E214">
                  <w:pPr>
                    <w:pStyle w:val="41"/>
                    <w:keepNext w:val="0"/>
                    <w:keepLines w:val="0"/>
                    <w:suppressLineNumbers w:val="0"/>
                    <w:spacing w:before="42" w:beforeAutospacing="0" w:after="0" w:afterAutospacing="0"/>
                    <w:ind w:left="10" w:right="0"/>
                    <w:jc w:val="center"/>
                    <w:rPr>
                      <w:rFonts w:hint="default"/>
                      <w:color w:val="auto"/>
                      <w:sz w:val="21"/>
                    </w:rPr>
                  </w:pPr>
                  <w:r>
                    <w:rPr>
                      <w:rFonts w:hint="default"/>
                      <w:color w:val="auto"/>
                      <w:sz w:val="21"/>
                    </w:rPr>
                    <w:t>分散剂（聚丙烯酸钠盐）</w:t>
                  </w:r>
                </w:p>
              </w:tc>
              <w:tc>
                <w:tcPr>
                  <w:tcW w:w="505" w:type="pct"/>
                </w:tcPr>
                <w:p w14:paraId="0794A343">
                  <w:pPr>
                    <w:pStyle w:val="41"/>
                    <w:keepNext w:val="0"/>
                    <w:keepLines w:val="0"/>
                    <w:suppressLineNumbers w:val="0"/>
                    <w:spacing w:before="3" w:beforeAutospacing="0" w:after="0" w:afterAutospacing="0"/>
                    <w:ind w:left="0" w:right="194"/>
                    <w:jc w:val="right"/>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537" w:type="pct"/>
                </w:tcPr>
                <w:p w14:paraId="5D3A9FA6">
                  <w:pPr>
                    <w:pStyle w:val="41"/>
                    <w:keepNext w:val="0"/>
                    <w:keepLines w:val="0"/>
                    <w:suppressLineNumbers w:val="0"/>
                    <w:spacing w:before="42" w:beforeAutospacing="0" w:after="0" w:afterAutospacing="0"/>
                    <w:ind w:left="167" w:right="150"/>
                    <w:jc w:val="center"/>
                    <w:rPr>
                      <w:rFonts w:hint="default"/>
                      <w:color w:val="auto"/>
                      <w:sz w:val="21"/>
                    </w:rPr>
                  </w:pPr>
                  <w:r>
                    <w:rPr>
                      <w:rFonts w:hint="default"/>
                      <w:color w:val="auto"/>
                      <w:sz w:val="21"/>
                    </w:rPr>
                    <w:t>40</w:t>
                  </w:r>
                </w:p>
              </w:tc>
              <w:tc>
                <w:tcPr>
                  <w:tcW w:w="1669" w:type="pct"/>
                </w:tcPr>
                <w:p w14:paraId="4F70931B">
                  <w:pPr>
                    <w:pStyle w:val="41"/>
                    <w:keepNext w:val="0"/>
                    <w:keepLines w:val="0"/>
                    <w:suppressLineNumbers w:val="0"/>
                    <w:spacing w:before="42" w:beforeAutospacing="0" w:after="0" w:afterAutospacing="0"/>
                    <w:ind w:left="1154" w:right="0"/>
                    <w:rPr>
                      <w:rFonts w:hint="default"/>
                      <w:color w:val="auto"/>
                      <w:sz w:val="21"/>
                    </w:rPr>
                  </w:pPr>
                  <w:r>
                    <w:rPr>
                      <w:rFonts w:hint="default"/>
                      <w:color w:val="auto"/>
                      <w:sz w:val="21"/>
                    </w:rPr>
                    <w:t>省内购买</w:t>
                  </w:r>
                </w:p>
              </w:tc>
            </w:tr>
            <w:tr w14:paraId="563C4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404" w:type="pct"/>
                  <w:vMerge w:val="continue"/>
                  <w:tcBorders>
                    <w:top w:val="nil"/>
                  </w:tcBorders>
                </w:tcPr>
                <w:p w14:paraId="665890C9">
                  <w:pPr>
                    <w:keepNext w:val="0"/>
                    <w:keepLines w:val="0"/>
                    <w:suppressLineNumbers w:val="0"/>
                    <w:spacing w:before="0" w:beforeAutospacing="0" w:after="0" w:afterAutospacing="0"/>
                    <w:ind w:left="0" w:right="0"/>
                    <w:rPr>
                      <w:rFonts w:hint="default"/>
                      <w:color w:val="auto"/>
                      <w:sz w:val="2"/>
                      <w:szCs w:val="2"/>
                    </w:rPr>
                  </w:pPr>
                </w:p>
              </w:tc>
              <w:tc>
                <w:tcPr>
                  <w:tcW w:w="408" w:type="pct"/>
                  <w:tcBorders>
                    <w:right w:val="single" w:color="000000" w:sz="4" w:space="0"/>
                  </w:tcBorders>
                </w:tcPr>
                <w:p w14:paraId="2DC66A88">
                  <w:pPr>
                    <w:pStyle w:val="41"/>
                    <w:keepNext w:val="0"/>
                    <w:keepLines w:val="0"/>
                    <w:suppressLineNumbers w:val="0"/>
                    <w:spacing w:before="18" w:beforeAutospacing="0" w:after="0" w:afterAutospacing="0"/>
                    <w:ind w:left="128" w:right="116"/>
                    <w:jc w:val="center"/>
                    <w:rPr>
                      <w:rFonts w:hint="default" w:ascii="Times New Roman"/>
                      <w:color w:val="auto"/>
                      <w:sz w:val="21"/>
                    </w:rPr>
                  </w:pPr>
                  <w:r>
                    <w:rPr>
                      <w:rFonts w:hint="default" w:ascii="Times New Roman"/>
                      <w:color w:val="auto"/>
                      <w:sz w:val="21"/>
                    </w:rPr>
                    <w:t>10</w:t>
                  </w:r>
                </w:p>
              </w:tc>
              <w:tc>
                <w:tcPr>
                  <w:tcW w:w="1475" w:type="pct"/>
                  <w:tcBorders>
                    <w:left w:val="single" w:color="000000" w:sz="4" w:space="0"/>
                  </w:tcBorders>
                </w:tcPr>
                <w:p w14:paraId="5490348F">
                  <w:pPr>
                    <w:pStyle w:val="41"/>
                    <w:keepNext w:val="0"/>
                    <w:keepLines w:val="0"/>
                    <w:suppressLineNumbers w:val="0"/>
                    <w:spacing w:before="42" w:beforeAutospacing="0" w:after="0" w:afterAutospacing="0"/>
                    <w:ind w:left="15" w:right="0"/>
                    <w:jc w:val="center"/>
                    <w:rPr>
                      <w:rFonts w:hint="default"/>
                      <w:color w:val="auto"/>
                      <w:sz w:val="21"/>
                    </w:rPr>
                  </w:pPr>
                  <w:r>
                    <w:rPr>
                      <w:rFonts w:hint="default"/>
                      <w:color w:val="auto"/>
                      <w:sz w:val="21"/>
                    </w:rPr>
                    <w:t>防冻剂（丙二醇）</w:t>
                  </w:r>
                </w:p>
              </w:tc>
              <w:tc>
                <w:tcPr>
                  <w:tcW w:w="505" w:type="pct"/>
                </w:tcPr>
                <w:p w14:paraId="6C1D777F">
                  <w:pPr>
                    <w:pStyle w:val="41"/>
                    <w:keepNext w:val="0"/>
                    <w:keepLines w:val="0"/>
                    <w:suppressLineNumbers w:val="0"/>
                    <w:spacing w:before="4" w:beforeAutospacing="0" w:after="0" w:afterAutospacing="0"/>
                    <w:ind w:left="0" w:right="194"/>
                    <w:jc w:val="right"/>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537" w:type="pct"/>
                </w:tcPr>
                <w:p w14:paraId="6C0837A1">
                  <w:pPr>
                    <w:pStyle w:val="41"/>
                    <w:keepNext w:val="0"/>
                    <w:keepLines w:val="0"/>
                    <w:suppressLineNumbers w:val="0"/>
                    <w:spacing w:before="42" w:beforeAutospacing="0" w:after="0" w:afterAutospacing="0"/>
                    <w:ind w:left="167" w:right="150"/>
                    <w:jc w:val="center"/>
                    <w:rPr>
                      <w:rFonts w:hint="default"/>
                      <w:color w:val="auto"/>
                      <w:sz w:val="21"/>
                    </w:rPr>
                  </w:pPr>
                  <w:r>
                    <w:rPr>
                      <w:rFonts w:hint="default"/>
                      <w:color w:val="auto"/>
                      <w:sz w:val="21"/>
                    </w:rPr>
                    <w:t>146</w:t>
                  </w:r>
                </w:p>
              </w:tc>
              <w:tc>
                <w:tcPr>
                  <w:tcW w:w="1669" w:type="pct"/>
                </w:tcPr>
                <w:p w14:paraId="7244585D">
                  <w:pPr>
                    <w:pStyle w:val="41"/>
                    <w:keepNext w:val="0"/>
                    <w:keepLines w:val="0"/>
                    <w:suppressLineNumbers w:val="0"/>
                    <w:spacing w:before="42" w:beforeAutospacing="0" w:after="0" w:afterAutospacing="0"/>
                    <w:ind w:left="1154" w:right="0"/>
                    <w:rPr>
                      <w:rFonts w:hint="default"/>
                      <w:color w:val="auto"/>
                      <w:sz w:val="21"/>
                    </w:rPr>
                  </w:pPr>
                  <w:r>
                    <w:rPr>
                      <w:rFonts w:hint="default"/>
                      <w:color w:val="auto"/>
                      <w:sz w:val="21"/>
                    </w:rPr>
                    <w:t>省内购买</w:t>
                  </w:r>
                </w:p>
              </w:tc>
            </w:tr>
            <w:tr w14:paraId="5453D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404" w:type="pct"/>
                  <w:vMerge w:val="restart"/>
                </w:tcPr>
                <w:p w14:paraId="234BE160">
                  <w:pPr>
                    <w:pStyle w:val="41"/>
                    <w:keepNext w:val="0"/>
                    <w:keepLines w:val="0"/>
                    <w:suppressLineNumbers w:val="0"/>
                    <w:spacing w:before="10" w:beforeAutospacing="0" w:after="0" w:afterAutospacing="0"/>
                    <w:ind w:left="0" w:right="0"/>
                    <w:rPr>
                      <w:rFonts w:hint="default"/>
                      <w:color w:val="auto"/>
                      <w:sz w:val="28"/>
                    </w:rPr>
                  </w:pPr>
                </w:p>
                <w:p w14:paraId="12EC5A0F">
                  <w:pPr>
                    <w:pStyle w:val="41"/>
                    <w:keepNext w:val="0"/>
                    <w:keepLines w:val="0"/>
                    <w:suppressLineNumbers w:val="0"/>
                    <w:spacing w:before="1" w:beforeAutospacing="0" w:after="0" w:afterAutospacing="0"/>
                    <w:ind w:left="149" w:right="0"/>
                    <w:rPr>
                      <w:rFonts w:hint="default"/>
                      <w:color w:val="auto"/>
                      <w:sz w:val="21"/>
                    </w:rPr>
                  </w:pPr>
                  <w:r>
                    <w:rPr>
                      <w:rFonts w:hint="default"/>
                      <w:color w:val="auto"/>
                      <w:sz w:val="21"/>
                    </w:rPr>
                    <w:t>色浆</w:t>
                  </w:r>
                </w:p>
              </w:tc>
              <w:tc>
                <w:tcPr>
                  <w:tcW w:w="408" w:type="pct"/>
                  <w:tcBorders>
                    <w:right w:val="single" w:color="000000" w:sz="4" w:space="0"/>
                  </w:tcBorders>
                </w:tcPr>
                <w:p w14:paraId="1E7B6E51">
                  <w:pPr>
                    <w:pStyle w:val="41"/>
                    <w:keepNext w:val="0"/>
                    <w:keepLines w:val="0"/>
                    <w:suppressLineNumbers w:val="0"/>
                    <w:spacing w:before="19" w:beforeAutospacing="0" w:after="0" w:afterAutospacing="0"/>
                    <w:ind w:left="128" w:right="111"/>
                    <w:jc w:val="center"/>
                    <w:rPr>
                      <w:rFonts w:hint="default" w:ascii="Times New Roman"/>
                      <w:color w:val="auto"/>
                      <w:sz w:val="21"/>
                    </w:rPr>
                  </w:pPr>
                  <w:r>
                    <w:rPr>
                      <w:rFonts w:hint="default" w:ascii="Times New Roman"/>
                      <w:color w:val="auto"/>
                      <w:sz w:val="21"/>
                    </w:rPr>
                    <w:t>11</w:t>
                  </w:r>
                </w:p>
              </w:tc>
              <w:tc>
                <w:tcPr>
                  <w:tcW w:w="1475" w:type="pct"/>
                  <w:tcBorders>
                    <w:left w:val="single" w:color="000000" w:sz="4" w:space="0"/>
                  </w:tcBorders>
                </w:tcPr>
                <w:p w14:paraId="0902CC63">
                  <w:pPr>
                    <w:pStyle w:val="41"/>
                    <w:keepNext w:val="0"/>
                    <w:keepLines w:val="0"/>
                    <w:suppressLineNumbers w:val="0"/>
                    <w:spacing w:before="43" w:beforeAutospacing="0" w:after="0" w:afterAutospacing="0"/>
                    <w:ind w:left="15" w:right="0"/>
                    <w:jc w:val="center"/>
                    <w:rPr>
                      <w:rFonts w:hint="default"/>
                      <w:color w:val="auto"/>
                      <w:sz w:val="21"/>
                    </w:rPr>
                  </w:pPr>
                  <w:r>
                    <w:rPr>
                      <w:rFonts w:hint="default"/>
                      <w:color w:val="auto"/>
                      <w:sz w:val="21"/>
                    </w:rPr>
                    <w:t>铁红</w:t>
                  </w:r>
                </w:p>
              </w:tc>
              <w:tc>
                <w:tcPr>
                  <w:tcW w:w="505" w:type="pct"/>
                </w:tcPr>
                <w:p w14:paraId="5FEA3222">
                  <w:pPr>
                    <w:pStyle w:val="41"/>
                    <w:keepNext w:val="0"/>
                    <w:keepLines w:val="0"/>
                    <w:suppressLineNumbers w:val="0"/>
                    <w:spacing w:before="0" w:beforeAutospacing="0" w:after="0" w:afterAutospacing="0"/>
                    <w:ind w:left="0" w:right="194"/>
                    <w:jc w:val="right"/>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537" w:type="pct"/>
                </w:tcPr>
                <w:p w14:paraId="4A4C4A1C">
                  <w:pPr>
                    <w:pStyle w:val="41"/>
                    <w:keepNext w:val="0"/>
                    <w:keepLines w:val="0"/>
                    <w:suppressLineNumbers w:val="0"/>
                    <w:spacing w:before="43" w:beforeAutospacing="0" w:after="0" w:afterAutospacing="0"/>
                    <w:ind w:left="17" w:right="0"/>
                    <w:jc w:val="center"/>
                    <w:rPr>
                      <w:rFonts w:hint="default"/>
                      <w:color w:val="auto"/>
                      <w:sz w:val="21"/>
                    </w:rPr>
                  </w:pPr>
                  <w:r>
                    <w:rPr>
                      <w:rFonts w:hint="default"/>
                      <w:color w:val="auto"/>
                      <w:w w:val="100"/>
                      <w:sz w:val="21"/>
                    </w:rPr>
                    <w:t>1</w:t>
                  </w:r>
                </w:p>
              </w:tc>
              <w:tc>
                <w:tcPr>
                  <w:tcW w:w="1669" w:type="pct"/>
                </w:tcPr>
                <w:p w14:paraId="2822EC1A">
                  <w:pPr>
                    <w:pStyle w:val="41"/>
                    <w:keepNext w:val="0"/>
                    <w:keepLines w:val="0"/>
                    <w:suppressLineNumbers w:val="0"/>
                    <w:spacing w:before="43" w:beforeAutospacing="0" w:after="0" w:afterAutospacing="0"/>
                    <w:ind w:left="1053" w:right="0"/>
                    <w:rPr>
                      <w:rFonts w:hint="default"/>
                      <w:color w:val="auto"/>
                      <w:sz w:val="21"/>
                    </w:rPr>
                  </w:pPr>
                  <w:r>
                    <w:rPr>
                      <w:rFonts w:hint="default"/>
                      <w:color w:val="auto"/>
                      <w:sz w:val="21"/>
                    </w:rPr>
                    <w:t>成都厂提供</w:t>
                  </w:r>
                </w:p>
              </w:tc>
            </w:tr>
            <w:tr w14:paraId="60350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404" w:type="pct"/>
                  <w:vMerge w:val="continue"/>
                  <w:tcBorders>
                    <w:top w:val="nil"/>
                  </w:tcBorders>
                </w:tcPr>
                <w:p w14:paraId="0E6FC57A">
                  <w:pPr>
                    <w:keepNext w:val="0"/>
                    <w:keepLines w:val="0"/>
                    <w:suppressLineNumbers w:val="0"/>
                    <w:spacing w:before="0" w:beforeAutospacing="0" w:after="0" w:afterAutospacing="0"/>
                    <w:ind w:left="0" w:right="0"/>
                    <w:rPr>
                      <w:rFonts w:hint="default"/>
                      <w:color w:val="auto"/>
                      <w:sz w:val="2"/>
                      <w:szCs w:val="2"/>
                    </w:rPr>
                  </w:pPr>
                </w:p>
              </w:tc>
              <w:tc>
                <w:tcPr>
                  <w:tcW w:w="408" w:type="pct"/>
                  <w:tcBorders>
                    <w:right w:val="single" w:color="000000" w:sz="4" w:space="0"/>
                  </w:tcBorders>
                </w:tcPr>
                <w:p w14:paraId="34BC76B7">
                  <w:pPr>
                    <w:pStyle w:val="41"/>
                    <w:keepNext w:val="0"/>
                    <w:keepLines w:val="0"/>
                    <w:suppressLineNumbers w:val="0"/>
                    <w:spacing w:before="19" w:beforeAutospacing="0" w:after="0" w:afterAutospacing="0"/>
                    <w:ind w:left="128" w:right="116"/>
                    <w:jc w:val="center"/>
                    <w:rPr>
                      <w:rFonts w:hint="default" w:ascii="Times New Roman"/>
                      <w:color w:val="auto"/>
                      <w:sz w:val="21"/>
                    </w:rPr>
                  </w:pPr>
                  <w:r>
                    <w:rPr>
                      <w:rFonts w:hint="default" w:ascii="Times New Roman"/>
                      <w:color w:val="auto"/>
                      <w:sz w:val="21"/>
                    </w:rPr>
                    <w:t>12</w:t>
                  </w:r>
                </w:p>
              </w:tc>
              <w:tc>
                <w:tcPr>
                  <w:tcW w:w="1475" w:type="pct"/>
                  <w:tcBorders>
                    <w:left w:val="single" w:color="000000" w:sz="4" w:space="0"/>
                  </w:tcBorders>
                </w:tcPr>
                <w:p w14:paraId="2C0C1FBE">
                  <w:pPr>
                    <w:pStyle w:val="41"/>
                    <w:keepNext w:val="0"/>
                    <w:keepLines w:val="0"/>
                    <w:suppressLineNumbers w:val="0"/>
                    <w:spacing w:before="44" w:beforeAutospacing="0" w:after="0" w:afterAutospacing="0"/>
                    <w:ind w:left="15" w:right="0"/>
                    <w:jc w:val="center"/>
                    <w:rPr>
                      <w:rFonts w:hint="default"/>
                      <w:color w:val="auto"/>
                      <w:sz w:val="21"/>
                    </w:rPr>
                  </w:pPr>
                  <w:r>
                    <w:rPr>
                      <w:rFonts w:hint="default"/>
                      <w:color w:val="auto"/>
                      <w:sz w:val="21"/>
                    </w:rPr>
                    <w:t>铁黄</w:t>
                  </w:r>
                </w:p>
              </w:tc>
              <w:tc>
                <w:tcPr>
                  <w:tcW w:w="505" w:type="pct"/>
                </w:tcPr>
                <w:p w14:paraId="53DCC2C9">
                  <w:pPr>
                    <w:pStyle w:val="41"/>
                    <w:keepNext w:val="0"/>
                    <w:keepLines w:val="0"/>
                    <w:suppressLineNumbers w:val="0"/>
                    <w:spacing w:before="0" w:beforeAutospacing="0" w:after="0" w:afterAutospacing="0"/>
                    <w:ind w:left="0" w:right="194"/>
                    <w:jc w:val="right"/>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537" w:type="pct"/>
                </w:tcPr>
                <w:p w14:paraId="4B6978B0">
                  <w:pPr>
                    <w:pStyle w:val="41"/>
                    <w:keepNext w:val="0"/>
                    <w:keepLines w:val="0"/>
                    <w:suppressLineNumbers w:val="0"/>
                    <w:spacing w:before="44" w:beforeAutospacing="0" w:after="0" w:afterAutospacing="0"/>
                    <w:ind w:left="167" w:right="150"/>
                    <w:jc w:val="center"/>
                    <w:rPr>
                      <w:rFonts w:hint="default"/>
                      <w:color w:val="auto"/>
                      <w:sz w:val="21"/>
                    </w:rPr>
                  </w:pPr>
                  <w:r>
                    <w:rPr>
                      <w:rFonts w:hint="default"/>
                      <w:color w:val="auto"/>
                      <w:sz w:val="21"/>
                    </w:rPr>
                    <w:t>24</w:t>
                  </w:r>
                </w:p>
              </w:tc>
              <w:tc>
                <w:tcPr>
                  <w:tcW w:w="1669" w:type="pct"/>
                </w:tcPr>
                <w:p w14:paraId="142C7B51">
                  <w:pPr>
                    <w:pStyle w:val="41"/>
                    <w:keepNext w:val="0"/>
                    <w:keepLines w:val="0"/>
                    <w:suppressLineNumbers w:val="0"/>
                    <w:spacing w:before="44" w:beforeAutospacing="0" w:after="0" w:afterAutospacing="0"/>
                    <w:ind w:left="1053" w:right="0"/>
                    <w:rPr>
                      <w:rFonts w:hint="default"/>
                      <w:color w:val="auto"/>
                      <w:sz w:val="21"/>
                    </w:rPr>
                  </w:pPr>
                  <w:r>
                    <w:rPr>
                      <w:rFonts w:hint="default"/>
                      <w:color w:val="auto"/>
                      <w:sz w:val="21"/>
                    </w:rPr>
                    <w:t>成都厂提供</w:t>
                  </w:r>
                </w:p>
              </w:tc>
            </w:tr>
            <w:tr w14:paraId="34BB6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404" w:type="pct"/>
                  <w:vMerge w:val="continue"/>
                  <w:tcBorders>
                    <w:top w:val="nil"/>
                  </w:tcBorders>
                </w:tcPr>
                <w:p w14:paraId="4BB5D467">
                  <w:pPr>
                    <w:keepNext w:val="0"/>
                    <w:keepLines w:val="0"/>
                    <w:suppressLineNumbers w:val="0"/>
                    <w:spacing w:before="0" w:beforeAutospacing="0" w:after="0" w:afterAutospacing="0"/>
                    <w:ind w:left="0" w:right="0"/>
                    <w:rPr>
                      <w:rFonts w:hint="default"/>
                      <w:color w:val="auto"/>
                      <w:sz w:val="2"/>
                      <w:szCs w:val="2"/>
                    </w:rPr>
                  </w:pPr>
                </w:p>
              </w:tc>
              <w:tc>
                <w:tcPr>
                  <w:tcW w:w="408" w:type="pct"/>
                  <w:tcBorders>
                    <w:right w:val="single" w:color="000000" w:sz="4" w:space="0"/>
                  </w:tcBorders>
                </w:tcPr>
                <w:p w14:paraId="78838835">
                  <w:pPr>
                    <w:pStyle w:val="41"/>
                    <w:keepNext w:val="0"/>
                    <w:keepLines w:val="0"/>
                    <w:suppressLineNumbers w:val="0"/>
                    <w:spacing w:before="20" w:beforeAutospacing="0" w:after="0" w:afterAutospacing="0"/>
                    <w:ind w:left="128" w:right="116"/>
                    <w:jc w:val="center"/>
                    <w:rPr>
                      <w:rFonts w:hint="default" w:ascii="Times New Roman"/>
                      <w:color w:val="auto"/>
                      <w:sz w:val="21"/>
                    </w:rPr>
                  </w:pPr>
                  <w:r>
                    <w:rPr>
                      <w:rFonts w:hint="default" w:ascii="Times New Roman"/>
                      <w:color w:val="auto"/>
                      <w:sz w:val="21"/>
                    </w:rPr>
                    <w:t>13</w:t>
                  </w:r>
                </w:p>
              </w:tc>
              <w:tc>
                <w:tcPr>
                  <w:tcW w:w="1475" w:type="pct"/>
                  <w:tcBorders>
                    <w:left w:val="single" w:color="000000" w:sz="4" w:space="0"/>
                  </w:tcBorders>
                </w:tcPr>
                <w:p w14:paraId="14CF2AE1">
                  <w:pPr>
                    <w:pStyle w:val="41"/>
                    <w:keepNext w:val="0"/>
                    <w:keepLines w:val="0"/>
                    <w:suppressLineNumbers w:val="0"/>
                    <w:spacing w:before="44" w:beforeAutospacing="0" w:after="0" w:afterAutospacing="0"/>
                    <w:ind w:left="15" w:right="0"/>
                    <w:jc w:val="center"/>
                    <w:rPr>
                      <w:rFonts w:hint="default"/>
                      <w:color w:val="auto"/>
                      <w:sz w:val="21"/>
                    </w:rPr>
                  </w:pPr>
                  <w:r>
                    <w:rPr>
                      <w:rFonts w:hint="default"/>
                      <w:color w:val="auto"/>
                      <w:w w:val="100"/>
                      <w:sz w:val="21"/>
                    </w:rPr>
                    <w:t>黑</w:t>
                  </w:r>
                </w:p>
              </w:tc>
              <w:tc>
                <w:tcPr>
                  <w:tcW w:w="505" w:type="pct"/>
                </w:tcPr>
                <w:p w14:paraId="10975926">
                  <w:pPr>
                    <w:pStyle w:val="41"/>
                    <w:keepNext w:val="0"/>
                    <w:keepLines w:val="0"/>
                    <w:suppressLineNumbers w:val="0"/>
                    <w:spacing w:before="1" w:beforeAutospacing="0" w:after="0" w:afterAutospacing="0"/>
                    <w:ind w:left="0" w:right="194"/>
                    <w:jc w:val="right"/>
                    <w:rPr>
                      <w:rFonts w:hint="default"/>
                      <w:color w:val="auto"/>
                      <w:sz w:val="21"/>
                    </w:rPr>
                  </w:pPr>
                  <w:r>
                    <w:rPr>
                      <w:rFonts w:hint="default"/>
                      <w:color w:val="auto"/>
                      <w:sz w:val="21"/>
                    </w:rPr>
                    <w:t>吨</w:t>
                  </w:r>
                  <w:r>
                    <w:rPr>
                      <w:rFonts w:hint="default" w:ascii="Times New Roman" w:eastAsia="Times New Roman"/>
                      <w:color w:val="auto"/>
                      <w:sz w:val="21"/>
                    </w:rPr>
                    <w:t>/</w:t>
                  </w:r>
                  <w:r>
                    <w:rPr>
                      <w:rFonts w:hint="default"/>
                      <w:color w:val="auto"/>
                      <w:sz w:val="21"/>
                    </w:rPr>
                    <w:t>年</w:t>
                  </w:r>
                </w:p>
              </w:tc>
              <w:tc>
                <w:tcPr>
                  <w:tcW w:w="537" w:type="pct"/>
                </w:tcPr>
                <w:p w14:paraId="4513FF61">
                  <w:pPr>
                    <w:pStyle w:val="41"/>
                    <w:keepNext w:val="0"/>
                    <w:keepLines w:val="0"/>
                    <w:suppressLineNumbers w:val="0"/>
                    <w:spacing w:before="44" w:beforeAutospacing="0" w:after="0" w:afterAutospacing="0"/>
                    <w:ind w:left="167" w:right="150"/>
                    <w:jc w:val="center"/>
                    <w:rPr>
                      <w:rFonts w:hint="default"/>
                      <w:color w:val="auto"/>
                      <w:sz w:val="21"/>
                    </w:rPr>
                  </w:pPr>
                  <w:r>
                    <w:rPr>
                      <w:rFonts w:hint="default"/>
                      <w:color w:val="auto"/>
                      <w:sz w:val="21"/>
                    </w:rPr>
                    <w:t>36</w:t>
                  </w:r>
                </w:p>
              </w:tc>
              <w:tc>
                <w:tcPr>
                  <w:tcW w:w="1669" w:type="pct"/>
                </w:tcPr>
                <w:p w14:paraId="78E8B960">
                  <w:pPr>
                    <w:pStyle w:val="41"/>
                    <w:keepNext w:val="0"/>
                    <w:keepLines w:val="0"/>
                    <w:suppressLineNumbers w:val="0"/>
                    <w:spacing w:before="44" w:beforeAutospacing="0" w:after="0" w:afterAutospacing="0"/>
                    <w:ind w:left="1053" w:right="0"/>
                    <w:rPr>
                      <w:rFonts w:hint="default"/>
                      <w:color w:val="auto"/>
                      <w:sz w:val="21"/>
                    </w:rPr>
                  </w:pPr>
                  <w:r>
                    <w:rPr>
                      <w:rFonts w:hint="default"/>
                      <w:color w:val="auto"/>
                      <w:sz w:val="21"/>
                    </w:rPr>
                    <w:t>成都厂提供</w:t>
                  </w:r>
                </w:p>
              </w:tc>
            </w:tr>
          </w:tbl>
          <w:p w14:paraId="31FF9AFF">
            <w:pPr>
              <w:keepNext w:val="0"/>
              <w:keepLines w:val="0"/>
              <w:suppressLineNumbers w:val="0"/>
              <w:spacing w:before="0" w:beforeAutospacing="0" w:after="0" w:afterAutospacing="0"/>
              <w:ind w:left="0" w:right="0"/>
              <w:jc w:val="center"/>
              <w:rPr>
                <w:rFonts w:hint="default"/>
                <w:b/>
                <w:bCs/>
                <w:color w:val="auto"/>
              </w:rPr>
            </w:pPr>
            <w:r>
              <w:rPr>
                <w:rFonts w:hint="default"/>
                <w:b/>
                <w:bCs/>
                <w:color w:val="auto"/>
              </w:rPr>
              <w:t xml:space="preserve">表 </w:t>
            </w:r>
            <w:r>
              <w:rPr>
                <w:rFonts w:hint="eastAsia"/>
                <w:b/>
                <w:bCs/>
                <w:color w:val="auto"/>
                <w:lang w:val="en-US" w:eastAsia="zh-CN"/>
              </w:rPr>
              <w:t>2-20</w:t>
            </w:r>
            <w:r>
              <w:rPr>
                <w:rFonts w:hint="default"/>
                <w:b/>
                <w:bCs/>
                <w:color w:val="auto"/>
              </w:rPr>
              <w:tab/>
            </w:r>
            <w:r>
              <w:rPr>
                <w:rFonts w:hint="default"/>
                <w:b/>
                <w:bCs/>
                <w:color w:val="auto"/>
              </w:rPr>
              <w:t>腻子粉系列产品原辅材料消耗表</w:t>
            </w:r>
          </w:p>
          <w:tbl>
            <w:tblPr>
              <w:tblStyle w:val="28"/>
              <w:tblW w:w="4998"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688"/>
              <w:gridCol w:w="688"/>
              <w:gridCol w:w="2467"/>
              <w:gridCol w:w="849"/>
              <w:gridCol w:w="886"/>
              <w:gridCol w:w="2792"/>
            </w:tblGrid>
            <w:tr w14:paraId="02CC6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411" w:type="pct"/>
                  <w:shd w:val="clear" w:color="auto" w:fill="F1F1F1"/>
                </w:tcPr>
                <w:p w14:paraId="0E52CD73">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种类</w:t>
                  </w:r>
                </w:p>
              </w:tc>
              <w:tc>
                <w:tcPr>
                  <w:tcW w:w="411" w:type="pct"/>
                  <w:tcBorders>
                    <w:right w:val="single" w:color="000000" w:sz="4" w:space="0"/>
                  </w:tcBorders>
                  <w:shd w:val="clear" w:color="auto" w:fill="F1F1F1"/>
                </w:tcPr>
                <w:p w14:paraId="36F6DFF0">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序号</w:t>
                  </w:r>
                </w:p>
              </w:tc>
              <w:tc>
                <w:tcPr>
                  <w:tcW w:w="1473" w:type="pct"/>
                  <w:tcBorders>
                    <w:left w:val="single" w:color="000000" w:sz="4" w:space="0"/>
                  </w:tcBorders>
                  <w:shd w:val="clear" w:color="auto" w:fill="F1F1F1"/>
                </w:tcPr>
                <w:p w14:paraId="42680859">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名</w:t>
                  </w:r>
                  <w:r>
                    <w:rPr>
                      <w:rFonts w:hint="default" w:ascii="Times New Roman" w:hAnsi="Times New Roman" w:eastAsia="宋体" w:cs="Times New Roman"/>
                      <w:color w:val="auto"/>
                      <w:sz w:val="21"/>
                    </w:rPr>
                    <w:tab/>
                  </w:r>
                  <w:r>
                    <w:rPr>
                      <w:rFonts w:hint="default" w:ascii="Times New Roman" w:hAnsi="Times New Roman" w:eastAsia="宋体" w:cs="Times New Roman"/>
                      <w:color w:val="auto"/>
                      <w:sz w:val="21"/>
                    </w:rPr>
                    <w:t>称</w:t>
                  </w:r>
                </w:p>
              </w:tc>
              <w:tc>
                <w:tcPr>
                  <w:tcW w:w="507" w:type="pct"/>
                  <w:shd w:val="clear" w:color="auto" w:fill="F1F1F1"/>
                </w:tcPr>
                <w:p w14:paraId="43881E15">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单 位</w:t>
                  </w:r>
                </w:p>
              </w:tc>
              <w:tc>
                <w:tcPr>
                  <w:tcW w:w="529" w:type="pct"/>
                  <w:shd w:val="clear" w:color="auto" w:fill="F1F1F1"/>
                </w:tcPr>
                <w:p w14:paraId="7E02FF78">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数量</w:t>
                  </w:r>
                </w:p>
              </w:tc>
              <w:tc>
                <w:tcPr>
                  <w:tcW w:w="1666" w:type="pct"/>
                  <w:shd w:val="clear" w:color="auto" w:fill="F1F1F1"/>
                </w:tcPr>
                <w:p w14:paraId="0244122A">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来源</w:t>
                  </w:r>
                </w:p>
              </w:tc>
            </w:tr>
            <w:tr w14:paraId="35F3E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411" w:type="pct"/>
                  <w:vMerge w:val="restart"/>
                </w:tcPr>
                <w:p w14:paraId="71C4B6DA">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p>
                <w:p w14:paraId="03D8DB0B">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p>
                <w:p w14:paraId="70F27290">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原料</w:t>
                  </w:r>
                </w:p>
              </w:tc>
              <w:tc>
                <w:tcPr>
                  <w:tcW w:w="411" w:type="pct"/>
                  <w:tcBorders>
                    <w:right w:val="single" w:color="000000" w:sz="4" w:space="0"/>
                  </w:tcBorders>
                </w:tcPr>
                <w:p w14:paraId="1F1F9624">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1473" w:type="pct"/>
                  <w:tcBorders>
                    <w:left w:val="single" w:color="000000" w:sz="4" w:space="0"/>
                  </w:tcBorders>
                </w:tcPr>
                <w:p w14:paraId="629D8444">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水泥</w:t>
                  </w:r>
                </w:p>
              </w:tc>
              <w:tc>
                <w:tcPr>
                  <w:tcW w:w="507" w:type="pct"/>
                </w:tcPr>
                <w:p w14:paraId="0D64365C">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吨/年</w:t>
                  </w:r>
                </w:p>
              </w:tc>
              <w:tc>
                <w:tcPr>
                  <w:tcW w:w="529" w:type="pct"/>
                </w:tcPr>
                <w:p w14:paraId="5142A82D">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5289</w:t>
                  </w:r>
                </w:p>
              </w:tc>
              <w:tc>
                <w:tcPr>
                  <w:tcW w:w="1666" w:type="pct"/>
                </w:tcPr>
                <w:p w14:paraId="534D68A0">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r w14:paraId="2C6EA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5" w:hRule="atLeast"/>
              </w:trPr>
              <w:tc>
                <w:tcPr>
                  <w:tcW w:w="411" w:type="pct"/>
                  <w:vMerge w:val="continue"/>
                  <w:tcBorders>
                    <w:top w:val="nil"/>
                  </w:tcBorders>
                </w:tcPr>
                <w:p w14:paraId="1AF95FA0">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p>
              </w:tc>
              <w:tc>
                <w:tcPr>
                  <w:tcW w:w="411" w:type="pct"/>
                  <w:tcBorders>
                    <w:right w:val="single" w:color="000000" w:sz="4" w:space="0"/>
                  </w:tcBorders>
                </w:tcPr>
                <w:p w14:paraId="7BAD93D4">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p>
              </w:tc>
              <w:tc>
                <w:tcPr>
                  <w:tcW w:w="1473" w:type="pct"/>
                  <w:tcBorders>
                    <w:left w:val="single" w:color="000000" w:sz="4" w:space="0"/>
                  </w:tcBorders>
                </w:tcPr>
                <w:p w14:paraId="11D76356">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白砂</w:t>
                  </w:r>
                </w:p>
              </w:tc>
              <w:tc>
                <w:tcPr>
                  <w:tcW w:w="507" w:type="pct"/>
                </w:tcPr>
                <w:p w14:paraId="63420CAB">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吨/年</w:t>
                  </w:r>
                </w:p>
              </w:tc>
              <w:tc>
                <w:tcPr>
                  <w:tcW w:w="529" w:type="pct"/>
                </w:tcPr>
                <w:p w14:paraId="0EDA28F7">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9111</w:t>
                  </w:r>
                </w:p>
              </w:tc>
              <w:tc>
                <w:tcPr>
                  <w:tcW w:w="1666" w:type="pct"/>
                </w:tcPr>
                <w:p w14:paraId="634BB714">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r w14:paraId="7D674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4" w:hRule="atLeast"/>
              </w:trPr>
              <w:tc>
                <w:tcPr>
                  <w:tcW w:w="411" w:type="pct"/>
                  <w:vMerge w:val="continue"/>
                  <w:tcBorders>
                    <w:top w:val="nil"/>
                  </w:tcBorders>
                </w:tcPr>
                <w:p w14:paraId="202226F2">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p>
              </w:tc>
              <w:tc>
                <w:tcPr>
                  <w:tcW w:w="411" w:type="pct"/>
                  <w:tcBorders>
                    <w:right w:val="single" w:color="000000" w:sz="4" w:space="0"/>
                  </w:tcBorders>
                </w:tcPr>
                <w:p w14:paraId="5175A6D8">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w:t>
                  </w:r>
                </w:p>
              </w:tc>
              <w:tc>
                <w:tcPr>
                  <w:tcW w:w="1473" w:type="pct"/>
                  <w:tcBorders>
                    <w:left w:val="single" w:color="000000" w:sz="4" w:space="0"/>
                  </w:tcBorders>
                </w:tcPr>
                <w:p w14:paraId="459BC52C">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碳酸钙</w:t>
                  </w:r>
                </w:p>
              </w:tc>
              <w:tc>
                <w:tcPr>
                  <w:tcW w:w="507" w:type="pct"/>
                </w:tcPr>
                <w:p w14:paraId="1ABC03A9">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吨/年</w:t>
                  </w:r>
                </w:p>
              </w:tc>
              <w:tc>
                <w:tcPr>
                  <w:tcW w:w="529" w:type="pct"/>
                </w:tcPr>
                <w:p w14:paraId="6A1932DB">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3742</w:t>
                  </w:r>
                </w:p>
              </w:tc>
              <w:tc>
                <w:tcPr>
                  <w:tcW w:w="1666" w:type="pct"/>
                </w:tcPr>
                <w:p w14:paraId="4E4E3254">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r w14:paraId="5E298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411" w:type="pct"/>
                  <w:vMerge w:val="continue"/>
                  <w:tcBorders>
                    <w:top w:val="nil"/>
                  </w:tcBorders>
                </w:tcPr>
                <w:p w14:paraId="6995BF50">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p>
              </w:tc>
              <w:tc>
                <w:tcPr>
                  <w:tcW w:w="411" w:type="pct"/>
                  <w:tcBorders>
                    <w:right w:val="single" w:color="000000" w:sz="4" w:space="0"/>
                  </w:tcBorders>
                </w:tcPr>
                <w:p w14:paraId="53801A7C">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w:t>
                  </w:r>
                </w:p>
              </w:tc>
              <w:tc>
                <w:tcPr>
                  <w:tcW w:w="1473" w:type="pct"/>
                  <w:tcBorders>
                    <w:left w:val="single" w:color="000000" w:sz="4" w:space="0"/>
                  </w:tcBorders>
                </w:tcPr>
                <w:p w14:paraId="383E8EF1">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纤维素</w:t>
                  </w:r>
                </w:p>
              </w:tc>
              <w:tc>
                <w:tcPr>
                  <w:tcW w:w="507" w:type="pct"/>
                </w:tcPr>
                <w:p w14:paraId="3799D913">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吨/年</w:t>
                  </w:r>
                </w:p>
              </w:tc>
              <w:tc>
                <w:tcPr>
                  <w:tcW w:w="529" w:type="pct"/>
                </w:tcPr>
                <w:p w14:paraId="45394365">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358</w:t>
                  </w:r>
                </w:p>
              </w:tc>
              <w:tc>
                <w:tcPr>
                  <w:tcW w:w="1666" w:type="pct"/>
                </w:tcPr>
                <w:p w14:paraId="0CA40618">
                  <w:pPr>
                    <w:pStyle w:val="41"/>
                    <w:keepNext w:val="0"/>
                    <w:keepLines w:val="0"/>
                    <w:suppressLineNumbers w:val="0"/>
                    <w:spacing w:before="44" w:beforeAutospacing="0" w:after="0" w:afterAutospacing="0"/>
                    <w:ind w:left="15" w:right="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省内购买</w:t>
                  </w:r>
                </w:p>
              </w:tc>
            </w:tr>
          </w:tbl>
          <w:p w14:paraId="211FC05F">
            <w:pPr>
              <w:pStyle w:val="87"/>
              <w:keepNext w:val="0"/>
              <w:keepLines w:val="0"/>
              <w:suppressLineNumbers w:val="0"/>
              <w:spacing w:before="0" w:beforeAutospacing="0" w:after="0" w:afterAutospacing="0"/>
              <w:ind w:left="0" w:right="0" w:firstLine="480"/>
              <w:rPr>
                <w:rFonts w:hint="default"/>
                <w:b/>
                <w:color w:val="auto"/>
              </w:rPr>
            </w:pPr>
            <w:r>
              <w:rPr>
                <w:rFonts w:hint="default"/>
                <w:b/>
                <w:color w:val="auto"/>
              </w:rPr>
              <w:t>4、原项目生产设备</w:t>
            </w:r>
          </w:p>
          <w:p w14:paraId="0408950C">
            <w:pPr>
              <w:keepNext w:val="0"/>
              <w:keepLines w:val="0"/>
              <w:suppressLineNumbers w:val="0"/>
              <w:spacing w:before="0" w:beforeAutospacing="0" w:after="0" w:afterAutospacing="0" w:line="360" w:lineRule="auto"/>
              <w:ind w:left="0" w:right="0" w:firstLine="480" w:firstLineChars="200"/>
              <w:rPr>
                <w:rFonts w:hint="default"/>
                <w:color w:val="auto"/>
                <w:sz w:val="24"/>
                <w:szCs w:val="21"/>
              </w:rPr>
            </w:pPr>
            <w:r>
              <w:rPr>
                <w:rFonts w:hint="eastAsia"/>
                <w:color w:val="auto"/>
                <w:sz w:val="24"/>
                <w:szCs w:val="21"/>
              </w:rPr>
              <w:t>原</w:t>
            </w:r>
            <w:r>
              <w:rPr>
                <w:rFonts w:hint="default"/>
                <w:color w:val="auto"/>
                <w:sz w:val="24"/>
                <w:szCs w:val="21"/>
              </w:rPr>
              <w:t>项目生产设备见表2-</w:t>
            </w:r>
            <w:r>
              <w:rPr>
                <w:rFonts w:hint="eastAsia"/>
                <w:color w:val="auto"/>
                <w:sz w:val="24"/>
                <w:szCs w:val="21"/>
                <w:lang w:val="en-US" w:eastAsia="zh-CN"/>
              </w:rPr>
              <w:t>21</w:t>
            </w:r>
            <w:r>
              <w:rPr>
                <w:rFonts w:hint="default"/>
                <w:color w:val="auto"/>
                <w:sz w:val="24"/>
                <w:szCs w:val="21"/>
              </w:rPr>
              <w:t>。</w:t>
            </w:r>
          </w:p>
          <w:p w14:paraId="4C22E7BA">
            <w:pPr>
              <w:keepNext w:val="0"/>
              <w:keepLines w:val="0"/>
              <w:suppressLineNumbers w:val="0"/>
              <w:snapToGrid w:val="0"/>
              <w:spacing w:before="0" w:beforeAutospacing="0" w:after="0" w:afterAutospacing="0"/>
              <w:ind w:left="0" w:right="0" w:firstLine="482"/>
              <w:jc w:val="center"/>
              <w:rPr>
                <w:rFonts w:hint="default"/>
                <w:b/>
                <w:color w:val="auto"/>
                <w:szCs w:val="21"/>
              </w:rPr>
            </w:pPr>
            <w:r>
              <w:rPr>
                <w:rFonts w:hint="default"/>
                <w:b/>
                <w:color w:val="auto"/>
                <w:szCs w:val="21"/>
              </w:rPr>
              <w:t>表2-</w:t>
            </w:r>
            <w:r>
              <w:rPr>
                <w:rFonts w:hint="eastAsia"/>
                <w:b/>
                <w:color w:val="auto"/>
                <w:szCs w:val="21"/>
                <w:lang w:val="en-US" w:eastAsia="zh-CN"/>
              </w:rPr>
              <w:t>21</w:t>
            </w:r>
            <w:r>
              <w:rPr>
                <w:rFonts w:hint="default"/>
                <w:b/>
                <w:color w:val="auto"/>
                <w:szCs w:val="21"/>
              </w:rPr>
              <w:t xml:space="preserve"> </w:t>
            </w:r>
            <w:r>
              <w:rPr>
                <w:rFonts w:hint="eastAsia"/>
                <w:b/>
                <w:color w:val="auto"/>
                <w:szCs w:val="21"/>
                <w:lang w:eastAsia="zh-CN"/>
              </w:rPr>
              <w:t>原项目</w:t>
            </w:r>
            <w:r>
              <w:rPr>
                <w:rFonts w:hint="default"/>
                <w:b/>
                <w:color w:val="auto"/>
                <w:szCs w:val="21"/>
              </w:rPr>
              <w:t>主要生产设备一览表</w:t>
            </w:r>
          </w:p>
          <w:tbl>
            <w:tblPr>
              <w:tblStyle w:val="28"/>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38"/>
              <w:gridCol w:w="1030"/>
              <w:gridCol w:w="1493"/>
              <w:gridCol w:w="1820"/>
              <w:gridCol w:w="1243"/>
              <w:gridCol w:w="1225"/>
              <w:gridCol w:w="624"/>
            </w:tblGrid>
            <w:tr w14:paraId="2F0AD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Align w:val="center"/>
                </w:tcPr>
                <w:p w14:paraId="594FABB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生产线</w:t>
                  </w:r>
                </w:p>
              </w:tc>
              <w:tc>
                <w:tcPr>
                  <w:tcW w:w="615" w:type="pct"/>
                  <w:vAlign w:val="center"/>
                </w:tcPr>
                <w:p w14:paraId="2A8CC6D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891" w:type="pct"/>
                  <w:vAlign w:val="center"/>
                </w:tcPr>
                <w:p w14:paraId="7A1648E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设备名称</w:t>
                  </w:r>
                </w:p>
              </w:tc>
              <w:tc>
                <w:tcPr>
                  <w:tcW w:w="1086" w:type="pct"/>
                  <w:vAlign w:val="center"/>
                </w:tcPr>
                <w:p w14:paraId="7B093CF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参数</w:t>
                  </w:r>
                </w:p>
              </w:tc>
              <w:tc>
                <w:tcPr>
                  <w:tcW w:w="742" w:type="pct"/>
                  <w:vAlign w:val="center"/>
                </w:tcPr>
                <w:p w14:paraId="2B869AB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功率</w:t>
                  </w:r>
                </w:p>
              </w:tc>
              <w:tc>
                <w:tcPr>
                  <w:tcW w:w="731" w:type="pct"/>
                  <w:vAlign w:val="center"/>
                </w:tcPr>
                <w:p w14:paraId="4AB015E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372" w:type="pct"/>
                  <w:vAlign w:val="center"/>
                </w:tcPr>
                <w:p w14:paraId="272EA86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w:t>
                  </w:r>
                </w:p>
              </w:tc>
            </w:tr>
            <w:tr w14:paraId="1D41E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restart"/>
                  <w:vAlign w:val="center"/>
                </w:tcPr>
                <w:p w14:paraId="612DBD1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水性乳胶漆生产线</w:t>
                  </w:r>
                </w:p>
              </w:tc>
              <w:tc>
                <w:tcPr>
                  <w:tcW w:w="615" w:type="pct"/>
                  <w:vAlign w:val="center"/>
                </w:tcPr>
                <w:p w14:paraId="0BED7A5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891" w:type="pct"/>
                  <w:vAlign w:val="center"/>
                </w:tcPr>
                <w:p w14:paraId="4D590E7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搅拌机</w:t>
                  </w:r>
                </w:p>
              </w:tc>
              <w:tc>
                <w:tcPr>
                  <w:tcW w:w="1086" w:type="pct"/>
                  <w:vAlign w:val="center"/>
                </w:tcPr>
                <w:p w14:paraId="6640778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8000L 缸</w:t>
                  </w:r>
                </w:p>
              </w:tc>
              <w:tc>
                <w:tcPr>
                  <w:tcW w:w="742" w:type="pct"/>
                  <w:vAlign w:val="center"/>
                </w:tcPr>
                <w:p w14:paraId="18D727D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250kw</w:t>
                  </w:r>
                </w:p>
              </w:tc>
              <w:tc>
                <w:tcPr>
                  <w:tcW w:w="731" w:type="pct"/>
                  <w:vAlign w:val="center"/>
                </w:tcPr>
                <w:p w14:paraId="418BB04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1C0F16D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599A0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68C9FC5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38B528F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891" w:type="pct"/>
                  <w:vAlign w:val="center"/>
                </w:tcPr>
                <w:p w14:paraId="58FA230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搅拌机</w:t>
                  </w:r>
                </w:p>
              </w:tc>
              <w:tc>
                <w:tcPr>
                  <w:tcW w:w="1086" w:type="pct"/>
                  <w:vAlign w:val="center"/>
                </w:tcPr>
                <w:p w14:paraId="7852B00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10000L 缸</w:t>
                  </w:r>
                </w:p>
              </w:tc>
              <w:tc>
                <w:tcPr>
                  <w:tcW w:w="742" w:type="pct"/>
                  <w:vAlign w:val="center"/>
                </w:tcPr>
                <w:p w14:paraId="6D3801D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45kw</w:t>
                  </w:r>
                </w:p>
              </w:tc>
              <w:tc>
                <w:tcPr>
                  <w:tcW w:w="731" w:type="pct"/>
                  <w:vAlign w:val="center"/>
                </w:tcPr>
                <w:p w14:paraId="5EC8E27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76B9206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r>
            <w:tr w14:paraId="71B20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0C157AA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006A3EA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3</w:t>
                  </w:r>
                </w:p>
              </w:tc>
              <w:tc>
                <w:tcPr>
                  <w:tcW w:w="891" w:type="pct"/>
                  <w:vAlign w:val="center"/>
                </w:tcPr>
                <w:p w14:paraId="7F6C239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喷码机</w:t>
                  </w:r>
                </w:p>
              </w:tc>
              <w:tc>
                <w:tcPr>
                  <w:tcW w:w="1086" w:type="pct"/>
                  <w:vAlign w:val="center"/>
                </w:tcPr>
                <w:p w14:paraId="5741D2F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1BD76B6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292DE68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1D91056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1C8BD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4504B30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2EB9BD6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4</w:t>
                  </w:r>
                </w:p>
              </w:tc>
              <w:tc>
                <w:tcPr>
                  <w:tcW w:w="891" w:type="pct"/>
                  <w:vAlign w:val="center"/>
                </w:tcPr>
                <w:p w14:paraId="2342AE9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码垛机</w:t>
                  </w:r>
                </w:p>
              </w:tc>
              <w:tc>
                <w:tcPr>
                  <w:tcW w:w="1086" w:type="pct"/>
                  <w:vAlign w:val="center"/>
                </w:tcPr>
                <w:p w14:paraId="6DDF3A4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05BB1BB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10kw</w:t>
                  </w:r>
                </w:p>
              </w:tc>
              <w:tc>
                <w:tcPr>
                  <w:tcW w:w="731" w:type="pct"/>
                  <w:vAlign w:val="center"/>
                </w:tcPr>
                <w:p w14:paraId="7F7BEF0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42D07F5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5D3D5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3104B60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7628E87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5</w:t>
                  </w:r>
                </w:p>
              </w:tc>
              <w:tc>
                <w:tcPr>
                  <w:tcW w:w="891" w:type="pct"/>
                  <w:vAlign w:val="center"/>
                </w:tcPr>
                <w:p w14:paraId="0AABB8C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原水罐</w:t>
                  </w:r>
                </w:p>
              </w:tc>
              <w:tc>
                <w:tcPr>
                  <w:tcW w:w="1086" w:type="pct"/>
                  <w:vAlign w:val="center"/>
                </w:tcPr>
                <w:p w14:paraId="16FAD24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 立方</w:t>
                  </w:r>
                </w:p>
              </w:tc>
              <w:tc>
                <w:tcPr>
                  <w:tcW w:w="742" w:type="pct"/>
                  <w:vAlign w:val="center"/>
                </w:tcPr>
                <w:p w14:paraId="2E70998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1412709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0ED4F68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6B8CD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49C39DE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0D04447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6</w:t>
                  </w:r>
                </w:p>
              </w:tc>
              <w:tc>
                <w:tcPr>
                  <w:tcW w:w="891" w:type="pct"/>
                  <w:vAlign w:val="center"/>
                </w:tcPr>
                <w:p w14:paraId="66511FC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乳液罐（+泵）</w:t>
                  </w:r>
                </w:p>
              </w:tc>
              <w:tc>
                <w:tcPr>
                  <w:tcW w:w="1086" w:type="pct"/>
                  <w:vAlign w:val="center"/>
                </w:tcPr>
                <w:p w14:paraId="131E178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 寸气动隔膜泵 30 立方</w:t>
                  </w:r>
                </w:p>
              </w:tc>
              <w:tc>
                <w:tcPr>
                  <w:tcW w:w="742" w:type="pct"/>
                  <w:vAlign w:val="center"/>
                </w:tcPr>
                <w:p w14:paraId="00E4F7C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62E22FC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6CCF71C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8</w:t>
                  </w:r>
                </w:p>
              </w:tc>
            </w:tr>
            <w:tr w14:paraId="5F2E6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6340325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3410B67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7</w:t>
                  </w:r>
                </w:p>
              </w:tc>
              <w:tc>
                <w:tcPr>
                  <w:tcW w:w="891" w:type="pct"/>
                  <w:vAlign w:val="center"/>
                </w:tcPr>
                <w:p w14:paraId="02C6A39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CZ12 罐（+泵）</w:t>
                  </w:r>
                </w:p>
              </w:tc>
              <w:tc>
                <w:tcPr>
                  <w:tcW w:w="1086" w:type="pct"/>
                  <w:vAlign w:val="center"/>
                </w:tcPr>
                <w:p w14:paraId="33CFEBE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齿轮泵 30 立方</w:t>
                  </w:r>
                </w:p>
              </w:tc>
              <w:tc>
                <w:tcPr>
                  <w:tcW w:w="742" w:type="pct"/>
                  <w:vAlign w:val="center"/>
                </w:tcPr>
                <w:p w14:paraId="7787BA3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4kw</w:t>
                  </w:r>
                </w:p>
              </w:tc>
              <w:tc>
                <w:tcPr>
                  <w:tcW w:w="731" w:type="pct"/>
                  <w:vAlign w:val="center"/>
                </w:tcPr>
                <w:p w14:paraId="48F0B5A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6A8FFC8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00920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560" w:type="pct"/>
                  <w:vMerge w:val="continue"/>
                  <w:tcBorders>
                    <w:top w:val="nil"/>
                  </w:tcBorders>
                  <w:vAlign w:val="center"/>
                </w:tcPr>
                <w:p w14:paraId="5F703C1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304EB24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8</w:t>
                  </w:r>
                </w:p>
              </w:tc>
              <w:tc>
                <w:tcPr>
                  <w:tcW w:w="891" w:type="pct"/>
                  <w:vAlign w:val="center"/>
                </w:tcPr>
                <w:p w14:paraId="0B348B2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乙二醇罐（+泵）</w:t>
                  </w:r>
                </w:p>
              </w:tc>
              <w:tc>
                <w:tcPr>
                  <w:tcW w:w="1086" w:type="pct"/>
                  <w:vAlign w:val="center"/>
                </w:tcPr>
                <w:p w14:paraId="6490B09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齿轮泵 30 立方</w:t>
                  </w:r>
                </w:p>
              </w:tc>
              <w:tc>
                <w:tcPr>
                  <w:tcW w:w="742" w:type="pct"/>
                  <w:vAlign w:val="center"/>
                </w:tcPr>
                <w:p w14:paraId="0C73774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4kw</w:t>
                  </w:r>
                </w:p>
              </w:tc>
              <w:tc>
                <w:tcPr>
                  <w:tcW w:w="731" w:type="pct"/>
                  <w:vAlign w:val="center"/>
                </w:tcPr>
                <w:p w14:paraId="465CB13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680464E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1E9C4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7B40044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4193DBE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9</w:t>
                  </w:r>
                </w:p>
              </w:tc>
              <w:tc>
                <w:tcPr>
                  <w:tcW w:w="891" w:type="pct"/>
                  <w:vAlign w:val="center"/>
                </w:tcPr>
                <w:p w14:paraId="05FFE1B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高压水泵</w:t>
                  </w:r>
                </w:p>
              </w:tc>
              <w:tc>
                <w:tcPr>
                  <w:tcW w:w="1086" w:type="pct"/>
                  <w:vAlign w:val="center"/>
                </w:tcPr>
                <w:p w14:paraId="5E6582C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227BFFA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25kw</w:t>
                  </w:r>
                </w:p>
              </w:tc>
              <w:tc>
                <w:tcPr>
                  <w:tcW w:w="731" w:type="pct"/>
                  <w:vAlign w:val="center"/>
                </w:tcPr>
                <w:p w14:paraId="701B7CB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6A77AC2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3ACD6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4880E6D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44E71E4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891" w:type="pct"/>
                  <w:vAlign w:val="center"/>
                </w:tcPr>
                <w:p w14:paraId="5B774B4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投料口收尘处理装置</w:t>
                  </w:r>
                </w:p>
              </w:tc>
              <w:tc>
                <w:tcPr>
                  <w:tcW w:w="1086" w:type="pct"/>
                  <w:vAlign w:val="center"/>
                </w:tcPr>
                <w:p w14:paraId="0B10FD5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0A7FBEF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3A8A184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7B04B76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64F9A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201D71B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1B2C76F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891" w:type="pct"/>
                  <w:vAlign w:val="center"/>
                </w:tcPr>
                <w:p w14:paraId="7662B6B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乳液原料罐</w:t>
                  </w:r>
                </w:p>
              </w:tc>
              <w:tc>
                <w:tcPr>
                  <w:tcW w:w="1086" w:type="pct"/>
                  <w:vAlign w:val="center"/>
                </w:tcPr>
                <w:p w14:paraId="33B7B6C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30m</w:t>
                  </w:r>
                  <w:r>
                    <w:rPr>
                      <w:rFonts w:hint="default" w:ascii="Times New Roman" w:hAnsi="Times New Roman" w:eastAsia="宋体" w:cs="Times New Roman"/>
                      <w:color w:val="auto"/>
                      <w:position w:val="7"/>
                      <w:sz w:val="21"/>
                      <w:szCs w:val="21"/>
                    </w:rPr>
                    <w:t>3</w:t>
                  </w:r>
                </w:p>
              </w:tc>
              <w:tc>
                <w:tcPr>
                  <w:tcW w:w="742" w:type="pct"/>
                  <w:vAlign w:val="center"/>
                </w:tcPr>
                <w:p w14:paraId="70E9BB9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32E8B7A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372" w:type="pct"/>
                  <w:vAlign w:val="center"/>
                </w:tcPr>
                <w:p w14:paraId="0D19860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5</w:t>
                  </w:r>
                </w:p>
              </w:tc>
            </w:tr>
            <w:tr w14:paraId="5F760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09F8244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7AFE8D7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891" w:type="pct"/>
                  <w:vAlign w:val="center"/>
                </w:tcPr>
                <w:p w14:paraId="3B2A847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工艺水罐</w:t>
                  </w:r>
                </w:p>
              </w:tc>
              <w:tc>
                <w:tcPr>
                  <w:tcW w:w="1086" w:type="pct"/>
                  <w:vAlign w:val="center"/>
                </w:tcPr>
                <w:p w14:paraId="06F076C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50m</w:t>
                  </w:r>
                  <w:r>
                    <w:rPr>
                      <w:rFonts w:hint="default" w:ascii="Times New Roman" w:hAnsi="Times New Roman" w:eastAsia="宋体" w:cs="Times New Roman"/>
                      <w:color w:val="auto"/>
                      <w:position w:val="7"/>
                      <w:sz w:val="21"/>
                      <w:szCs w:val="21"/>
                    </w:rPr>
                    <w:t>3</w:t>
                  </w:r>
                </w:p>
              </w:tc>
              <w:tc>
                <w:tcPr>
                  <w:tcW w:w="742" w:type="pct"/>
                  <w:vAlign w:val="center"/>
                </w:tcPr>
                <w:p w14:paraId="41058C5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29E3899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372" w:type="pct"/>
                  <w:vAlign w:val="center"/>
                </w:tcPr>
                <w:p w14:paraId="36A8324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081914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6E3387C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1BE0A96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891" w:type="pct"/>
                  <w:vAlign w:val="center"/>
                </w:tcPr>
                <w:p w14:paraId="0F2B46F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助剂原料罐</w:t>
                  </w:r>
                </w:p>
              </w:tc>
              <w:tc>
                <w:tcPr>
                  <w:tcW w:w="1086" w:type="pct"/>
                  <w:vAlign w:val="center"/>
                </w:tcPr>
                <w:p w14:paraId="6841CD9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2000L</w:t>
                  </w:r>
                </w:p>
              </w:tc>
              <w:tc>
                <w:tcPr>
                  <w:tcW w:w="742" w:type="pct"/>
                  <w:vAlign w:val="center"/>
                </w:tcPr>
                <w:p w14:paraId="288B386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283E29A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372" w:type="pct"/>
                  <w:vAlign w:val="center"/>
                </w:tcPr>
                <w:p w14:paraId="579335C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6</w:t>
                  </w:r>
                </w:p>
              </w:tc>
            </w:tr>
            <w:tr w14:paraId="2AD45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7E364F8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03C2C70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891" w:type="pct"/>
                  <w:vAlign w:val="center"/>
                </w:tcPr>
                <w:p w14:paraId="4D5ED60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助剂原料罐</w:t>
                  </w:r>
                </w:p>
              </w:tc>
              <w:tc>
                <w:tcPr>
                  <w:tcW w:w="1086" w:type="pct"/>
                  <w:vAlign w:val="center"/>
                </w:tcPr>
                <w:p w14:paraId="0835471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1000L</w:t>
                  </w:r>
                </w:p>
              </w:tc>
              <w:tc>
                <w:tcPr>
                  <w:tcW w:w="742" w:type="pct"/>
                  <w:vAlign w:val="center"/>
                </w:tcPr>
                <w:p w14:paraId="6C6D38F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3KW</w:t>
                  </w:r>
                </w:p>
              </w:tc>
              <w:tc>
                <w:tcPr>
                  <w:tcW w:w="731" w:type="pct"/>
                  <w:vAlign w:val="center"/>
                </w:tcPr>
                <w:p w14:paraId="15DA01D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372" w:type="pct"/>
                  <w:vAlign w:val="center"/>
                </w:tcPr>
                <w:p w14:paraId="6B97F03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r>
            <w:tr w14:paraId="0AF26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46DDDD2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60C2EA0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891" w:type="pct"/>
                  <w:vAlign w:val="center"/>
                </w:tcPr>
                <w:p w14:paraId="7445F15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助剂原料罐</w:t>
                  </w:r>
                </w:p>
              </w:tc>
              <w:tc>
                <w:tcPr>
                  <w:tcW w:w="1086" w:type="pct"/>
                  <w:vAlign w:val="center"/>
                </w:tcPr>
                <w:p w14:paraId="5F686B1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1000L</w:t>
                  </w:r>
                </w:p>
              </w:tc>
              <w:tc>
                <w:tcPr>
                  <w:tcW w:w="742" w:type="pct"/>
                  <w:vAlign w:val="center"/>
                </w:tcPr>
                <w:p w14:paraId="33574E1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2.2KW</w:t>
                  </w:r>
                </w:p>
              </w:tc>
              <w:tc>
                <w:tcPr>
                  <w:tcW w:w="731" w:type="pct"/>
                  <w:vAlign w:val="center"/>
                </w:tcPr>
                <w:p w14:paraId="520C2F3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372" w:type="pct"/>
                  <w:vAlign w:val="center"/>
                </w:tcPr>
                <w:p w14:paraId="4A161EB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4</w:t>
                  </w:r>
                </w:p>
              </w:tc>
            </w:tr>
            <w:tr w14:paraId="1F0C1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5F55246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0D45FEE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891" w:type="pct"/>
                  <w:vAlign w:val="center"/>
                </w:tcPr>
                <w:p w14:paraId="0621CE3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乳胶漆预混罐</w:t>
                  </w:r>
                </w:p>
              </w:tc>
              <w:tc>
                <w:tcPr>
                  <w:tcW w:w="1086" w:type="pct"/>
                  <w:vAlign w:val="center"/>
                </w:tcPr>
                <w:p w14:paraId="67C6804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8000L</w:t>
                  </w:r>
                </w:p>
              </w:tc>
              <w:tc>
                <w:tcPr>
                  <w:tcW w:w="742" w:type="pct"/>
                  <w:vAlign w:val="center"/>
                </w:tcPr>
                <w:p w14:paraId="1CF0E13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200KW</w:t>
                  </w:r>
                </w:p>
              </w:tc>
              <w:tc>
                <w:tcPr>
                  <w:tcW w:w="731" w:type="pct"/>
                  <w:vAlign w:val="center"/>
                </w:tcPr>
                <w:p w14:paraId="618224B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372" w:type="pct"/>
                  <w:vAlign w:val="center"/>
                </w:tcPr>
                <w:p w14:paraId="2FCA832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215BD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7C69918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265F18E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891" w:type="pct"/>
                  <w:vAlign w:val="center"/>
                </w:tcPr>
                <w:p w14:paraId="72CD19F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乳胶漆调稀罐</w:t>
                  </w:r>
                </w:p>
              </w:tc>
              <w:tc>
                <w:tcPr>
                  <w:tcW w:w="1086" w:type="pct"/>
                  <w:vAlign w:val="center"/>
                </w:tcPr>
                <w:p w14:paraId="60DC889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10000L</w:t>
                  </w:r>
                </w:p>
              </w:tc>
              <w:tc>
                <w:tcPr>
                  <w:tcW w:w="742" w:type="pct"/>
                  <w:vAlign w:val="center"/>
                </w:tcPr>
                <w:p w14:paraId="01CCCB7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22KW</w:t>
                  </w:r>
                </w:p>
              </w:tc>
              <w:tc>
                <w:tcPr>
                  <w:tcW w:w="731" w:type="pct"/>
                  <w:vAlign w:val="center"/>
                </w:tcPr>
                <w:p w14:paraId="44D3C51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372" w:type="pct"/>
                  <w:vAlign w:val="center"/>
                </w:tcPr>
                <w:p w14:paraId="036B51A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r>
            <w:tr w14:paraId="7CD54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2104B03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2B6AB41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891" w:type="pct"/>
                  <w:vAlign w:val="center"/>
                </w:tcPr>
                <w:p w14:paraId="0A6D1DE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包装机</w:t>
                  </w:r>
                </w:p>
              </w:tc>
              <w:tc>
                <w:tcPr>
                  <w:tcW w:w="1086" w:type="pct"/>
                  <w:vAlign w:val="center"/>
                </w:tcPr>
                <w:p w14:paraId="038EC1A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0CD3274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3C3CC95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441AF8F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0F012F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53EE818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7604544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891" w:type="pct"/>
                  <w:vAlign w:val="center"/>
                </w:tcPr>
                <w:p w14:paraId="6220F57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空气压缩机</w:t>
                  </w:r>
                </w:p>
              </w:tc>
              <w:tc>
                <w:tcPr>
                  <w:tcW w:w="1086" w:type="pct"/>
                  <w:vAlign w:val="center"/>
                </w:tcPr>
                <w:p w14:paraId="3F93B5F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GAe22P A 8.5</w:t>
                  </w:r>
                </w:p>
              </w:tc>
              <w:tc>
                <w:tcPr>
                  <w:tcW w:w="742" w:type="pct"/>
                  <w:vAlign w:val="center"/>
                </w:tcPr>
                <w:p w14:paraId="69B0CC2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22KW</w:t>
                  </w:r>
                </w:p>
              </w:tc>
              <w:tc>
                <w:tcPr>
                  <w:tcW w:w="731" w:type="pct"/>
                  <w:vAlign w:val="center"/>
                </w:tcPr>
                <w:p w14:paraId="41C7F8E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4573A23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3</w:t>
                  </w:r>
                </w:p>
              </w:tc>
            </w:tr>
            <w:tr w14:paraId="4750F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2EB1147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0C7667E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891" w:type="pct"/>
                  <w:vAlign w:val="center"/>
                </w:tcPr>
                <w:p w14:paraId="2B060F5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空气压缩机</w:t>
                  </w:r>
                </w:p>
              </w:tc>
              <w:tc>
                <w:tcPr>
                  <w:tcW w:w="1086" w:type="pct"/>
                  <w:vAlign w:val="center"/>
                </w:tcPr>
                <w:p w14:paraId="6C38E44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7A2E60A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45kW</w:t>
                  </w:r>
                </w:p>
              </w:tc>
              <w:tc>
                <w:tcPr>
                  <w:tcW w:w="731" w:type="pct"/>
                  <w:vAlign w:val="center"/>
                </w:tcPr>
                <w:p w14:paraId="2E1A58C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5A0D30B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50DB7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44082AB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724D1B1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891" w:type="pct"/>
                  <w:vAlign w:val="center"/>
                </w:tcPr>
                <w:p w14:paraId="71FC504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冷冻式干燥机</w:t>
                  </w:r>
                </w:p>
              </w:tc>
              <w:tc>
                <w:tcPr>
                  <w:tcW w:w="1086" w:type="pct"/>
                  <w:vAlign w:val="center"/>
                </w:tcPr>
                <w:p w14:paraId="484605C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FXe8 8102494633</w:t>
                  </w:r>
                </w:p>
              </w:tc>
              <w:tc>
                <w:tcPr>
                  <w:tcW w:w="742" w:type="pct"/>
                  <w:vAlign w:val="center"/>
                </w:tcPr>
                <w:p w14:paraId="0825899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0.77KW</w:t>
                  </w:r>
                </w:p>
              </w:tc>
              <w:tc>
                <w:tcPr>
                  <w:tcW w:w="731" w:type="pct"/>
                  <w:vAlign w:val="center"/>
                </w:tcPr>
                <w:p w14:paraId="6401806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2D6025B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7F56D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5675452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4ABA1D0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891" w:type="pct"/>
                  <w:vAlign w:val="center"/>
                </w:tcPr>
                <w:p w14:paraId="7FDF324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乳胶漆控制室</w:t>
                  </w:r>
                </w:p>
              </w:tc>
              <w:tc>
                <w:tcPr>
                  <w:tcW w:w="1086" w:type="pct"/>
                  <w:vAlign w:val="center"/>
                </w:tcPr>
                <w:p w14:paraId="7415557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791C942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22A965D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54BEEE6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1AEA0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2362327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0280CCE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891" w:type="pct"/>
                  <w:vAlign w:val="center"/>
                </w:tcPr>
                <w:p w14:paraId="775F8E4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工艺水泵</w:t>
                  </w:r>
                </w:p>
              </w:tc>
              <w:tc>
                <w:tcPr>
                  <w:tcW w:w="1086" w:type="pct"/>
                  <w:vAlign w:val="center"/>
                </w:tcPr>
                <w:p w14:paraId="13F66DA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010E762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50CC069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372" w:type="pct"/>
                  <w:vAlign w:val="center"/>
                </w:tcPr>
                <w:p w14:paraId="00712CB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r>
            <w:tr w14:paraId="3A9FF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342DEC7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5CBB789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891" w:type="pct"/>
                  <w:vAlign w:val="center"/>
                </w:tcPr>
                <w:p w14:paraId="6D178C4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高压水泵</w:t>
                  </w:r>
                </w:p>
              </w:tc>
              <w:tc>
                <w:tcPr>
                  <w:tcW w:w="1086" w:type="pct"/>
                  <w:vAlign w:val="center"/>
                </w:tcPr>
                <w:p w14:paraId="1FD4A5C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34676CD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5CE7ECA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372" w:type="pct"/>
                  <w:vAlign w:val="center"/>
                </w:tcPr>
                <w:p w14:paraId="2E9A794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142B9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49C108C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73C8172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891" w:type="pct"/>
                  <w:vAlign w:val="center"/>
                </w:tcPr>
                <w:p w14:paraId="2C877FF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隔膜泵</w:t>
                  </w:r>
                </w:p>
              </w:tc>
              <w:tc>
                <w:tcPr>
                  <w:tcW w:w="1086" w:type="pct"/>
                  <w:vAlign w:val="center"/>
                </w:tcPr>
                <w:p w14:paraId="18301FD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1E41CEB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3FE2D03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个</w:t>
                  </w:r>
                </w:p>
              </w:tc>
              <w:tc>
                <w:tcPr>
                  <w:tcW w:w="372" w:type="pct"/>
                  <w:vAlign w:val="center"/>
                </w:tcPr>
                <w:p w14:paraId="428A198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5</w:t>
                  </w:r>
                </w:p>
              </w:tc>
            </w:tr>
            <w:tr w14:paraId="54574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restart"/>
                  <w:vAlign w:val="center"/>
                </w:tcPr>
                <w:p w14:paraId="4C3ABAA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砂壁生</w:t>
                  </w:r>
                  <w:r>
                    <w:rPr>
                      <w:rFonts w:hint="default" w:ascii="Times New Roman" w:hAnsi="Times New Roman" w:eastAsia="宋体" w:cs="Times New Roman"/>
                      <w:color w:val="auto"/>
                      <w:sz w:val="21"/>
                      <w:szCs w:val="21"/>
                      <w:lang w:eastAsia="zh-CN"/>
                    </w:rPr>
                    <w:t>产线</w:t>
                  </w:r>
                </w:p>
              </w:tc>
              <w:tc>
                <w:tcPr>
                  <w:tcW w:w="615" w:type="pct"/>
                  <w:vAlign w:val="center"/>
                </w:tcPr>
                <w:p w14:paraId="5BCF8E1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891" w:type="pct"/>
                  <w:vAlign w:val="center"/>
                </w:tcPr>
                <w:p w14:paraId="5F3FA6F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搅拌机</w:t>
                  </w:r>
                </w:p>
              </w:tc>
              <w:tc>
                <w:tcPr>
                  <w:tcW w:w="1086" w:type="pct"/>
                  <w:vAlign w:val="center"/>
                </w:tcPr>
                <w:p w14:paraId="5E27943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2000L 缸</w:t>
                  </w:r>
                </w:p>
              </w:tc>
              <w:tc>
                <w:tcPr>
                  <w:tcW w:w="742" w:type="pct"/>
                  <w:vAlign w:val="center"/>
                </w:tcPr>
                <w:p w14:paraId="7A0B163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75kw</w:t>
                  </w:r>
                </w:p>
              </w:tc>
              <w:tc>
                <w:tcPr>
                  <w:tcW w:w="731" w:type="pct"/>
                  <w:vAlign w:val="center"/>
                </w:tcPr>
                <w:p w14:paraId="55D8979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79F1B98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0D1BE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vAlign w:val="center"/>
                </w:tcPr>
                <w:p w14:paraId="40A212F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5468890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891" w:type="pct"/>
                  <w:vAlign w:val="center"/>
                </w:tcPr>
                <w:p w14:paraId="086DFC7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搅拌机</w:t>
                  </w:r>
                </w:p>
              </w:tc>
              <w:tc>
                <w:tcPr>
                  <w:tcW w:w="1086" w:type="pct"/>
                  <w:vAlign w:val="center"/>
                </w:tcPr>
                <w:p w14:paraId="2D80157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3000L 缸</w:t>
                  </w:r>
                </w:p>
              </w:tc>
              <w:tc>
                <w:tcPr>
                  <w:tcW w:w="742" w:type="pct"/>
                  <w:vAlign w:val="center"/>
                </w:tcPr>
                <w:p w14:paraId="439FE06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83kw</w:t>
                  </w:r>
                </w:p>
              </w:tc>
              <w:tc>
                <w:tcPr>
                  <w:tcW w:w="731" w:type="pct"/>
                  <w:vAlign w:val="center"/>
                </w:tcPr>
                <w:p w14:paraId="2D6D873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742EF37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6539A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vAlign w:val="center"/>
                </w:tcPr>
                <w:p w14:paraId="34B7198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656D41C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3</w:t>
                  </w:r>
                </w:p>
              </w:tc>
              <w:tc>
                <w:tcPr>
                  <w:tcW w:w="891" w:type="pct"/>
                  <w:vAlign w:val="center"/>
                </w:tcPr>
                <w:p w14:paraId="5B68D39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搅拌机</w:t>
                  </w:r>
                </w:p>
              </w:tc>
              <w:tc>
                <w:tcPr>
                  <w:tcW w:w="1086" w:type="pct"/>
                  <w:vAlign w:val="center"/>
                </w:tcPr>
                <w:p w14:paraId="45891D3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5000L 缸</w:t>
                  </w:r>
                </w:p>
              </w:tc>
              <w:tc>
                <w:tcPr>
                  <w:tcW w:w="742" w:type="pct"/>
                  <w:vAlign w:val="center"/>
                </w:tcPr>
                <w:p w14:paraId="65B0931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66kw</w:t>
                  </w:r>
                </w:p>
              </w:tc>
              <w:tc>
                <w:tcPr>
                  <w:tcW w:w="731" w:type="pct"/>
                  <w:vAlign w:val="center"/>
                </w:tcPr>
                <w:p w14:paraId="5603EAE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23B019B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r>
            <w:tr w14:paraId="18151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vAlign w:val="center"/>
                </w:tcPr>
                <w:p w14:paraId="196C7AB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499ADC6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4</w:t>
                  </w:r>
                </w:p>
              </w:tc>
              <w:tc>
                <w:tcPr>
                  <w:tcW w:w="891" w:type="pct"/>
                  <w:vAlign w:val="center"/>
                </w:tcPr>
                <w:p w14:paraId="688FEA5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搅拌机</w:t>
                  </w:r>
                </w:p>
              </w:tc>
              <w:tc>
                <w:tcPr>
                  <w:tcW w:w="1086" w:type="pct"/>
                  <w:vAlign w:val="center"/>
                </w:tcPr>
                <w:p w14:paraId="3D8AE96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10000L 缸</w:t>
                  </w:r>
                </w:p>
              </w:tc>
              <w:tc>
                <w:tcPr>
                  <w:tcW w:w="742" w:type="pct"/>
                  <w:vAlign w:val="center"/>
                </w:tcPr>
                <w:p w14:paraId="4F58776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140kw</w:t>
                  </w:r>
                </w:p>
              </w:tc>
              <w:tc>
                <w:tcPr>
                  <w:tcW w:w="731" w:type="pct"/>
                  <w:vAlign w:val="center"/>
                </w:tcPr>
                <w:p w14:paraId="36B6689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552B078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r>
            <w:tr w14:paraId="65EFE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vAlign w:val="center"/>
                </w:tcPr>
                <w:p w14:paraId="139A34C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3BBE68A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5</w:t>
                  </w:r>
                </w:p>
              </w:tc>
              <w:tc>
                <w:tcPr>
                  <w:tcW w:w="891" w:type="pct"/>
                  <w:vAlign w:val="center"/>
                </w:tcPr>
                <w:p w14:paraId="43938DE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高压清洗装置</w:t>
                  </w:r>
                </w:p>
              </w:tc>
              <w:tc>
                <w:tcPr>
                  <w:tcW w:w="1086" w:type="pct"/>
                  <w:vAlign w:val="center"/>
                </w:tcPr>
                <w:p w14:paraId="178CA92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2CCF91C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25kw</w:t>
                  </w:r>
                </w:p>
              </w:tc>
              <w:tc>
                <w:tcPr>
                  <w:tcW w:w="731" w:type="pct"/>
                  <w:vAlign w:val="center"/>
                </w:tcPr>
                <w:p w14:paraId="0B9891E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1CCBF49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1769D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vAlign w:val="center"/>
                </w:tcPr>
                <w:p w14:paraId="3FB4000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6916886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6</w:t>
                  </w:r>
                </w:p>
              </w:tc>
              <w:tc>
                <w:tcPr>
                  <w:tcW w:w="891" w:type="pct"/>
                  <w:vAlign w:val="center"/>
                </w:tcPr>
                <w:p w14:paraId="1ADA8E0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空压机及储罐</w:t>
                  </w:r>
                </w:p>
              </w:tc>
              <w:tc>
                <w:tcPr>
                  <w:tcW w:w="1086" w:type="pct"/>
                  <w:vAlign w:val="center"/>
                </w:tcPr>
                <w:p w14:paraId="1265874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GA-55</w:t>
                  </w:r>
                </w:p>
              </w:tc>
              <w:tc>
                <w:tcPr>
                  <w:tcW w:w="742" w:type="pct"/>
                  <w:vAlign w:val="center"/>
                </w:tcPr>
                <w:p w14:paraId="5A2D021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55kw</w:t>
                  </w:r>
                </w:p>
              </w:tc>
              <w:tc>
                <w:tcPr>
                  <w:tcW w:w="731" w:type="pct"/>
                  <w:vAlign w:val="center"/>
                </w:tcPr>
                <w:p w14:paraId="0F0369A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29F6EE0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r>
            <w:tr w14:paraId="6755D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vAlign w:val="center"/>
                </w:tcPr>
                <w:p w14:paraId="10425A4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70C6639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7</w:t>
                  </w:r>
                </w:p>
              </w:tc>
              <w:tc>
                <w:tcPr>
                  <w:tcW w:w="891" w:type="pct"/>
                  <w:vAlign w:val="center"/>
                </w:tcPr>
                <w:p w14:paraId="34191D2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电动葫芦</w:t>
                  </w:r>
                </w:p>
              </w:tc>
              <w:tc>
                <w:tcPr>
                  <w:tcW w:w="1086" w:type="pct"/>
                  <w:vAlign w:val="center"/>
                </w:tcPr>
                <w:p w14:paraId="7DD48C3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3845EB3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3kw</w:t>
                  </w:r>
                </w:p>
              </w:tc>
              <w:tc>
                <w:tcPr>
                  <w:tcW w:w="731" w:type="pct"/>
                  <w:vAlign w:val="center"/>
                </w:tcPr>
                <w:p w14:paraId="4760C99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台</w:t>
                  </w:r>
                </w:p>
              </w:tc>
              <w:tc>
                <w:tcPr>
                  <w:tcW w:w="372" w:type="pct"/>
                  <w:vAlign w:val="center"/>
                </w:tcPr>
                <w:p w14:paraId="5D9F526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3</w:t>
                  </w:r>
                </w:p>
              </w:tc>
            </w:tr>
            <w:tr w14:paraId="6ED7A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vAlign w:val="center"/>
                </w:tcPr>
                <w:p w14:paraId="537634E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115C87B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9</w:t>
                  </w:r>
                </w:p>
              </w:tc>
              <w:tc>
                <w:tcPr>
                  <w:tcW w:w="891" w:type="pct"/>
                  <w:vAlign w:val="center"/>
                </w:tcPr>
                <w:p w14:paraId="548EC08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收尘及处理装置</w:t>
                  </w:r>
                </w:p>
              </w:tc>
              <w:tc>
                <w:tcPr>
                  <w:tcW w:w="1086" w:type="pct"/>
                  <w:vAlign w:val="center"/>
                </w:tcPr>
                <w:p w14:paraId="5E1ECF4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1B14D5D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35kw</w:t>
                  </w:r>
                </w:p>
              </w:tc>
              <w:tc>
                <w:tcPr>
                  <w:tcW w:w="731" w:type="pct"/>
                  <w:vAlign w:val="center"/>
                </w:tcPr>
                <w:p w14:paraId="38B4735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07E67C1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01E11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vAlign w:val="center"/>
                </w:tcPr>
                <w:p w14:paraId="210B567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6E6A699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891" w:type="pct"/>
                  <w:vAlign w:val="center"/>
                </w:tcPr>
                <w:p w14:paraId="2AAAA1E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高压水泵</w:t>
                  </w:r>
                </w:p>
              </w:tc>
              <w:tc>
                <w:tcPr>
                  <w:tcW w:w="1086" w:type="pct"/>
                  <w:vAlign w:val="center"/>
                </w:tcPr>
                <w:p w14:paraId="108C32F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4772393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10kw</w:t>
                  </w:r>
                </w:p>
              </w:tc>
              <w:tc>
                <w:tcPr>
                  <w:tcW w:w="731" w:type="pct"/>
                  <w:vAlign w:val="center"/>
                </w:tcPr>
                <w:p w14:paraId="7F3AF7A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43AD7DB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068FD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vAlign w:val="center"/>
                </w:tcPr>
                <w:p w14:paraId="5ADB173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7953C0F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891" w:type="pct"/>
                  <w:vAlign w:val="center"/>
                </w:tcPr>
                <w:p w14:paraId="72F3727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砂壁高粘包装机</w:t>
                  </w:r>
                </w:p>
              </w:tc>
              <w:tc>
                <w:tcPr>
                  <w:tcW w:w="1086" w:type="pct"/>
                  <w:vAlign w:val="center"/>
                </w:tcPr>
                <w:p w14:paraId="341F775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65DA4A8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3kw</w:t>
                  </w:r>
                </w:p>
              </w:tc>
              <w:tc>
                <w:tcPr>
                  <w:tcW w:w="731" w:type="pct"/>
                  <w:vAlign w:val="center"/>
                </w:tcPr>
                <w:p w14:paraId="51F1635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21D4432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4</w:t>
                  </w:r>
                </w:p>
              </w:tc>
            </w:tr>
            <w:tr w14:paraId="2E45F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restart"/>
                  <w:vAlign w:val="center"/>
                </w:tcPr>
                <w:p w14:paraId="4D2DE56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腻子粉生产线</w:t>
                  </w:r>
                </w:p>
              </w:tc>
              <w:tc>
                <w:tcPr>
                  <w:tcW w:w="615" w:type="pct"/>
                  <w:vAlign w:val="center"/>
                </w:tcPr>
                <w:p w14:paraId="69A39B5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891" w:type="pct"/>
                  <w:vAlign w:val="center"/>
                </w:tcPr>
                <w:p w14:paraId="648B90A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空气储罐</w:t>
                  </w:r>
                </w:p>
              </w:tc>
              <w:tc>
                <w:tcPr>
                  <w:tcW w:w="1086" w:type="pct"/>
                  <w:vAlign w:val="center"/>
                </w:tcPr>
                <w:p w14:paraId="5A1CB09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3m</w:t>
                  </w:r>
                  <w:r>
                    <w:rPr>
                      <w:rFonts w:hint="default" w:ascii="Times New Roman" w:hAnsi="Times New Roman" w:eastAsia="宋体" w:cs="Times New Roman"/>
                      <w:color w:val="auto"/>
                      <w:position w:val="7"/>
                      <w:sz w:val="21"/>
                      <w:szCs w:val="21"/>
                    </w:rPr>
                    <w:t>3</w:t>
                  </w:r>
                </w:p>
              </w:tc>
              <w:tc>
                <w:tcPr>
                  <w:tcW w:w="742" w:type="pct"/>
                  <w:vAlign w:val="center"/>
                </w:tcPr>
                <w:p w14:paraId="5A24335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64BDC6D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台</w:t>
                  </w:r>
                </w:p>
              </w:tc>
              <w:tc>
                <w:tcPr>
                  <w:tcW w:w="372" w:type="pct"/>
                  <w:vAlign w:val="center"/>
                </w:tcPr>
                <w:p w14:paraId="31CA0EA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286D3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69DA84C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74D2655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891" w:type="pct"/>
                  <w:vAlign w:val="center"/>
                </w:tcPr>
                <w:p w14:paraId="31763FB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腻子粉生产设备</w:t>
                  </w:r>
                </w:p>
              </w:tc>
              <w:tc>
                <w:tcPr>
                  <w:tcW w:w="1086" w:type="pct"/>
                  <w:vAlign w:val="center"/>
                </w:tcPr>
                <w:p w14:paraId="482D8A9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5t/h</w:t>
                  </w:r>
                </w:p>
              </w:tc>
              <w:tc>
                <w:tcPr>
                  <w:tcW w:w="742" w:type="pct"/>
                  <w:vAlign w:val="center"/>
                </w:tcPr>
                <w:p w14:paraId="761CEE1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3F89243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31CDF01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186F6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22D7FFE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0D68CC7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3</w:t>
                  </w:r>
                </w:p>
              </w:tc>
              <w:tc>
                <w:tcPr>
                  <w:tcW w:w="891" w:type="pct"/>
                  <w:vAlign w:val="center"/>
                </w:tcPr>
                <w:p w14:paraId="4564F69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腻子粉控制室</w:t>
                  </w:r>
                </w:p>
              </w:tc>
              <w:tc>
                <w:tcPr>
                  <w:tcW w:w="1086" w:type="pct"/>
                  <w:vAlign w:val="center"/>
                </w:tcPr>
                <w:p w14:paraId="77E1258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36987E0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09CCB56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060C7E4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799FB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052457C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1B3D56B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4</w:t>
                  </w:r>
                </w:p>
              </w:tc>
              <w:tc>
                <w:tcPr>
                  <w:tcW w:w="891" w:type="pct"/>
                  <w:vAlign w:val="center"/>
                </w:tcPr>
                <w:p w14:paraId="3F7C899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腻子粉生产设备</w:t>
                  </w:r>
                </w:p>
              </w:tc>
              <w:tc>
                <w:tcPr>
                  <w:tcW w:w="1086" w:type="pct"/>
                  <w:vAlign w:val="center"/>
                </w:tcPr>
                <w:p w14:paraId="606B164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5t/h</w:t>
                  </w:r>
                </w:p>
              </w:tc>
              <w:tc>
                <w:tcPr>
                  <w:tcW w:w="742" w:type="pct"/>
                  <w:vAlign w:val="center"/>
                </w:tcPr>
                <w:p w14:paraId="63D1BDD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75kw</w:t>
                  </w:r>
                </w:p>
              </w:tc>
              <w:tc>
                <w:tcPr>
                  <w:tcW w:w="731" w:type="pct"/>
                  <w:vAlign w:val="center"/>
                </w:tcPr>
                <w:p w14:paraId="718EF4D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492B27D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19C2D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61C3204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7F22BDB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5</w:t>
                  </w:r>
                </w:p>
              </w:tc>
              <w:tc>
                <w:tcPr>
                  <w:tcW w:w="891" w:type="pct"/>
                  <w:vAlign w:val="center"/>
                </w:tcPr>
                <w:p w14:paraId="5EAE228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腻子粉控制室</w:t>
                  </w:r>
                </w:p>
              </w:tc>
              <w:tc>
                <w:tcPr>
                  <w:tcW w:w="1086" w:type="pct"/>
                  <w:vAlign w:val="center"/>
                </w:tcPr>
                <w:p w14:paraId="5C66C16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41DADC3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69E5464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013CF94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1A3AD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47B74ED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1BD3096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6</w:t>
                  </w:r>
                </w:p>
              </w:tc>
              <w:tc>
                <w:tcPr>
                  <w:tcW w:w="891" w:type="pct"/>
                  <w:vAlign w:val="center"/>
                </w:tcPr>
                <w:p w14:paraId="5F1A941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收尘及处理装置</w:t>
                  </w:r>
                </w:p>
              </w:tc>
              <w:tc>
                <w:tcPr>
                  <w:tcW w:w="1086" w:type="pct"/>
                  <w:vAlign w:val="center"/>
                </w:tcPr>
                <w:p w14:paraId="763ED5B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风量 3517m</w:t>
                  </w:r>
                  <w:r>
                    <w:rPr>
                      <w:rFonts w:hint="default" w:ascii="Times New Roman" w:hAnsi="Times New Roman" w:eastAsia="宋体" w:cs="Times New Roman"/>
                      <w:color w:val="auto"/>
                      <w:position w:val="7"/>
                      <w:sz w:val="21"/>
                      <w:szCs w:val="21"/>
                    </w:rPr>
                    <w:t>3</w:t>
                  </w:r>
                  <w:r>
                    <w:rPr>
                      <w:rFonts w:hint="default" w:ascii="Times New Roman" w:hAnsi="Times New Roman" w:eastAsia="宋体" w:cs="Times New Roman"/>
                      <w:color w:val="auto"/>
                      <w:sz w:val="21"/>
                      <w:szCs w:val="21"/>
                    </w:rPr>
                    <w:t>/h</w:t>
                  </w:r>
                </w:p>
              </w:tc>
              <w:tc>
                <w:tcPr>
                  <w:tcW w:w="742" w:type="pct"/>
                  <w:vAlign w:val="center"/>
                </w:tcPr>
                <w:p w14:paraId="7A4B498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1965E3E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10EBDF2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3D6E4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560" w:type="pct"/>
                  <w:vMerge w:val="continue"/>
                  <w:tcBorders>
                    <w:top w:val="nil"/>
                  </w:tcBorders>
                  <w:vAlign w:val="center"/>
                </w:tcPr>
                <w:p w14:paraId="4B1891C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372F0ED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7</w:t>
                  </w:r>
                </w:p>
              </w:tc>
              <w:tc>
                <w:tcPr>
                  <w:tcW w:w="891" w:type="pct"/>
                  <w:vAlign w:val="center"/>
                </w:tcPr>
                <w:p w14:paraId="5E1789C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空气储罐</w:t>
                  </w:r>
                </w:p>
              </w:tc>
              <w:tc>
                <w:tcPr>
                  <w:tcW w:w="1086" w:type="pct"/>
                  <w:vAlign w:val="center"/>
                </w:tcPr>
                <w:p w14:paraId="26F0D71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3m</w:t>
                  </w:r>
                  <w:r>
                    <w:rPr>
                      <w:rFonts w:hint="default" w:ascii="Times New Roman" w:hAnsi="Times New Roman" w:eastAsia="宋体" w:cs="Times New Roman"/>
                      <w:color w:val="auto"/>
                      <w:position w:val="7"/>
                      <w:sz w:val="21"/>
                      <w:szCs w:val="21"/>
                    </w:rPr>
                    <w:t>3</w:t>
                  </w:r>
                </w:p>
              </w:tc>
              <w:tc>
                <w:tcPr>
                  <w:tcW w:w="742" w:type="pct"/>
                  <w:vAlign w:val="center"/>
                </w:tcPr>
                <w:p w14:paraId="5FAB3F1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246BB5C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台</w:t>
                  </w:r>
                </w:p>
              </w:tc>
              <w:tc>
                <w:tcPr>
                  <w:tcW w:w="372" w:type="pct"/>
                  <w:vAlign w:val="center"/>
                </w:tcPr>
                <w:p w14:paraId="12A79D2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11CD8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restart"/>
                  <w:vAlign w:val="center"/>
                </w:tcPr>
                <w:p w14:paraId="51EB2F4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公</w:t>
                  </w:r>
                  <w:r>
                    <w:rPr>
                      <w:rFonts w:hint="default" w:ascii="Times New Roman" w:hAnsi="Times New Roman" w:eastAsia="宋体" w:cs="Times New Roman"/>
                      <w:color w:val="auto"/>
                      <w:sz w:val="21"/>
                      <w:szCs w:val="21"/>
                    </w:rPr>
                    <w:t>用工程</w:t>
                  </w:r>
                </w:p>
              </w:tc>
              <w:tc>
                <w:tcPr>
                  <w:tcW w:w="615" w:type="pct"/>
                  <w:vAlign w:val="center"/>
                </w:tcPr>
                <w:p w14:paraId="395D900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c>
                <w:tcPr>
                  <w:tcW w:w="891" w:type="pct"/>
                  <w:vAlign w:val="center"/>
                </w:tcPr>
                <w:p w14:paraId="73DB472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污水站设备</w:t>
                  </w:r>
                </w:p>
              </w:tc>
              <w:tc>
                <w:tcPr>
                  <w:tcW w:w="1086" w:type="pct"/>
                  <w:vAlign w:val="center"/>
                </w:tcPr>
                <w:p w14:paraId="58B13D8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26C0D4B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50t/d</w:t>
                  </w:r>
                </w:p>
              </w:tc>
              <w:tc>
                <w:tcPr>
                  <w:tcW w:w="731" w:type="pct"/>
                  <w:vAlign w:val="center"/>
                </w:tcPr>
                <w:p w14:paraId="72C6A8F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360B48F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5B473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3BEF657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2B93188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c>
                <w:tcPr>
                  <w:tcW w:w="891" w:type="pct"/>
                  <w:vAlign w:val="center"/>
                </w:tcPr>
                <w:p w14:paraId="56111A4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设备安装费</w:t>
                  </w:r>
                </w:p>
              </w:tc>
              <w:tc>
                <w:tcPr>
                  <w:tcW w:w="1086" w:type="pct"/>
                  <w:vAlign w:val="center"/>
                </w:tcPr>
                <w:p w14:paraId="1333A40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2538841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50kw</w:t>
                  </w:r>
                </w:p>
              </w:tc>
              <w:tc>
                <w:tcPr>
                  <w:tcW w:w="731" w:type="pct"/>
                  <w:vAlign w:val="center"/>
                </w:tcPr>
                <w:p w14:paraId="1C079D9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套</w:t>
                  </w:r>
                </w:p>
              </w:tc>
              <w:tc>
                <w:tcPr>
                  <w:tcW w:w="372" w:type="pct"/>
                  <w:vAlign w:val="center"/>
                </w:tcPr>
                <w:p w14:paraId="44DA892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19E80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214E067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57FF09F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3</w:t>
                  </w:r>
                </w:p>
              </w:tc>
              <w:tc>
                <w:tcPr>
                  <w:tcW w:w="891" w:type="pct"/>
                  <w:vAlign w:val="center"/>
                </w:tcPr>
                <w:p w14:paraId="1A1E915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叉车</w:t>
                  </w:r>
                </w:p>
              </w:tc>
              <w:tc>
                <w:tcPr>
                  <w:tcW w:w="1086" w:type="pct"/>
                  <w:vAlign w:val="center"/>
                </w:tcPr>
                <w:p w14:paraId="5CAE680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非防爆</w:t>
                  </w:r>
                </w:p>
              </w:tc>
              <w:tc>
                <w:tcPr>
                  <w:tcW w:w="742" w:type="pct"/>
                  <w:vAlign w:val="center"/>
                </w:tcPr>
                <w:p w14:paraId="0155CE4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5C40B25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台</w:t>
                  </w:r>
                </w:p>
              </w:tc>
              <w:tc>
                <w:tcPr>
                  <w:tcW w:w="372" w:type="pct"/>
                  <w:vAlign w:val="center"/>
                </w:tcPr>
                <w:p w14:paraId="2733C4C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78336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14B1370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3D3E460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4</w:t>
                  </w:r>
                </w:p>
              </w:tc>
              <w:tc>
                <w:tcPr>
                  <w:tcW w:w="891" w:type="pct"/>
                  <w:vAlign w:val="center"/>
                </w:tcPr>
                <w:p w14:paraId="0DFDAFC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叉车</w:t>
                  </w:r>
                </w:p>
              </w:tc>
              <w:tc>
                <w:tcPr>
                  <w:tcW w:w="1086" w:type="pct"/>
                  <w:vAlign w:val="center"/>
                </w:tcPr>
                <w:p w14:paraId="6E54392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防爆型</w:t>
                  </w:r>
                </w:p>
              </w:tc>
              <w:tc>
                <w:tcPr>
                  <w:tcW w:w="742" w:type="pct"/>
                  <w:vAlign w:val="center"/>
                </w:tcPr>
                <w:p w14:paraId="7EBB032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226A562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台</w:t>
                  </w:r>
                </w:p>
              </w:tc>
              <w:tc>
                <w:tcPr>
                  <w:tcW w:w="372" w:type="pct"/>
                  <w:vAlign w:val="center"/>
                </w:tcPr>
                <w:p w14:paraId="58AA583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r w14:paraId="5EEE1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41FF229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28EB33F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5</w:t>
                  </w:r>
                </w:p>
              </w:tc>
              <w:tc>
                <w:tcPr>
                  <w:tcW w:w="891" w:type="pct"/>
                  <w:vAlign w:val="center"/>
                </w:tcPr>
                <w:p w14:paraId="346BC2E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液压车</w:t>
                  </w:r>
                </w:p>
              </w:tc>
              <w:tc>
                <w:tcPr>
                  <w:tcW w:w="1086" w:type="pct"/>
                  <w:vAlign w:val="center"/>
                </w:tcPr>
                <w:p w14:paraId="6A80081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42" w:type="pct"/>
                  <w:vAlign w:val="center"/>
                </w:tcPr>
                <w:p w14:paraId="3F6F28C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7DF36AA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台</w:t>
                  </w:r>
                </w:p>
              </w:tc>
              <w:tc>
                <w:tcPr>
                  <w:tcW w:w="372" w:type="pct"/>
                  <w:vAlign w:val="center"/>
                </w:tcPr>
                <w:p w14:paraId="3AFA067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2</w:t>
                  </w:r>
                </w:p>
              </w:tc>
            </w:tr>
            <w:tr w14:paraId="3A4DC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0" w:type="pct"/>
                  <w:vMerge w:val="continue"/>
                  <w:tcBorders>
                    <w:top w:val="nil"/>
                  </w:tcBorders>
                  <w:vAlign w:val="center"/>
                </w:tcPr>
                <w:p w14:paraId="52055A4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15" w:type="pct"/>
                  <w:vAlign w:val="center"/>
                </w:tcPr>
                <w:p w14:paraId="34E6F9C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6</w:t>
                  </w:r>
                </w:p>
              </w:tc>
              <w:tc>
                <w:tcPr>
                  <w:tcW w:w="891" w:type="pct"/>
                  <w:vAlign w:val="center"/>
                </w:tcPr>
                <w:p w14:paraId="7E39D04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汽车地上衡</w:t>
                  </w:r>
                </w:p>
              </w:tc>
              <w:tc>
                <w:tcPr>
                  <w:tcW w:w="1086" w:type="pct"/>
                  <w:vAlign w:val="center"/>
                </w:tcPr>
                <w:p w14:paraId="7F89CDB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60T</w:t>
                  </w:r>
                </w:p>
              </w:tc>
              <w:tc>
                <w:tcPr>
                  <w:tcW w:w="742" w:type="pct"/>
                  <w:vAlign w:val="center"/>
                </w:tcPr>
                <w:p w14:paraId="0DE71F7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731" w:type="pct"/>
                  <w:vAlign w:val="center"/>
                </w:tcPr>
                <w:p w14:paraId="33D7A79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台</w:t>
                  </w:r>
                </w:p>
              </w:tc>
              <w:tc>
                <w:tcPr>
                  <w:tcW w:w="372" w:type="pct"/>
                  <w:vAlign w:val="center"/>
                </w:tcPr>
                <w:p w14:paraId="644C563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1</w:t>
                  </w:r>
                </w:p>
              </w:tc>
            </w:tr>
          </w:tbl>
          <w:p w14:paraId="3DE10AF5">
            <w:pPr>
              <w:pStyle w:val="88"/>
              <w:keepNext w:val="0"/>
              <w:keepLines w:val="0"/>
              <w:suppressLineNumbers w:val="0"/>
              <w:spacing w:before="0" w:beforeAutospacing="0" w:after="0" w:afterAutospacing="0"/>
              <w:ind w:left="0" w:right="0" w:firstLine="482"/>
              <w:rPr>
                <w:rFonts w:hint="default"/>
                <w:b/>
                <w:color w:val="auto"/>
              </w:rPr>
            </w:pPr>
            <w:r>
              <w:rPr>
                <w:rFonts w:hint="eastAsia"/>
                <w:b/>
                <w:color w:val="auto"/>
                <w:lang w:val="en-US" w:eastAsia="zh-CN"/>
              </w:rPr>
              <w:t>5</w:t>
            </w:r>
            <w:r>
              <w:rPr>
                <w:rFonts w:hint="default"/>
                <w:b/>
                <w:color w:val="auto"/>
              </w:rPr>
              <w:t>、</w:t>
            </w:r>
            <w:r>
              <w:rPr>
                <w:rFonts w:hint="eastAsia"/>
                <w:b/>
                <w:color w:val="auto"/>
              </w:rPr>
              <w:t>原</w:t>
            </w:r>
            <w:r>
              <w:rPr>
                <w:rFonts w:hint="default"/>
                <w:b/>
                <w:color w:val="auto"/>
              </w:rPr>
              <w:t>项目污染物排放情况</w:t>
            </w:r>
          </w:p>
          <w:p w14:paraId="2CB716C0">
            <w:pPr>
              <w:pStyle w:val="87"/>
              <w:keepNext w:val="0"/>
              <w:keepLines w:val="0"/>
              <w:suppressLineNumbers w:val="0"/>
              <w:spacing w:before="0" w:beforeAutospacing="0" w:after="0" w:afterAutospacing="0"/>
              <w:ind w:left="0" w:right="0" w:firstLine="480"/>
              <w:rPr>
                <w:rFonts w:hint="default"/>
                <w:color w:val="auto"/>
                <w:szCs w:val="24"/>
              </w:rPr>
            </w:pPr>
            <w:r>
              <w:rPr>
                <w:rFonts w:hint="default"/>
                <w:color w:val="auto"/>
                <w:szCs w:val="24"/>
                <w:lang w:val="zh-CN"/>
              </w:rPr>
              <w:t>2020年</w:t>
            </w:r>
            <w:r>
              <w:rPr>
                <w:rFonts w:hint="eastAsia"/>
                <w:color w:val="auto"/>
                <w:szCs w:val="24"/>
                <w:lang w:val="en-US" w:eastAsia="zh-CN"/>
              </w:rPr>
              <w:t>7</w:t>
            </w:r>
            <w:r>
              <w:rPr>
                <w:rFonts w:hint="default"/>
                <w:color w:val="auto"/>
                <w:szCs w:val="24"/>
              </w:rPr>
              <w:t>月</w:t>
            </w:r>
            <w:r>
              <w:rPr>
                <w:rFonts w:hint="eastAsia"/>
                <w:color w:val="auto"/>
                <w:szCs w:val="24"/>
                <w:lang w:val="en-US" w:eastAsia="zh-CN"/>
              </w:rPr>
              <w:t>19</w:t>
            </w:r>
            <w:r>
              <w:rPr>
                <w:rFonts w:hint="default"/>
                <w:color w:val="auto"/>
                <w:szCs w:val="24"/>
              </w:rPr>
              <w:t>日，根据相关要求，</w:t>
            </w:r>
            <w:r>
              <w:rPr>
                <w:rFonts w:hint="default"/>
                <w:color w:val="auto"/>
              </w:rPr>
              <w:t>立邦涂料（昆明）有限公司</w:t>
            </w:r>
            <w:r>
              <w:rPr>
                <w:rFonts w:hint="default"/>
                <w:color w:val="auto"/>
                <w:szCs w:val="24"/>
              </w:rPr>
              <w:t>申请了排污许可证，《排污许可证》编号为：</w:t>
            </w:r>
            <w:r>
              <w:rPr>
                <w:rFonts w:hint="eastAsia"/>
                <w:color w:val="auto"/>
                <w:sz w:val="24"/>
                <w:lang w:val="en-US" w:eastAsia="zh-CN"/>
              </w:rPr>
              <w:t>915301000642951353001Q</w:t>
            </w:r>
            <w:r>
              <w:rPr>
                <w:rFonts w:hint="default"/>
                <w:color w:val="auto"/>
                <w:szCs w:val="24"/>
              </w:rPr>
              <w:t>。建设单位严格按照《排污许可证》自行监测要求定期委托</w:t>
            </w:r>
            <w:r>
              <w:rPr>
                <w:rFonts w:hint="eastAsia"/>
                <w:color w:val="auto"/>
                <w:szCs w:val="24"/>
                <w:lang w:eastAsia="zh-CN"/>
              </w:rPr>
              <w:t>云南环绿环境检测技术有限公司</w:t>
            </w:r>
            <w:r>
              <w:rPr>
                <w:rFonts w:hint="default"/>
                <w:color w:val="auto"/>
                <w:szCs w:val="24"/>
              </w:rPr>
              <w:t>进行监测，并定期在全国排污许可证管理信息平台填报年度执行报告。</w:t>
            </w:r>
          </w:p>
          <w:p w14:paraId="61AE875B">
            <w:pPr>
              <w:pStyle w:val="87"/>
              <w:keepNext w:val="0"/>
              <w:keepLines w:val="0"/>
              <w:suppressLineNumbers w:val="0"/>
              <w:spacing w:before="0" w:beforeAutospacing="0" w:after="0" w:afterAutospacing="0"/>
              <w:ind w:left="0" w:right="0" w:firstLine="480"/>
              <w:rPr>
                <w:rFonts w:hint="default"/>
                <w:color w:val="auto"/>
                <w:szCs w:val="24"/>
              </w:rPr>
            </w:pPr>
            <w:r>
              <w:rPr>
                <w:rFonts w:hint="eastAsia"/>
                <w:color w:val="auto"/>
                <w:szCs w:val="24"/>
                <w:lang w:eastAsia="zh-CN"/>
              </w:rPr>
              <w:t>根据现场</w:t>
            </w:r>
            <w:r>
              <w:rPr>
                <w:rFonts w:hint="default"/>
                <w:color w:val="auto"/>
                <w:szCs w:val="24"/>
              </w:rPr>
              <w:t>调查，企业生产正常，没有发现变化，本次环评</w:t>
            </w:r>
            <w:r>
              <w:rPr>
                <w:rFonts w:hint="eastAsia"/>
                <w:color w:val="auto"/>
                <w:szCs w:val="24"/>
                <w:lang w:eastAsia="zh-CN"/>
              </w:rPr>
              <w:t>原</w:t>
            </w:r>
            <w:r>
              <w:rPr>
                <w:rFonts w:hint="default"/>
                <w:color w:val="auto"/>
                <w:szCs w:val="24"/>
              </w:rPr>
              <w:t>项目污染物的核算引用</w:t>
            </w:r>
            <w:r>
              <w:rPr>
                <w:rFonts w:hint="eastAsia"/>
                <w:color w:val="auto"/>
                <w:szCs w:val="24"/>
                <w:lang w:eastAsia="zh-CN"/>
              </w:rPr>
              <w:t>云南环绿环境检测技术有限公司</w:t>
            </w:r>
            <w:r>
              <w:rPr>
                <w:rFonts w:hint="default"/>
                <w:color w:val="auto"/>
                <w:szCs w:val="24"/>
              </w:rPr>
              <w:t>20</w:t>
            </w:r>
            <w:r>
              <w:rPr>
                <w:rFonts w:hint="eastAsia"/>
                <w:color w:val="auto"/>
                <w:szCs w:val="24"/>
                <w:lang w:val="en-US" w:eastAsia="zh-CN"/>
              </w:rPr>
              <w:t>23</w:t>
            </w:r>
            <w:r>
              <w:rPr>
                <w:rFonts w:hint="default"/>
                <w:color w:val="auto"/>
                <w:szCs w:val="24"/>
              </w:rPr>
              <w:t>年</w:t>
            </w:r>
            <w:r>
              <w:rPr>
                <w:rFonts w:hint="eastAsia"/>
                <w:color w:val="auto"/>
                <w:szCs w:val="24"/>
                <w:lang w:val="en-US" w:eastAsia="zh-CN"/>
              </w:rPr>
              <w:t>01</w:t>
            </w:r>
            <w:r>
              <w:rPr>
                <w:rFonts w:hint="default"/>
                <w:color w:val="auto"/>
                <w:szCs w:val="24"/>
              </w:rPr>
              <w:t>月</w:t>
            </w:r>
            <w:r>
              <w:rPr>
                <w:rFonts w:hint="eastAsia"/>
                <w:color w:val="auto"/>
                <w:szCs w:val="24"/>
                <w:lang w:val="en-US" w:eastAsia="zh-CN"/>
              </w:rPr>
              <w:t>04</w:t>
            </w:r>
            <w:r>
              <w:rPr>
                <w:rFonts w:hint="default"/>
                <w:color w:val="auto"/>
                <w:szCs w:val="24"/>
              </w:rPr>
              <w:t>日出具的《</w:t>
            </w:r>
            <w:r>
              <w:rPr>
                <w:rFonts w:hint="eastAsia"/>
                <w:color w:val="auto"/>
                <w:szCs w:val="24"/>
                <w:lang w:eastAsia="zh-CN"/>
              </w:rPr>
              <w:t>立邦涂料（昆明）有限公司</w:t>
            </w:r>
            <w:r>
              <w:rPr>
                <w:rFonts w:hint="eastAsia"/>
                <w:color w:val="auto"/>
                <w:szCs w:val="24"/>
                <w:lang w:val="en-US" w:eastAsia="zh-CN"/>
              </w:rPr>
              <w:t>2022年第四季度</w:t>
            </w:r>
            <w:r>
              <w:rPr>
                <w:rFonts w:hint="eastAsia"/>
                <w:color w:val="auto"/>
                <w:szCs w:val="24"/>
                <w:lang w:eastAsia="zh-CN"/>
              </w:rPr>
              <w:t>自行</w:t>
            </w:r>
            <w:r>
              <w:rPr>
                <w:rFonts w:hint="default"/>
                <w:color w:val="auto"/>
                <w:szCs w:val="24"/>
              </w:rPr>
              <w:t>检测报告》（H</w:t>
            </w:r>
            <w:r>
              <w:rPr>
                <w:rFonts w:hint="eastAsia"/>
                <w:color w:val="auto"/>
                <w:szCs w:val="24"/>
                <w:lang w:val="en-US" w:eastAsia="zh-CN"/>
              </w:rPr>
              <w:t>L</w:t>
            </w:r>
            <w:r>
              <w:rPr>
                <w:rFonts w:hint="default"/>
                <w:color w:val="auto"/>
                <w:szCs w:val="24"/>
              </w:rPr>
              <w:t>202</w:t>
            </w:r>
            <w:r>
              <w:rPr>
                <w:rFonts w:hint="eastAsia"/>
                <w:color w:val="auto"/>
                <w:szCs w:val="24"/>
                <w:lang w:val="en-US" w:eastAsia="zh-CN"/>
              </w:rPr>
              <w:t>21216005</w:t>
            </w:r>
            <w:r>
              <w:rPr>
                <w:rFonts w:hint="default"/>
                <w:color w:val="auto"/>
                <w:szCs w:val="24"/>
              </w:rPr>
              <w:t>）</w:t>
            </w:r>
            <w:r>
              <w:rPr>
                <w:rFonts w:hint="eastAsia"/>
                <w:color w:val="auto"/>
                <w:szCs w:val="24"/>
                <w:lang w:val="en-US" w:eastAsia="zh-CN"/>
              </w:rPr>
              <w:t>及原项目验收监测期间的实测数据</w:t>
            </w:r>
            <w:r>
              <w:rPr>
                <w:rFonts w:hint="default"/>
                <w:color w:val="auto"/>
                <w:szCs w:val="24"/>
              </w:rPr>
              <w:t>。</w:t>
            </w:r>
          </w:p>
          <w:p w14:paraId="5A2C9C4D">
            <w:pPr>
              <w:pStyle w:val="88"/>
              <w:keepNext w:val="0"/>
              <w:keepLines w:val="0"/>
              <w:suppressLineNumbers w:val="0"/>
              <w:spacing w:before="0" w:beforeAutospacing="0" w:after="0" w:afterAutospacing="0"/>
              <w:ind w:left="0" w:right="0" w:firstLine="482"/>
              <w:rPr>
                <w:rFonts w:hint="default"/>
                <w:b/>
                <w:color w:val="auto"/>
              </w:rPr>
            </w:pPr>
            <w:r>
              <w:rPr>
                <w:rFonts w:hint="default"/>
                <w:b/>
                <w:color w:val="auto"/>
              </w:rPr>
              <w:t>（1）废水</w:t>
            </w:r>
          </w:p>
          <w:p w14:paraId="09C98FA4">
            <w:pPr>
              <w:pStyle w:val="88"/>
              <w:keepNext w:val="0"/>
              <w:keepLines w:val="0"/>
              <w:suppressLineNumbers w:val="0"/>
              <w:spacing w:before="0" w:beforeAutospacing="0" w:after="0" w:afterAutospacing="0"/>
              <w:ind w:left="0" w:right="0" w:firstLine="482"/>
              <w:rPr>
                <w:rFonts w:hint="default"/>
                <w:b/>
                <w:color w:val="auto"/>
              </w:rPr>
            </w:pPr>
            <w:r>
              <w:rPr>
                <w:rFonts w:hint="default"/>
                <w:b/>
                <w:color w:val="auto"/>
              </w:rPr>
              <w:t>1）废水的产排情况</w:t>
            </w:r>
          </w:p>
          <w:p w14:paraId="2DC50857">
            <w:pPr>
              <w:pStyle w:val="12"/>
              <w:keepNext w:val="0"/>
              <w:keepLines w:val="0"/>
              <w:suppressLineNumbers w:val="0"/>
              <w:spacing w:before="0" w:beforeAutospacing="0" w:after="0" w:afterAutospacing="0" w:line="360" w:lineRule="auto"/>
              <w:ind w:left="0" w:firstLine="480" w:firstLineChars="200"/>
              <w:rPr>
                <w:rFonts w:hint="default"/>
                <w:color w:val="auto"/>
                <w:sz w:val="24"/>
                <w:szCs w:val="24"/>
              </w:rPr>
            </w:pPr>
            <w:r>
              <w:rPr>
                <w:rFonts w:hint="eastAsia"/>
                <w:color w:val="auto"/>
                <w:kern w:val="2"/>
                <w:sz w:val="24"/>
                <w:szCs w:val="24"/>
                <w:lang w:eastAsia="zh-CN"/>
              </w:rPr>
              <w:t>根据</w:t>
            </w:r>
            <w:r>
              <w:rPr>
                <w:rFonts w:hint="default"/>
                <w:color w:val="auto"/>
                <w:kern w:val="2"/>
                <w:sz w:val="24"/>
                <w:szCs w:val="24"/>
              </w:rPr>
              <w:t>现场进行调查，企业生产正常，没有发现变化，本次环评项目废水污染物产排情况引用</w:t>
            </w:r>
            <w:r>
              <w:rPr>
                <w:rFonts w:hint="default"/>
                <w:color w:val="auto"/>
                <w:sz w:val="24"/>
                <w:szCs w:val="24"/>
              </w:rPr>
              <w:t>原环评及验收中的资料。</w:t>
            </w:r>
          </w:p>
          <w:p w14:paraId="5816AD2E">
            <w:pPr>
              <w:pStyle w:val="12"/>
              <w:keepNext w:val="0"/>
              <w:keepLines w:val="0"/>
              <w:suppressLineNumbers w:val="0"/>
              <w:spacing w:before="0" w:beforeAutospacing="0" w:after="0" w:afterAutospacing="0" w:line="240" w:lineRule="auto"/>
              <w:ind w:left="0" w:firstLine="480" w:firstLineChars="200"/>
              <w:jc w:val="left"/>
              <w:rPr>
                <w:rFonts w:hint="eastAsia"/>
                <w:color w:val="auto"/>
                <w:sz w:val="24"/>
                <w:szCs w:val="21"/>
                <w:lang w:val="en-US" w:eastAsia="zh-CN"/>
              </w:rPr>
            </w:pPr>
            <w:r>
              <w:rPr>
                <w:rFonts w:hint="default"/>
                <w:color w:val="auto"/>
                <w:sz w:val="24"/>
                <w:szCs w:val="21"/>
              </w:rPr>
              <w:t>全厂水量平衡见图2-</w:t>
            </w:r>
            <w:r>
              <w:rPr>
                <w:rFonts w:hint="eastAsia"/>
                <w:color w:val="auto"/>
                <w:sz w:val="24"/>
                <w:szCs w:val="21"/>
                <w:lang w:val="en-US" w:eastAsia="zh-CN"/>
              </w:rPr>
              <w:t>7。</w:t>
            </w:r>
          </w:p>
          <w:p w14:paraId="74F81337">
            <w:pPr>
              <w:pStyle w:val="12"/>
              <w:keepNext w:val="0"/>
              <w:keepLines w:val="0"/>
              <w:suppressLineNumbers w:val="0"/>
              <w:spacing w:before="0" w:beforeAutospacing="0" w:after="0" w:afterAutospacing="0" w:line="240" w:lineRule="auto"/>
              <w:ind w:left="0"/>
              <w:jc w:val="left"/>
              <w:rPr>
                <w:rFonts w:hint="eastAsia" w:eastAsia="宋体"/>
                <w:color w:val="auto"/>
                <w:sz w:val="24"/>
                <w:szCs w:val="21"/>
                <w:lang w:eastAsia="zh-CN"/>
              </w:rPr>
            </w:pPr>
            <w:r>
              <w:rPr>
                <w:rFonts w:hint="eastAsia" w:eastAsia="宋体"/>
                <w:color w:val="auto"/>
                <w:sz w:val="24"/>
                <w:szCs w:val="21"/>
                <w:lang w:eastAsia="zh-CN"/>
              </w:rPr>
              <w:drawing>
                <wp:inline distT="0" distB="0" distL="114300" distR="114300">
                  <wp:extent cx="5199380" cy="3695065"/>
                  <wp:effectExtent l="0" t="0" r="7620" b="635"/>
                  <wp:docPr id="34" name="图片 3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1"/>
                          <pic:cNvPicPr>
                            <a:picLocks noChangeAspect="1"/>
                          </pic:cNvPicPr>
                        </pic:nvPicPr>
                        <pic:blipFill>
                          <a:blip r:embed="rId32"/>
                          <a:stretch>
                            <a:fillRect/>
                          </a:stretch>
                        </pic:blipFill>
                        <pic:spPr>
                          <a:xfrm>
                            <a:off x="0" y="0"/>
                            <a:ext cx="5199380" cy="3695065"/>
                          </a:xfrm>
                          <a:prstGeom prst="rect">
                            <a:avLst/>
                          </a:prstGeom>
                        </pic:spPr>
                      </pic:pic>
                    </a:graphicData>
                  </a:graphic>
                </wp:inline>
              </w:drawing>
            </w:r>
          </w:p>
          <w:p w14:paraId="332C53D2">
            <w:pPr>
              <w:keepNext w:val="0"/>
              <w:keepLines w:val="0"/>
              <w:suppressLineNumbers w:val="0"/>
              <w:snapToGrid w:val="0"/>
              <w:spacing w:before="0" w:beforeAutospacing="0" w:after="0" w:afterAutospacing="0" w:line="360" w:lineRule="auto"/>
              <w:ind w:left="0" w:right="0"/>
              <w:jc w:val="center"/>
              <w:rPr>
                <w:rFonts w:hint="default"/>
                <w:b/>
                <w:color w:val="auto"/>
              </w:rPr>
            </w:pPr>
            <w:r>
              <w:rPr>
                <w:rFonts w:hint="default"/>
                <w:b/>
                <w:color w:val="auto"/>
              </w:rPr>
              <w:t>图2-</w:t>
            </w:r>
            <w:r>
              <w:rPr>
                <w:rFonts w:hint="eastAsia"/>
                <w:b/>
                <w:color w:val="auto"/>
                <w:lang w:val="en-US" w:eastAsia="zh-CN"/>
              </w:rPr>
              <w:t>7</w:t>
            </w:r>
            <w:r>
              <w:rPr>
                <w:rFonts w:hint="default"/>
                <w:b/>
                <w:color w:val="auto"/>
              </w:rPr>
              <w:t xml:space="preserve"> </w:t>
            </w:r>
            <w:r>
              <w:rPr>
                <w:rFonts w:hint="eastAsia"/>
                <w:b/>
                <w:color w:val="auto"/>
                <w:lang w:eastAsia="zh-CN"/>
              </w:rPr>
              <w:t>原项目</w:t>
            </w:r>
            <w:r>
              <w:rPr>
                <w:rFonts w:hint="default"/>
                <w:b/>
                <w:color w:val="auto"/>
              </w:rPr>
              <w:t>全厂水量的平衡图（m</w:t>
            </w:r>
            <w:r>
              <w:rPr>
                <w:rFonts w:hint="default"/>
                <w:b/>
                <w:color w:val="auto"/>
                <w:vertAlign w:val="superscript"/>
              </w:rPr>
              <w:t>3</w:t>
            </w:r>
            <w:r>
              <w:rPr>
                <w:rFonts w:hint="default"/>
                <w:b/>
                <w:color w:val="auto"/>
              </w:rPr>
              <w:t>/</w:t>
            </w:r>
            <w:r>
              <w:rPr>
                <w:rFonts w:hint="eastAsia"/>
                <w:b/>
                <w:color w:val="auto"/>
                <w:lang w:val="en-US" w:eastAsia="zh-CN"/>
              </w:rPr>
              <w:t>d</w:t>
            </w:r>
            <w:r>
              <w:rPr>
                <w:rFonts w:hint="default"/>
                <w:b/>
                <w:color w:val="auto"/>
              </w:rPr>
              <w:t>）</w:t>
            </w:r>
          </w:p>
          <w:p w14:paraId="746AE92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color w:val="auto"/>
                <w:sz w:val="24"/>
                <w:szCs w:val="21"/>
              </w:rPr>
            </w:pPr>
            <w:r>
              <w:rPr>
                <w:rFonts w:hint="default"/>
                <w:color w:val="auto"/>
                <w:sz w:val="24"/>
                <w:szCs w:val="21"/>
              </w:rPr>
              <w:t>由水量平衡图可见，全厂废水产生量</w:t>
            </w:r>
            <w:r>
              <w:rPr>
                <w:rFonts w:hint="eastAsia"/>
                <w:color w:val="auto"/>
                <w:sz w:val="24"/>
                <w:szCs w:val="21"/>
                <w:lang w:val="en-US" w:eastAsia="zh-CN"/>
              </w:rPr>
              <w:t>21.5</w:t>
            </w:r>
            <w:r>
              <w:rPr>
                <w:rFonts w:hint="default"/>
                <w:color w:val="auto"/>
                <w:sz w:val="24"/>
                <w:szCs w:val="21"/>
              </w:rPr>
              <w:t>m</w:t>
            </w:r>
            <w:r>
              <w:rPr>
                <w:rFonts w:hint="default"/>
                <w:color w:val="auto"/>
                <w:sz w:val="24"/>
                <w:szCs w:val="21"/>
                <w:vertAlign w:val="superscript"/>
              </w:rPr>
              <w:t>3</w:t>
            </w:r>
            <w:r>
              <w:rPr>
                <w:rFonts w:hint="default"/>
                <w:color w:val="auto"/>
                <w:sz w:val="24"/>
                <w:szCs w:val="21"/>
              </w:rPr>
              <w:t>/d。</w:t>
            </w:r>
            <w:r>
              <w:rPr>
                <w:rFonts w:hint="eastAsia"/>
                <w:color w:val="auto"/>
                <w:sz w:val="24"/>
                <w:szCs w:val="21"/>
                <w:lang w:eastAsia="zh-CN"/>
              </w:rPr>
              <w:t>生产废气及办公生活污水最终经自建污水处理系统处理后，进入园区污水管网，最终进入富民工业园区哨箐机械加工园污水处理厂</w:t>
            </w:r>
            <w:r>
              <w:rPr>
                <w:rFonts w:hint="default"/>
                <w:color w:val="auto"/>
                <w:sz w:val="24"/>
              </w:rPr>
              <w:t>。</w:t>
            </w:r>
          </w:p>
          <w:p w14:paraId="55736D42">
            <w:pPr>
              <w:pStyle w:val="88"/>
              <w:keepNext w:val="0"/>
              <w:keepLines w:val="0"/>
              <w:suppressLineNumbers w:val="0"/>
              <w:spacing w:before="0" w:beforeAutospacing="0" w:after="0" w:afterAutospacing="0"/>
              <w:ind w:left="0" w:right="0" w:firstLine="482"/>
              <w:rPr>
                <w:rFonts w:hint="default"/>
                <w:b/>
                <w:color w:val="auto"/>
              </w:rPr>
            </w:pPr>
            <w:r>
              <w:rPr>
                <w:rFonts w:hint="default"/>
                <w:b/>
                <w:color w:val="auto"/>
              </w:rPr>
              <w:t>3）</w:t>
            </w:r>
            <w:r>
              <w:rPr>
                <w:rFonts w:hint="eastAsia"/>
                <w:b/>
                <w:color w:val="auto"/>
                <w:lang w:eastAsia="zh-CN"/>
              </w:rPr>
              <w:t>自建污水处理系统</w:t>
            </w:r>
            <w:r>
              <w:rPr>
                <w:rFonts w:hint="default"/>
                <w:b/>
                <w:color w:val="auto"/>
              </w:rPr>
              <w:t>处理效果分析</w:t>
            </w:r>
          </w:p>
          <w:p w14:paraId="4E694767">
            <w:pPr>
              <w:keepNext w:val="0"/>
              <w:keepLines w:val="0"/>
              <w:suppressLineNumbers w:val="0"/>
              <w:spacing w:before="0" w:beforeAutospacing="0" w:after="0" w:afterAutospacing="0" w:line="360" w:lineRule="auto"/>
              <w:ind w:left="0" w:right="0"/>
              <w:jc w:val="both"/>
              <w:rPr>
                <w:rFonts w:hint="eastAsia" w:eastAsia="宋体"/>
                <w:color w:val="auto"/>
                <w:sz w:val="24"/>
                <w:szCs w:val="24"/>
                <w:lang w:eastAsia="zh-CN"/>
              </w:rPr>
            </w:pPr>
            <w:r>
              <w:rPr>
                <w:rFonts w:hint="eastAsia"/>
                <w:color w:val="auto"/>
                <w:sz w:val="24"/>
                <w:szCs w:val="24"/>
                <w:lang w:val="en-US" w:eastAsia="zh-CN"/>
              </w:rPr>
              <w:t xml:space="preserve">  </w:t>
            </w:r>
            <w:r>
              <w:rPr>
                <w:rFonts w:hint="eastAsia"/>
                <w:color w:val="auto"/>
                <w:sz w:val="24"/>
                <w:szCs w:val="24"/>
                <w:lang w:eastAsia="zh-CN"/>
              </w:rPr>
              <w:t>厂区自建</w:t>
            </w:r>
            <w:r>
              <w:rPr>
                <w:rFonts w:hint="eastAsia"/>
                <w:color w:val="auto"/>
                <w:sz w:val="24"/>
                <w:szCs w:val="24"/>
                <w:lang w:val="en-US" w:eastAsia="zh-CN"/>
              </w:rPr>
              <w:t>1个处理规模为50</w:t>
            </w:r>
            <w:r>
              <w:rPr>
                <w:rFonts w:hint="default"/>
                <w:color w:val="auto"/>
                <w:sz w:val="24"/>
                <w:szCs w:val="21"/>
              </w:rPr>
              <w:t>m</w:t>
            </w:r>
            <w:r>
              <w:rPr>
                <w:rFonts w:hint="default"/>
                <w:color w:val="auto"/>
                <w:sz w:val="24"/>
                <w:szCs w:val="21"/>
                <w:vertAlign w:val="superscript"/>
              </w:rPr>
              <w:t>3</w:t>
            </w:r>
            <w:r>
              <w:rPr>
                <w:rFonts w:hint="default"/>
                <w:color w:val="auto"/>
                <w:sz w:val="24"/>
                <w:szCs w:val="21"/>
              </w:rPr>
              <w:t>/d</w:t>
            </w:r>
            <w:r>
              <w:rPr>
                <w:rFonts w:hint="eastAsia"/>
                <w:color w:val="auto"/>
                <w:sz w:val="24"/>
                <w:szCs w:val="21"/>
                <w:lang w:eastAsia="zh-CN"/>
              </w:rPr>
              <w:t>，处理</w:t>
            </w:r>
            <w:r>
              <w:rPr>
                <w:rFonts w:hint="eastAsia"/>
                <w:color w:val="auto"/>
                <w:sz w:val="24"/>
                <w:szCs w:val="24"/>
                <w:lang w:val="en-US" w:eastAsia="zh-CN"/>
              </w:rPr>
              <w:t>工艺为“</w:t>
            </w:r>
            <w:r>
              <w:rPr>
                <w:rFonts w:hint="default"/>
                <w:color w:val="auto"/>
                <w:sz w:val="24"/>
                <w:szCs w:val="24"/>
              </w:rPr>
              <w:t>混凝沉淀+UASB 反应+MBR 膜池</w:t>
            </w:r>
            <w:r>
              <w:rPr>
                <w:rFonts w:hint="eastAsia"/>
                <w:color w:val="auto"/>
                <w:sz w:val="24"/>
                <w:szCs w:val="24"/>
                <w:lang w:val="en-US" w:eastAsia="zh-CN"/>
              </w:rPr>
              <w:t>”</w:t>
            </w:r>
            <w:r>
              <w:rPr>
                <w:rFonts w:hint="default"/>
                <w:color w:val="auto"/>
                <w:sz w:val="24"/>
                <w:szCs w:val="24"/>
              </w:rPr>
              <w:t>的三级处理工艺</w:t>
            </w:r>
            <w:r>
              <w:rPr>
                <w:rFonts w:hint="eastAsia"/>
                <w:color w:val="auto"/>
                <w:sz w:val="24"/>
                <w:szCs w:val="24"/>
                <w:lang w:eastAsia="zh-CN"/>
              </w:rPr>
              <w:t>，具体的处理工艺见下图。</w:t>
            </w:r>
          </w:p>
          <w:p w14:paraId="330FB895">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textAlignment w:val="auto"/>
              <w:rPr>
                <w:rFonts w:hint="eastAsia" w:ascii="Times New Roman" w:hAnsi="Times New Roman" w:eastAsia="宋体" w:cs="Times New Roman"/>
                <w:b/>
                <w:bCs/>
                <w:color w:val="auto"/>
                <w:szCs w:val="20"/>
                <w:lang w:eastAsia="zh-CN"/>
              </w:rPr>
            </w:pPr>
            <w:r>
              <w:rPr>
                <w:rFonts w:hint="eastAsia" w:ascii="Times New Roman" w:hAnsi="Times New Roman" w:eastAsia="宋体" w:cs="Times New Roman"/>
                <w:b/>
                <w:bCs/>
                <w:color w:val="auto"/>
                <w:szCs w:val="20"/>
                <w:lang w:eastAsia="zh-CN"/>
              </w:rPr>
              <w:drawing>
                <wp:inline distT="0" distB="0" distL="114300" distR="114300">
                  <wp:extent cx="3865245" cy="2936875"/>
                  <wp:effectExtent l="0" t="0" r="5715" b="4445"/>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33"/>
                          <a:stretch>
                            <a:fillRect/>
                          </a:stretch>
                        </pic:blipFill>
                        <pic:spPr>
                          <a:xfrm>
                            <a:off x="0" y="0"/>
                            <a:ext cx="3865245" cy="2936875"/>
                          </a:xfrm>
                          <a:prstGeom prst="rect">
                            <a:avLst/>
                          </a:prstGeom>
                        </pic:spPr>
                      </pic:pic>
                    </a:graphicData>
                  </a:graphic>
                </wp:inline>
              </w:drawing>
            </w:r>
          </w:p>
          <w:p w14:paraId="766CFC22">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422"/>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图2-</w:t>
            </w:r>
            <w:r>
              <w:rPr>
                <w:rFonts w:hint="eastAsia" w:ascii="Times New Roman" w:hAnsi="Times New Roman" w:cs="Times New Roman"/>
                <w:b/>
                <w:bCs/>
                <w:color w:val="auto"/>
                <w:sz w:val="21"/>
                <w:szCs w:val="21"/>
                <w:lang w:val="en-US" w:eastAsia="zh-CN"/>
              </w:rPr>
              <w:t>8</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eastAsia="zh-CN"/>
              </w:rPr>
              <w:t>污水处理系统处理</w:t>
            </w:r>
            <w:r>
              <w:rPr>
                <w:rFonts w:hint="default" w:ascii="Times New Roman" w:hAnsi="Times New Roman" w:eastAsia="宋体" w:cs="Times New Roman"/>
                <w:b/>
                <w:bCs/>
                <w:color w:val="auto"/>
                <w:sz w:val="21"/>
                <w:szCs w:val="21"/>
              </w:rPr>
              <w:t>工艺流程</w:t>
            </w:r>
          </w:p>
          <w:p w14:paraId="33EF84FE">
            <w:pPr>
              <w:pStyle w:val="87"/>
              <w:keepNext w:val="0"/>
              <w:keepLines w:val="0"/>
              <w:suppressLineNumbers w:val="0"/>
              <w:spacing w:before="0" w:beforeAutospacing="0" w:after="0" w:afterAutospacing="0"/>
              <w:ind w:left="0" w:right="0" w:firstLine="480"/>
              <w:rPr>
                <w:rFonts w:hint="default"/>
                <w:color w:val="auto"/>
              </w:rPr>
            </w:pPr>
            <w:r>
              <w:rPr>
                <w:rFonts w:hint="eastAsia"/>
                <w:color w:val="auto"/>
                <w:szCs w:val="24"/>
                <w:lang w:eastAsia="zh-CN"/>
              </w:rPr>
              <w:t>根据原项目</w:t>
            </w:r>
            <w:r>
              <w:rPr>
                <w:rFonts w:hint="eastAsia"/>
                <w:color w:val="auto"/>
                <w:szCs w:val="24"/>
                <w:lang w:val="en-US" w:eastAsia="zh-CN"/>
              </w:rPr>
              <w:t>验收检测数据</w:t>
            </w:r>
            <w:r>
              <w:rPr>
                <w:rFonts w:hint="eastAsia"/>
                <w:color w:val="auto"/>
                <w:szCs w:val="24"/>
                <w:lang w:eastAsia="zh-CN"/>
              </w:rPr>
              <w:t>，</w:t>
            </w:r>
            <w:r>
              <w:rPr>
                <w:rFonts w:hint="eastAsia"/>
                <w:color w:val="auto"/>
                <w:lang w:eastAsia="zh-CN"/>
              </w:rPr>
              <w:t>污水</w:t>
            </w:r>
            <w:r>
              <w:rPr>
                <w:rFonts w:hint="default"/>
                <w:color w:val="auto"/>
              </w:rPr>
              <w:t>处理</w:t>
            </w:r>
            <w:r>
              <w:rPr>
                <w:rFonts w:hint="eastAsia"/>
                <w:color w:val="auto"/>
                <w:lang w:eastAsia="zh-CN"/>
              </w:rPr>
              <w:t>系统的</w:t>
            </w:r>
            <w:r>
              <w:rPr>
                <w:rFonts w:hint="eastAsia"/>
                <w:color w:val="auto"/>
                <w:lang w:val="en-US" w:eastAsia="zh-CN"/>
              </w:rPr>
              <w:t>进出</w:t>
            </w:r>
            <w:r>
              <w:rPr>
                <w:rFonts w:hint="default"/>
                <w:color w:val="auto"/>
              </w:rPr>
              <w:t>水水质情况</w:t>
            </w:r>
            <w:r>
              <w:rPr>
                <w:rFonts w:hint="eastAsia"/>
                <w:color w:val="auto"/>
                <w:lang w:val="en-US" w:eastAsia="zh-CN"/>
              </w:rPr>
              <w:t>见</w:t>
            </w:r>
            <w:r>
              <w:rPr>
                <w:rFonts w:hint="eastAsia"/>
                <w:color w:val="auto"/>
                <w:lang w:eastAsia="zh-CN"/>
              </w:rPr>
              <w:t>下</w:t>
            </w:r>
            <w:r>
              <w:rPr>
                <w:rFonts w:hint="default"/>
                <w:color w:val="auto"/>
              </w:rPr>
              <w:t>表。</w:t>
            </w:r>
          </w:p>
          <w:p w14:paraId="46AD0E12">
            <w:pPr>
              <w:keepNext w:val="0"/>
              <w:keepLines w:val="0"/>
              <w:suppressLineNumbers w:val="0"/>
              <w:spacing w:before="0" w:beforeAutospacing="0" w:after="0" w:afterAutospacing="0"/>
              <w:ind w:left="0" w:right="0" w:firstLine="211" w:firstLineChars="100"/>
              <w:jc w:val="center"/>
              <w:rPr>
                <w:rFonts w:hint="default"/>
                <w:color w:val="auto"/>
                <w:szCs w:val="21"/>
              </w:rPr>
            </w:pPr>
            <w:r>
              <w:rPr>
                <w:rFonts w:hint="default"/>
                <w:b/>
                <w:color w:val="auto"/>
                <w:szCs w:val="21"/>
              </w:rPr>
              <w:t>表2-</w:t>
            </w:r>
            <w:r>
              <w:rPr>
                <w:rFonts w:hint="eastAsia"/>
                <w:b/>
                <w:color w:val="auto"/>
                <w:szCs w:val="21"/>
                <w:lang w:val="en-US" w:eastAsia="zh-CN"/>
              </w:rPr>
              <w:t>22</w:t>
            </w:r>
            <w:r>
              <w:rPr>
                <w:rFonts w:hint="default"/>
                <w:b/>
                <w:color w:val="auto"/>
                <w:szCs w:val="21"/>
              </w:rPr>
              <w:t xml:space="preserve">    </w:t>
            </w:r>
            <w:r>
              <w:rPr>
                <w:rFonts w:hint="eastAsia"/>
                <w:b/>
                <w:color w:val="auto"/>
                <w:szCs w:val="21"/>
                <w:lang w:eastAsia="zh-CN"/>
              </w:rPr>
              <w:t>污水处理系统</w:t>
            </w:r>
            <w:r>
              <w:rPr>
                <w:rFonts w:hint="default"/>
                <w:b/>
                <w:color w:val="auto"/>
                <w:szCs w:val="21"/>
              </w:rPr>
              <w:t>出口水质    浓度（pH无量纲，其余mg/L）</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72"/>
              <w:gridCol w:w="602"/>
              <w:gridCol w:w="608"/>
              <w:gridCol w:w="863"/>
              <w:gridCol w:w="694"/>
              <w:gridCol w:w="814"/>
              <w:gridCol w:w="772"/>
              <w:gridCol w:w="793"/>
              <w:gridCol w:w="803"/>
              <w:gridCol w:w="581"/>
              <w:gridCol w:w="573"/>
            </w:tblGrid>
            <w:tr w14:paraId="26FA8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6AE43C8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监测点</w:t>
                  </w:r>
                </w:p>
              </w:tc>
              <w:tc>
                <w:tcPr>
                  <w:tcW w:w="722" w:type="pct"/>
                  <w:gridSpan w:val="2"/>
                  <w:vAlign w:val="center"/>
                </w:tcPr>
                <w:p w14:paraId="4B960DB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污水处理设施进口</w:t>
                  </w:r>
                </w:p>
              </w:tc>
              <w:tc>
                <w:tcPr>
                  <w:tcW w:w="2828" w:type="pct"/>
                  <w:gridSpan w:val="6"/>
                  <w:vAlign w:val="center"/>
                </w:tcPr>
                <w:p w14:paraId="6F03D5C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污水处理设施出口</w:t>
                  </w:r>
                </w:p>
              </w:tc>
              <w:tc>
                <w:tcPr>
                  <w:tcW w:w="347" w:type="pct"/>
                  <w:vMerge w:val="restart"/>
                  <w:vAlign w:val="center"/>
                </w:tcPr>
                <w:p w14:paraId="4354371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进口平均值</w:t>
                  </w:r>
                </w:p>
              </w:tc>
              <w:tc>
                <w:tcPr>
                  <w:tcW w:w="342" w:type="pct"/>
                  <w:vMerge w:val="restart"/>
                  <w:vAlign w:val="center"/>
                </w:tcPr>
                <w:p w14:paraId="4F766A1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出口平均值</w:t>
                  </w:r>
                </w:p>
              </w:tc>
            </w:tr>
            <w:tr w14:paraId="6E3AB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Merge w:val="restart"/>
                  <w:vAlign w:val="center"/>
                </w:tcPr>
                <w:p w14:paraId="5463179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时间</w:t>
                  </w:r>
                </w:p>
                <w:p w14:paraId="038E811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指标</w:t>
                  </w:r>
                </w:p>
              </w:tc>
              <w:tc>
                <w:tcPr>
                  <w:tcW w:w="359" w:type="pct"/>
                  <w:vMerge w:val="restart"/>
                  <w:vAlign w:val="center"/>
                </w:tcPr>
                <w:p w14:paraId="51772BE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09:20</w:t>
                  </w:r>
                </w:p>
              </w:tc>
              <w:tc>
                <w:tcPr>
                  <w:tcW w:w="362" w:type="pct"/>
                  <w:vMerge w:val="restart"/>
                  <w:vAlign w:val="center"/>
                </w:tcPr>
                <w:p w14:paraId="21C40EE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09:05</w:t>
                  </w:r>
                </w:p>
              </w:tc>
              <w:tc>
                <w:tcPr>
                  <w:tcW w:w="1415" w:type="pct"/>
                  <w:gridSpan w:val="3"/>
                  <w:vAlign w:val="center"/>
                </w:tcPr>
                <w:p w14:paraId="4110F18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2019.05.08</w:t>
                  </w:r>
                </w:p>
              </w:tc>
              <w:tc>
                <w:tcPr>
                  <w:tcW w:w="1412" w:type="pct"/>
                  <w:gridSpan w:val="3"/>
                  <w:vAlign w:val="center"/>
                </w:tcPr>
                <w:p w14:paraId="5B3897B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2019.05.09</w:t>
                  </w:r>
                </w:p>
              </w:tc>
              <w:tc>
                <w:tcPr>
                  <w:tcW w:w="347" w:type="pct"/>
                  <w:vMerge w:val="continue"/>
                  <w:tcBorders>
                    <w:top w:val="nil"/>
                  </w:tcBorders>
                  <w:vAlign w:val="center"/>
                </w:tcPr>
                <w:p w14:paraId="35B71AC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
                      <w:szCs w:val="2"/>
                    </w:rPr>
                  </w:pPr>
                </w:p>
              </w:tc>
              <w:tc>
                <w:tcPr>
                  <w:tcW w:w="342" w:type="pct"/>
                  <w:vMerge w:val="continue"/>
                  <w:tcBorders>
                    <w:top w:val="nil"/>
                  </w:tcBorders>
                  <w:vAlign w:val="center"/>
                </w:tcPr>
                <w:p w14:paraId="3C454DC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
                      <w:szCs w:val="2"/>
                    </w:rPr>
                  </w:pPr>
                </w:p>
              </w:tc>
            </w:tr>
            <w:tr w14:paraId="52F1B0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Merge w:val="continue"/>
                  <w:tcBorders>
                    <w:top w:val="nil"/>
                  </w:tcBorders>
                  <w:vAlign w:val="center"/>
                </w:tcPr>
                <w:p w14:paraId="21D7689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
                      <w:szCs w:val="2"/>
                    </w:rPr>
                  </w:pPr>
                </w:p>
              </w:tc>
              <w:tc>
                <w:tcPr>
                  <w:tcW w:w="359" w:type="pct"/>
                  <w:vMerge w:val="continue"/>
                  <w:tcBorders>
                    <w:top w:val="nil"/>
                  </w:tcBorders>
                  <w:vAlign w:val="center"/>
                </w:tcPr>
                <w:p w14:paraId="0609FD8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rPr>
                  </w:pPr>
                </w:p>
              </w:tc>
              <w:tc>
                <w:tcPr>
                  <w:tcW w:w="362" w:type="pct"/>
                  <w:vMerge w:val="continue"/>
                  <w:tcBorders>
                    <w:top w:val="nil"/>
                  </w:tcBorders>
                  <w:vAlign w:val="center"/>
                </w:tcPr>
                <w:p w14:paraId="32DF738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rPr>
                  </w:pPr>
                </w:p>
              </w:tc>
              <w:tc>
                <w:tcPr>
                  <w:tcW w:w="515" w:type="pct"/>
                  <w:vAlign w:val="center"/>
                </w:tcPr>
                <w:p w14:paraId="0E3B6A7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09:10</w:t>
                  </w:r>
                </w:p>
              </w:tc>
              <w:tc>
                <w:tcPr>
                  <w:tcW w:w="414" w:type="pct"/>
                  <w:vAlign w:val="center"/>
                </w:tcPr>
                <w:p w14:paraId="11A7D70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10:10</w:t>
                  </w:r>
                </w:p>
              </w:tc>
              <w:tc>
                <w:tcPr>
                  <w:tcW w:w="486" w:type="pct"/>
                  <w:vAlign w:val="center"/>
                </w:tcPr>
                <w:p w14:paraId="1746612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11:10</w:t>
                  </w:r>
                </w:p>
              </w:tc>
              <w:tc>
                <w:tcPr>
                  <w:tcW w:w="461" w:type="pct"/>
                  <w:vAlign w:val="center"/>
                </w:tcPr>
                <w:p w14:paraId="0CA86FF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09:12</w:t>
                  </w:r>
                </w:p>
              </w:tc>
              <w:tc>
                <w:tcPr>
                  <w:tcW w:w="473" w:type="pct"/>
                  <w:vAlign w:val="center"/>
                </w:tcPr>
                <w:p w14:paraId="6E34801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10:15</w:t>
                  </w:r>
                </w:p>
              </w:tc>
              <w:tc>
                <w:tcPr>
                  <w:tcW w:w="477" w:type="pct"/>
                  <w:vAlign w:val="center"/>
                </w:tcPr>
                <w:p w14:paraId="7D16ECF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11:10</w:t>
                  </w:r>
                </w:p>
              </w:tc>
              <w:tc>
                <w:tcPr>
                  <w:tcW w:w="347" w:type="pct"/>
                  <w:vMerge w:val="continue"/>
                  <w:tcBorders>
                    <w:top w:val="nil"/>
                  </w:tcBorders>
                  <w:vAlign w:val="center"/>
                </w:tcPr>
                <w:p w14:paraId="5666A94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
                      <w:szCs w:val="2"/>
                    </w:rPr>
                  </w:pPr>
                </w:p>
              </w:tc>
              <w:tc>
                <w:tcPr>
                  <w:tcW w:w="342" w:type="pct"/>
                  <w:vMerge w:val="continue"/>
                  <w:tcBorders>
                    <w:top w:val="nil"/>
                  </w:tcBorders>
                  <w:vAlign w:val="center"/>
                </w:tcPr>
                <w:p w14:paraId="6AFC9D4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
                      <w:szCs w:val="2"/>
                    </w:rPr>
                  </w:pPr>
                </w:p>
              </w:tc>
            </w:tr>
            <w:tr w14:paraId="02B6D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2C2D921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pH(无量纲)</w:t>
                  </w:r>
                </w:p>
              </w:tc>
              <w:tc>
                <w:tcPr>
                  <w:tcW w:w="359" w:type="pct"/>
                  <w:vAlign w:val="center"/>
                </w:tcPr>
                <w:p w14:paraId="79019AE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7.48</w:t>
                  </w:r>
                </w:p>
              </w:tc>
              <w:tc>
                <w:tcPr>
                  <w:tcW w:w="362" w:type="pct"/>
                  <w:vAlign w:val="center"/>
                </w:tcPr>
                <w:p w14:paraId="63485C3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7.42</w:t>
                  </w:r>
                </w:p>
              </w:tc>
              <w:tc>
                <w:tcPr>
                  <w:tcW w:w="515" w:type="pct"/>
                  <w:vAlign w:val="center"/>
                </w:tcPr>
                <w:p w14:paraId="039A478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7.84</w:t>
                  </w:r>
                </w:p>
              </w:tc>
              <w:tc>
                <w:tcPr>
                  <w:tcW w:w="414" w:type="pct"/>
                  <w:vAlign w:val="center"/>
                </w:tcPr>
                <w:p w14:paraId="05869AE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7.90</w:t>
                  </w:r>
                </w:p>
              </w:tc>
              <w:tc>
                <w:tcPr>
                  <w:tcW w:w="486" w:type="pct"/>
                  <w:vAlign w:val="center"/>
                </w:tcPr>
                <w:p w14:paraId="1D57944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7.88</w:t>
                  </w:r>
                </w:p>
              </w:tc>
              <w:tc>
                <w:tcPr>
                  <w:tcW w:w="461" w:type="pct"/>
                  <w:vAlign w:val="center"/>
                </w:tcPr>
                <w:p w14:paraId="14F4267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7.82</w:t>
                  </w:r>
                </w:p>
              </w:tc>
              <w:tc>
                <w:tcPr>
                  <w:tcW w:w="473" w:type="pct"/>
                  <w:vAlign w:val="center"/>
                </w:tcPr>
                <w:p w14:paraId="66DD13B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7.86</w:t>
                  </w:r>
                </w:p>
              </w:tc>
              <w:tc>
                <w:tcPr>
                  <w:tcW w:w="477" w:type="pct"/>
                  <w:vAlign w:val="center"/>
                </w:tcPr>
                <w:p w14:paraId="4455EA8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7.85</w:t>
                  </w:r>
                </w:p>
              </w:tc>
              <w:tc>
                <w:tcPr>
                  <w:tcW w:w="347" w:type="pct"/>
                  <w:vAlign w:val="center"/>
                </w:tcPr>
                <w:p w14:paraId="7AE4636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7.45</w:t>
                  </w:r>
                </w:p>
              </w:tc>
              <w:tc>
                <w:tcPr>
                  <w:tcW w:w="342" w:type="pct"/>
                  <w:vAlign w:val="center"/>
                </w:tcPr>
                <w:p w14:paraId="40E7144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7.86</w:t>
                  </w:r>
                </w:p>
              </w:tc>
            </w:tr>
            <w:tr w14:paraId="3132A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2FD71EC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悬浮物</w:t>
                  </w:r>
                </w:p>
              </w:tc>
              <w:tc>
                <w:tcPr>
                  <w:tcW w:w="359" w:type="pct"/>
                  <w:vAlign w:val="center"/>
                </w:tcPr>
                <w:p w14:paraId="2A0A201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104</w:t>
                  </w:r>
                </w:p>
              </w:tc>
              <w:tc>
                <w:tcPr>
                  <w:tcW w:w="362" w:type="pct"/>
                  <w:vAlign w:val="center"/>
                </w:tcPr>
                <w:p w14:paraId="1435612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124</w:t>
                  </w:r>
                </w:p>
              </w:tc>
              <w:tc>
                <w:tcPr>
                  <w:tcW w:w="515" w:type="pct"/>
                  <w:vAlign w:val="center"/>
                </w:tcPr>
                <w:p w14:paraId="7E12011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10</w:t>
                  </w:r>
                </w:p>
              </w:tc>
              <w:tc>
                <w:tcPr>
                  <w:tcW w:w="414" w:type="pct"/>
                  <w:vAlign w:val="center"/>
                </w:tcPr>
                <w:p w14:paraId="40DF958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14</w:t>
                  </w:r>
                </w:p>
              </w:tc>
              <w:tc>
                <w:tcPr>
                  <w:tcW w:w="486" w:type="pct"/>
                  <w:vAlign w:val="center"/>
                </w:tcPr>
                <w:p w14:paraId="06105E6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10</w:t>
                  </w:r>
                </w:p>
              </w:tc>
              <w:tc>
                <w:tcPr>
                  <w:tcW w:w="461" w:type="pct"/>
                  <w:vAlign w:val="center"/>
                </w:tcPr>
                <w:p w14:paraId="46945EF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12</w:t>
                  </w:r>
                </w:p>
              </w:tc>
              <w:tc>
                <w:tcPr>
                  <w:tcW w:w="473" w:type="pct"/>
                  <w:vAlign w:val="center"/>
                </w:tcPr>
                <w:p w14:paraId="591C01F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12</w:t>
                  </w:r>
                </w:p>
              </w:tc>
              <w:tc>
                <w:tcPr>
                  <w:tcW w:w="477" w:type="pct"/>
                  <w:vAlign w:val="center"/>
                </w:tcPr>
                <w:p w14:paraId="43FD863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11</w:t>
                  </w:r>
                </w:p>
              </w:tc>
              <w:tc>
                <w:tcPr>
                  <w:tcW w:w="347" w:type="pct"/>
                  <w:vAlign w:val="center"/>
                </w:tcPr>
                <w:p w14:paraId="6BAB8DF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114</w:t>
                  </w:r>
                </w:p>
              </w:tc>
              <w:tc>
                <w:tcPr>
                  <w:tcW w:w="342" w:type="pct"/>
                  <w:vAlign w:val="center"/>
                </w:tcPr>
                <w:p w14:paraId="532FABD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11.5</w:t>
                  </w:r>
                </w:p>
              </w:tc>
            </w:tr>
            <w:tr w14:paraId="1E366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5FF77CB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COD</w:t>
                  </w:r>
                </w:p>
              </w:tc>
              <w:tc>
                <w:tcPr>
                  <w:tcW w:w="359" w:type="pct"/>
                  <w:vAlign w:val="center"/>
                </w:tcPr>
                <w:p w14:paraId="799396C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1473</w:t>
                  </w:r>
                </w:p>
              </w:tc>
              <w:tc>
                <w:tcPr>
                  <w:tcW w:w="362" w:type="pct"/>
                  <w:vAlign w:val="center"/>
                </w:tcPr>
                <w:p w14:paraId="03E2441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1589</w:t>
                  </w:r>
                </w:p>
              </w:tc>
              <w:tc>
                <w:tcPr>
                  <w:tcW w:w="515" w:type="pct"/>
                  <w:vAlign w:val="center"/>
                </w:tcPr>
                <w:p w14:paraId="7B2311B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104</w:t>
                  </w:r>
                </w:p>
              </w:tc>
              <w:tc>
                <w:tcPr>
                  <w:tcW w:w="414" w:type="pct"/>
                  <w:vAlign w:val="center"/>
                </w:tcPr>
                <w:p w14:paraId="0A2CB56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97</w:t>
                  </w:r>
                </w:p>
              </w:tc>
              <w:tc>
                <w:tcPr>
                  <w:tcW w:w="486" w:type="pct"/>
                  <w:vAlign w:val="center"/>
                </w:tcPr>
                <w:p w14:paraId="6BB4C50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92</w:t>
                  </w:r>
                </w:p>
              </w:tc>
              <w:tc>
                <w:tcPr>
                  <w:tcW w:w="461" w:type="pct"/>
                  <w:vAlign w:val="center"/>
                </w:tcPr>
                <w:p w14:paraId="30EDB66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88</w:t>
                  </w:r>
                </w:p>
              </w:tc>
              <w:tc>
                <w:tcPr>
                  <w:tcW w:w="473" w:type="pct"/>
                  <w:vAlign w:val="center"/>
                </w:tcPr>
                <w:p w14:paraId="19F23F8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103</w:t>
                  </w:r>
                </w:p>
              </w:tc>
              <w:tc>
                <w:tcPr>
                  <w:tcW w:w="477" w:type="pct"/>
                  <w:vAlign w:val="center"/>
                </w:tcPr>
                <w:p w14:paraId="0AA8917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77</w:t>
                  </w:r>
                </w:p>
              </w:tc>
              <w:tc>
                <w:tcPr>
                  <w:tcW w:w="347" w:type="pct"/>
                  <w:vAlign w:val="center"/>
                </w:tcPr>
                <w:p w14:paraId="6B9E2A9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1531</w:t>
                  </w:r>
                </w:p>
              </w:tc>
              <w:tc>
                <w:tcPr>
                  <w:tcW w:w="342" w:type="pct"/>
                  <w:vAlign w:val="center"/>
                </w:tcPr>
                <w:p w14:paraId="39177F8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93.5</w:t>
                  </w:r>
                </w:p>
              </w:tc>
            </w:tr>
            <w:tr w14:paraId="53523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1B002E5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position w:val="1"/>
                      <w:sz w:val="21"/>
                    </w:rPr>
                    <w:t>BOD</w:t>
                  </w:r>
                  <w:r>
                    <w:rPr>
                      <w:rFonts w:hint="default"/>
                      <w:sz w:val="11"/>
                    </w:rPr>
                    <w:t>5</w:t>
                  </w:r>
                </w:p>
              </w:tc>
              <w:tc>
                <w:tcPr>
                  <w:tcW w:w="359" w:type="pct"/>
                  <w:vAlign w:val="center"/>
                </w:tcPr>
                <w:p w14:paraId="5D0BA81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198</w:t>
                  </w:r>
                </w:p>
              </w:tc>
              <w:tc>
                <w:tcPr>
                  <w:tcW w:w="362" w:type="pct"/>
                  <w:vAlign w:val="center"/>
                </w:tcPr>
                <w:p w14:paraId="37ABFFC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202</w:t>
                  </w:r>
                </w:p>
              </w:tc>
              <w:tc>
                <w:tcPr>
                  <w:tcW w:w="515" w:type="pct"/>
                  <w:vAlign w:val="center"/>
                </w:tcPr>
                <w:p w14:paraId="320E207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18.0</w:t>
                  </w:r>
                </w:p>
              </w:tc>
              <w:tc>
                <w:tcPr>
                  <w:tcW w:w="414" w:type="pct"/>
                  <w:vAlign w:val="center"/>
                </w:tcPr>
                <w:p w14:paraId="26F1855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18.4</w:t>
                  </w:r>
                </w:p>
              </w:tc>
              <w:tc>
                <w:tcPr>
                  <w:tcW w:w="486" w:type="pct"/>
                  <w:vAlign w:val="center"/>
                </w:tcPr>
                <w:p w14:paraId="62EF61F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16.9</w:t>
                  </w:r>
                </w:p>
              </w:tc>
              <w:tc>
                <w:tcPr>
                  <w:tcW w:w="461" w:type="pct"/>
                  <w:vAlign w:val="center"/>
                </w:tcPr>
                <w:p w14:paraId="2B659A7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18.7</w:t>
                  </w:r>
                </w:p>
              </w:tc>
              <w:tc>
                <w:tcPr>
                  <w:tcW w:w="473" w:type="pct"/>
                  <w:vAlign w:val="center"/>
                </w:tcPr>
                <w:p w14:paraId="564732E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19.2</w:t>
                  </w:r>
                </w:p>
              </w:tc>
              <w:tc>
                <w:tcPr>
                  <w:tcW w:w="477" w:type="pct"/>
                  <w:vAlign w:val="center"/>
                </w:tcPr>
                <w:p w14:paraId="48CCDCC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18.3</w:t>
                  </w:r>
                </w:p>
              </w:tc>
              <w:tc>
                <w:tcPr>
                  <w:tcW w:w="347" w:type="pct"/>
                  <w:vAlign w:val="center"/>
                </w:tcPr>
                <w:p w14:paraId="48B69BC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200</w:t>
                  </w:r>
                </w:p>
              </w:tc>
              <w:tc>
                <w:tcPr>
                  <w:tcW w:w="342" w:type="pct"/>
                  <w:vAlign w:val="center"/>
                </w:tcPr>
                <w:p w14:paraId="62189E2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18.3</w:t>
                  </w:r>
                </w:p>
              </w:tc>
            </w:tr>
            <w:tr w14:paraId="2AFCC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40429C5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动植物油</w:t>
                  </w:r>
                </w:p>
              </w:tc>
              <w:tc>
                <w:tcPr>
                  <w:tcW w:w="359" w:type="pct"/>
                  <w:vAlign w:val="center"/>
                </w:tcPr>
                <w:p w14:paraId="5BFB7BF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15.7</w:t>
                  </w:r>
                </w:p>
              </w:tc>
              <w:tc>
                <w:tcPr>
                  <w:tcW w:w="362" w:type="pct"/>
                  <w:vAlign w:val="center"/>
                </w:tcPr>
                <w:p w14:paraId="40083B2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12.7</w:t>
                  </w:r>
                </w:p>
              </w:tc>
              <w:tc>
                <w:tcPr>
                  <w:tcW w:w="515" w:type="pct"/>
                  <w:vAlign w:val="center"/>
                </w:tcPr>
                <w:p w14:paraId="47C9162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eastAsia="宋体"/>
                      <w:sz w:val="21"/>
                      <w:lang w:eastAsia="zh-CN"/>
                    </w:rPr>
                  </w:pPr>
                  <w:r>
                    <w:rPr>
                      <w:rFonts w:hint="eastAsia"/>
                      <w:sz w:val="21"/>
                      <w:lang w:eastAsia="zh-CN"/>
                    </w:rPr>
                    <w:t>/</w:t>
                  </w:r>
                </w:p>
              </w:tc>
              <w:tc>
                <w:tcPr>
                  <w:tcW w:w="702" w:type="dxa"/>
                  <w:vAlign w:val="center"/>
                </w:tcPr>
                <w:p w14:paraId="33B5D34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rPr>
                  </w:pPr>
                  <w:r>
                    <w:rPr>
                      <w:rFonts w:hint="eastAsia"/>
                      <w:sz w:val="21"/>
                      <w:lang w:eastAsia="zh-CN"/>
                    </w:rPr>
                    <w:t>/</w:t>
                  </w:r>
                </w:p>
              </w:tc>
              <w:tc>
                <w:tcPr>
                  <w:tcW w:w="825" w:type="dxa"/>
                  <w:vAlign w:val="center"/>
                </w:tcPr>
                <w:p w14:paraId="11359EA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rPr>
                  </w:pPr>
                  <w:r>
                    <w:rPr>
                      <w:rFonts w:hint="eastAsia"/>
                      <w:sz w:val="21"/>
                      <w:lang w:eastAsia="zh-CN"/>
                    </w:rPr>
                    <w:t>/</w:t>
                  </w:r>
                </w:p>
              </w:tc>
              <w:tc>
                <w:tcPr>
                  <w:tcW w:w="782" w:type="dxa"/>
                  <w:vAlign w:val="center"/>
                </w:tcPr>
                <w:p w14:paraId="679B604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rPr>
                  </w:pPr>
                  <w:r>
                    <w:rPr>
                      <w:rFonts w:hint="eastAsia"/>
                      <w:sz w:val="21"/>
                      <w:lang w:eastAsia="zh-CN"/>
                    </w:rPr>
                    <w:t>/</w:t>
                  </w:r>
                </w:p>
              </w:tc>
              <w:tc>
                <w:tcPr>
                  <w:tcW w:w="802" w:type="dxa"/>
                  <w:vAlign w:val="center"/>
                </w:tcPr>
                <w:p w14:paraId="6422584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rPr>
                  </w:pPr>
                  <w:r>
                    <w:rPr>
                      <w:rFonts w:hint="eastAsia"/>
                      <w:sz w:val="21"/>
                      <w:lang w:eastAsia="zh-CN"/>
                    </w:rPr>
                    <w:t>/</w:t>
                  </w:r>
                </w:p>
              </w:tc>
              <w:tc>
                <w:tcPr>
                  <w:tcW w:w="813" w:type="dxa"/>
                  <w:vAlign w:val="center"/>
                </w:tcPr>
                <w:p w14:paraId="6202DAC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rPr>
                  </w:pPr>
                  <w:r>
                    <w:rPr>
                      <w:rFonts w:hint="eastAsia"/>
                      <w:sz w:val="21"/>
                      <w:lang w:eastAsia="zh-CN"/>
                    </w:rPr>
                    <w:t>/</w:t>
                  </w:r>
                </w:p>
              </w:tc>
              <w:tc>
                <w:tcPr>
                  <w:tcW w:w="347" w:type="pct"/>
                  <w:vAlign w:val="center"/>
                </w:tcPr>
                <w:p w14:paraId="2677593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14.2</w:t>
                  </w:r>
                </w:p>
              </w:tc>
              <w:tc>
                <w:tcPr>
                  <w:tcW w:w="342" w:type="pct"/>
                  <w:vAlign w:val="center"/>
                </w:tcPr>
                <w:p w14:paraId="0900286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eastAsia="宋体"/>
                      <w:sz w:val="21"/>
                      <w:lang w:eastAsia="zh-CN"/>
                    </w:rPr>
                  </w:pPr>
                  <w:r>
                    <w:rPr>
                      <w:rFonts w:hint="eastAsia"/>
                      <w:sz w:val="21"/>
                      <w:lang w:eastAsia="zh-CN"/>
                    </w:rPr>
                    <w:t>/</w:t>
                  </w:r>
                </w:p>
              </w:tc>
            </w:tr>
            <w:tr w14:paraId="373B1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6455B47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石油</w:t>
                  </w:r>
                </w:p>
              </w:tc>
              <w:tc>
                <w:tcPr>
                  <w:tcW w:w="359" w:type="pct"/>
                  <w:vAlign w:val="center"/>
                </w:tcPr>
                <w:p w14:paraId="466EE49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2.94</w:t>
                  </w:r>
                </w:p>
              </w:tc>
              <w:tc>
                <w:tcPr>
                  <w:tcW w:w="362" w:type="pct"/>
                  <w:vAlign w:val="center"/>
                </w:tcPr>
                <w:p w14:paraId="3159440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2.85</w:t>
                  </w:r>
                </w:p>
              </w:tc>
              <w:tc>
                <w:tcPr>
                  <w:tcW w:w="515" w:type="pct"/>
                  <w:vAlign w:val="center"/>
                </w:tcPr>
                <w:p w14:paraId="38A7EE2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eastAsia="宋体"/>
                      <w:sz w:val="21"/>
                      <w:lang w:val="en-US" w:eastAsia="zh-CN"/>
                    </w:rPr>
                  </w:pPr>
                  <w:r>
                    <w:rPr>
                      <w:rFonts w:hint="eastAsia"/>
                      <w:sz w:val="21"/>
                      <w:lang w:val="en-US" w:eastAsia="zh-CN"/>
                    </w:rPr>
                    <w:t>/</w:t>
                  </w:r>
                </w:p>
              </w:tc>
              <w:tc>
                <w:tcPr>
                  <w:tcW w:w="702" w:type="dxa"/>
                  <w:vAlign w:val="center"/>
                </w:tcPr>
                <w:p w14:paraId="7353AF4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lang w:val="en-US"/>
                    </w:rPr>
                  </w:pPr>
                  <w:r>
                    <w:rPr>
                      <w:rFonts w:hint="eastAsia"/>
                      <w:sz w:val="21"/>
                      <w:lang w:val="en-US" w:eastAsia="zh-CN"/>
                    </w:rPr>
                    <w:t>/</w:t>
                  </w:r>
                </w:p>
              </w:tc>
              <w:tc>
                <w:tcPr>
                  <w:tcW w:w="825" w:type="dxa"/>
                  <w:vAlign w:val="center"/>
                </w:tcPr>
                <w:p w14:paraId="28E8D92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lang w:val="en-US"/>
                    </w:rPr>
                  </w:pPr>
                  <w:r>
                    <w:rPr>
                      <w:rFonts w:hint="eastAsia"/>
                      <w:sz w:val="21"/>
                      <w:lang w:val="en-US" w:eastAsia="zh-CN"/>
                    </w:rPr>
                    <w:t>/</w:t>
                  </w:r>
                </w:p>
              </w:tc>
              <w:tc>
                <w:tcPr>
                  <w:tcW w:w="782" w:type="dxa"/>
                  <w:vAlign w:val="center"/>
                </w:tcPr>
                <w:p w14:paraId="7BE9C42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lang w:val="en-US"/>
                    </w:rPr>
                  </w:pPr>
                  <w:r>
                    <w:rPr>
                      <w:rFonts w:hint="eastAsia"/>
                      <w:sz w:val="21"/>
                      <w:lang w:val="en-US" w:eastAsia="zh-CN"/>
                    </w:rPr>
                    <w:t>/</w:t>
                  </w:r>
                </w:p>
              </w:tc>
              <w:tc>
                <w:tcPr>
                  <w:tcW w:w="802" w:type="dxa"/>
                  <w:vAlign w:val="center"/>
                </w:tcPr>
                <w:p w14:paraId="66E165C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lang w:val="en-US"/>
                    </w:rPr>
                  </w:pPr>
                  <w:r>
                    <w:rPr>
                      <w:rFonts w:hint="eastAsia"/>
                      <w:sz w:val="21"/>
                      <w:lang w:val="en-US" w:eastAsia="zh-CN"/>
                    </w:rPr>
                    <w:t>/</w:t>
                  </w:r>
                </w:p>
              </w:tc>
              <w:tc>
                <w:tcPr>
                  <w:tcW w:w="813" w:type="dxa"/>
                  <w:vAlign w:val="center"/>
                </w:tcPr>
                <w:p w14:paraId="7FAFEA3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lang w:val="en-US"/>
                    </w:rPr>
                  </w:pPr>
                  <w:r>
                    <w:rPr>
                      <w:rFonts w:hint="eastAsia"/>
                      <w:sz w:val="21"/>
                      <w:lang w:val="en-US" w:eastAsia="zh-CN"/>
                    </w:rPr>
                    <w:t>/</w:t>
                  </w:r>
                </w:p>
              </w:tc>
              <w:tc>
                <w:tcPr>
                  <w:tcW w:w="347" w:type="pct"/>
                  <w:vAlign w:val="center"/>
                </w:tcPr>
                <w:p w14:paraId="60804C3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14"/>
                    </w:rPr>
                  </w:pPr>
                </w:p>
                <w:p w14:paraId="7393E59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2.90</w:t>
                  </w:r>
                </w:p>
              </w:tc>
              <w:tc>
                <w:tcPr>
                  <w:tcW w:w="342" w:type="pct"/>
                  <w:vAlign w:val="center"/>
                </w:tcPr>
                <w:p w14:paraId="1B26D71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eastAsia="宋体"/>
                      <w:sz w:val="21"/>
                      <w:lang w:val="en-US" w:eastAsia="zh-CN"/>
                    </w:rPr>
                  </w:pPr>
                  <w:r>
                    <w:rPr>
                      <w:rFonts w:hint="eastAsia"/>
                      <w:sz w:val="21"/>
                      <w:lang w:val="en-US" w:eastAsia="zh-CN"/>
                    </w:rPr>
                    <w:t>/</w:t>
                  </w:r>
                </w:p>
              </w:tc>
            </w:tr>
            <w:tr w14:paraId="52C61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6A8CAE2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阴离子表面活性剂</w:t>
                  </w:r>
                </w:p>
              </w:tc>
              <w:tc>
                <w:tcPr>
                  <w:tcW w:w="359" w:type="pct"/>
                  <w:vAlign w:val="center"/>
                </w:tcPr>
                <w:p w14:paraId="1FA87A5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2.97</w:t>
                  </w:r>
                </w:p>
              </w:tc>
              <w:tc>
                <w:tcPr>
                  <w:tcW w:w="362" w:type="pct"/>
                  <w:vAlign w:val="center"/>
                </w:tcPr>
                <w:p w14:paraId="77AE340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2.50</w:t>
                  </w:r>
                </w:p>
              </w:tc>
              <w:tc>
                <w:tcPr>
                  <w:tcW w:w="515" w:type="pct"/>
                  <w:vAlign w:val="center"/>
                </w:tcPr>
                <w:p w14:paraId="69BDFA1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0.18</w:t>
                  </w:r>
                </w:p>
              </w:tc>
              <w:tc>
                <w:tcPr>
                  <w:tcW w:w="414" w:type="pct"/>
                  <w:vAlign w:val="center"/>
                </w:tcPr>
                <w:p w14:paraId="39E536E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0.16</w:t>
                  </w:r>
                </w:p>
              </w:tc>
              <w:tc>
                <w:tcPr>
                  <w:tcW w:w="486" w:type="pct"/>
                  <w:vAlign w:val="center"/>
                </w:tcPr>
                <w:p w14:paraId="1A56402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0.21</w:t>
                  </w:r>
                </w:p>
              </w:tc>
              <w:tc>
                <w:tcPr>
                  <w:tcW w:w="461" w:type="pct"/>
                  <w:vAlign w:val="center"/>
                </w:tcPr>
                <w:p w14:paraId="4C9C5D0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0.15</w:t>
                  </w:r>
                </w:p>
              </w:tc>
              <w:tc>
                <w:tcPr>
                  <w:tcW w:w="473" w:type="pct"/>
                  <w:vAlign w:val="center"/>
                </w:tcPr>
                <w:p w14:paraId="0A4AF12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0.19</w:t>
                  </w:r>
                </w:p>
              </w:tc>
              <w:tc>
                <w:tcPr>
                  <w:tcW w:w="477" w:type="pct"/>
                  <w:vAlign w:val="center"/>
                </w:tcPr>
                <w:p w14:paraId="30E4118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0.16</w:t>
                  </w:r>
                </w:p>
              </w:tc>
              <w:tc>
                <w:tcPr>
                  <w:tcW w:w="347" w:type="pct"/>
                  <w:vAlign w:val="center"/>
                </w:tcPr>
                <w:p w14:paraId="272908B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2.74</w:t>
                  </w:r>
                </w:p>
              </w:tc>
              <w:tc>
                <w:tcPr>
                  <w:tcW w:w="342" w:type="pct"/>
                  <w:vAlign w:val="center"/>
                </w:tcPr>
                <w:p w14:paraId="1549708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0.18</w:t>
                  </w:r>
                </w:p>
              </w:tc>
            </w:tr>
            <w:tr w14:paraId="789A8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74E4059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挥发酚</w:t>
                  </w:r>
                </w:p>
              </w:tc>
              <w:tc>
                <w:tcPr>
                  <w:tcW w:w="359" w:type="pct"/>
                  <w:vAlign w:val="center"/>
                </w:tcPr>
                <w:p w14:paraId="2AF7780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0.0096</w:t>
                  </w:r>
                </w:p>
              </w:tc>
              <w:tc>
                <w:tcPr>
                  <w:tcW w:w="362" w:type="pct"/>
                  <w:vAlign w:val="center"/>
                </w:tcPr>
                <w:p w14:paraId="5418C63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0.0091</w:t>
                  </w:r>
                </w:p>
              </w:tc>
              <w:tc>
                <w:tcPr>
                  <w:tcW w:w="515" w:type="pct"/>
                  <w:vAlign w:val="center"/>
                </w:tcPr>
                <w:p w14:paraId="2C3F5A2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0.0005</w:t>
                  </w:r>
                </w:p>
              </w:tc>
              <w:tc>
                <w:tcPr>
                  <w:tcW w:w="414" w:type="pct"/>
                  <w:vAlign w:val="center"/>
                </w:tcPr>
                <w:p w14:paraId="6B10720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0.0008</w:t>
                  </w:r>
                </w:p>
              </w:tc>
              <w:tc>
                <w:tcPr>
                  <w:tcW w:w="486" w:type="pct"/>
                  <w:vAlign w:val="center"/>
                </w:tcPr>
                <w:p w14:paraId="03FE546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eastAsia="宋体"/>
                      <w:sz w:val="21"/>
                      <w:lang w:eastAsia="zh-CN"/>
                    </w:rPr>
                  </w:pPr>
                  <w:r>
                    <w:rPr>
                      <w:rFonts w:hint="eastAsia"/>
                      <w:sz w:val="21"/>
                      <w:lang w:val="en-US" w:eastAsia="zh-CN"/>
                    </w:rPr>
                    <w:t>/</w:t>
                  </w:r>
                </w:p>
              </w:tc>
              <w:tc>
                <w:tcPr>
                  <w:tcW w:w="461" w:type="pct"/>
                  <w:vAlign w:val="center"/>
                </w:tcPr>
                <w:p w14:paraId="0135EC7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0.0003</w:t>
                  </w:r>
                </w:p>
              </w:tc>
              <w:tc>
                <w:tcPr>
                  <w:tcW w:w="473" w:type="pct"/>
                  <w:vAlign w:val="center"/>
                </w:tcPr>
                <w:p w14:paraId="22C276F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0.0011</w:t>
                  </w:r>
                </w:p>
              </w:tc>
              <w:tc>
                <w:tcPr>
                  <w:tcW w:w="477" w:type="pct"/>
                  <w:vAlign w:val="center"/>
                </w:tcPr>
                <w:p w14:paraId="2D06A61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0.0009</w:t>
                  </w:r>
                </w:p>
              </w:tc>
              <w:tc>
                <w:tcPr>
                  <w:tcW w:w="347" w:type="pct"/>
                  <w:vAlign w:val="center"/>
                </w:tcPr>
                <w:p w14:paraId="5601D0E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0.009</w:t>
                  </w:r>
                </w:p>
                <w:p w14:paraId="606B1E4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4</w:t>
                  </w:r>
                </w:p>
              </w:tc>
              <w:tc>
                <w:tcPr>
                  <w:tcW w:w="342" w:type="pct"/>
                  <w:vAlign w:val="center"/>
                </w:tcPr>
                <w:p w14:paraId="2411A67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0.000</w:t>
                  </w:r>
                </w:p>
                <w:p w14:paraId="59DACF9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w:t>
                  </w:r>
                </w:p>
              </w:tc>
            </w:tr>
            <w:tr w14:paraId="7891D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0F4F961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氨氮</w:t>
                  </w:r>
                </w:p>
              </w:tc>
              <w:tc>
                <w:tcPr>
                  <w:tcW w:w="359" w:type="pct"/>
                  <w:vAlign w:val="center"/>
                </w:tcPr>
                <w:p w14:paraId="1889694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4.68</w:t>
                  </w:r>
                </w:p>
              </w:tc>
              <w:tc>
                <w:tcPr>
                  <w:tcW w:w="362" w:type="pct"/>
                  <w:vAlign w:val="center"/>
                </w:tcPr>
                <w:p w14:paraId="5481FD8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5.61</w:t>
                  </w:r>
                </w:p>
              </w:tc>
              <w:tc>
                <w:tcPr>
                  <w:tcW w:w="515" w:type="pct"/>
                  <w:vAlign w:val="center"/>
                </w:tcPr>
                <w:p w14:paraId="34B5485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2.88</w:t>
                  </w:r>
                </w:p>
              </w:tc>
              <w:tc>
                <w:tcPr>
                  <w:tcW w:w="414" w:type="pct"/>
                  <w:vAlign w:val="center"/>
                </w:tcPr>
                <w:p w14:paraId="7D40B9A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2.90</w:t>
                  </w:r>
                </w:p>
              </w:tc>
              <w:tc>
                <w:tcPr>
                  <w:tcW w:w="486" w:type="pct"/>
                  <w:vAlign w:val="center"/>
                </w:tcPr>
                <w:p w14:paraId="2597056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2.87</w:t>
                  </w:r>
                </w:p>
              </w:tc>
              <w:tc>
                <w:tcPr>
                  <w:tcW w:w="461" w:type="pct"/>
                  <w:vAlign w:val="center"/>
                </w:tcPr>
                <w:p w14:paraId="3F89B0C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2.76</w:t>
                  </w:r>
                </w:p>
              </w:tc>
              <w:tc>
                <w:tcPr>
                  <w:tcW w:w="473" w:type="pct"/>
                  <w:vAlign w:val="center"/>
                </w:tcPr>
                <w:p w14:paraId="46B0F47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2.93</w:t>
                  </w:r>
                </w:p>
              </w:tc>
              <w:tc>
                <w:tcPr>
                  <w:tcW w:w="477" w:type="pct"/>
                  <w:vAlign w:val="center"/>
                </w:tcPr>
                <w:p w14:paraId="46D4594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2.96</w:t>
                  </w:r>
                </w:p>
              </w:tc>
              <w:tc>
                <w:tcPr>
                  <w:tcW w:w="347" w:type="pct"/>
                  <w:vAlign w:val="center"/>
                </w:tcPr>
                <w:p w14:paraId="297C1D2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5.15</w:t>
                  </w:r>
                </w:p>
              </w:tc>
              <w:tc>
                <w:tcPr>
                  <w:tcW w:w="342" w:type="pct"/>
                  <w:vAlign w:val="center"/>
                </w:tcPr>
                <w:p w14:paraId="2197474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2.88</w:t>
                  </w:r>
                </w:p>
              </w:tc>
            </w:tr>
            <w:tr w14:paraId="6E6D1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7D51919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pacing w:val="-1"/>
                      <w:sz w:val="21"/>
                    </w:rPr>
                    <w:t>磷酸盐</w:t>
                  </w:r>
                  <w:r>
                    <w:rPr>
                      <w:rFonts w:hint="default"/>
                      <w:spacing w:val="-3"/>
                      <w:sz w:val="21"/>
                    </w:rPr>
                    <w:t>（</w:t>
                  </w:r>
                  <w:r>
                    <w:rPr>
                      <w:rFonts w:hint="default"/>
                      <w:spacing w:val="-25"/>
                      <w:sz w:val="21"/>
                    </w:rPr>
                    <w:t xml:space="preserve">以 </w:t>
                  </w:r>
                  <w:r>
                    <w:rPr>
                      <w:rFonts w:hint="default"/>
                      <w:sz w:val="21"/>
                    </w:rPr>
                    <w:t>P</w:t>
                  </w:r>
                  <w:r>
                    <w:rPr>
                      <w:rFonts w:hint="default"/>
                      <w:spacing w:val="-27"/>
                      <w:sz w:val="21"/>
                    </w:rPr>
                    <w:t xml:space="preserve"> 计</w:t>
                  </w:r>
                  <w:r>
                    <w:rPr>
                      <w:rFonts w:hint="default"/>
                      <w:spacing w:val="-80"/>
                      <w:sz w:val="21"/>
                    </w:rPr>
                    <w:t>）</w:t>
                  </w:r>
                </w:p>
              </w:tc>
              <w:tc>
                <w:tcPr>
                  <w:tcW w:w="359" w:type="pct"/>
                  <w:vAlign w:val="center"/>
                </w:tcPr>
                <w:p w14:paraId="101BBAD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1.36</w:t>
                  </w:r>
                </w:p>
              </w:tc>
              <w:tc>
                <w:tcPr>
                  <w:tcW w:w="362" w:type="pct"/>
                  <w:vAlign w:val="center"/>
                </w:tcPr>
                <w:p w14:paraId="41EBBBD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1.48</w:t>
                  </w:r>
                </w:p>
              </w:tc>
              <w:tc>
                <w:tcPr>
                  <w:tcW w:w="515" w:type="pct"/>
                  <w:vAlign w:val="center"/>
                </w:tcPr>
                <w:p w14:paraId="78C17A1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0.74</w:t>
                  </w:r>
                </w:p>
              </w:tc>
              <w:tc>
                <w:tcPr>
                  <w:tcW w:w="414" w:type="pct"/>
                  <w:vAlign w:val="center"/>
                </w:tcPr>
                <w:p w14:paraId="13C8D9B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0.74</w:t>
                  </w:r>
                </w:p>
              </w:tc>
              <w:tc>
                <w:tcPr>
                  <w:tcW w:w="486" w:type="pct"/>
                  <w:vAlign w:val="center"/>
                </w:tcPr>
                <w:p w14:paraId="486BCEC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0.76</w:t>
                  </w:r>
                </w:p>
              </w:tc>
              <w:tc>
                <w:tcPr>
                  <w:tcW w:w="461" w:type="pct"/>
                  <w:vAlign w:val="center"/>
                </w:tcPr>
                <w:p w14:paraId="48F5FE2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0.72</w:t>
                  </w:r>
                </w:p>
              </w:tc>
              <w:tc>
                <w:tcPr>
                  <w:tcW w:w="473" w:type="pct"/>
                  <w:vAlign w:val="center"/>
                </w:tcPr>
                <w:p w14:paraId="1B06611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0.74</w:t>
                  </w:r>
                </w:p>
              </w:tc>
              <w:tc>
                <w:tcPr>
                  <w:tcW w:w="477" w:type="pct"/>
                  <w:vAlign w:val="center"/>
                </w:tcPr>
                <w:p w14:paraId="41664E8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0.74</w:t>
                  </w:r>
                </w:p>
              </w:tc>
              <w:tc>
                <w:tcPr>
                  <w:tcW w:w="347" w:type="pct"/>
                  <w:vAlign w:val="center"/>
                </w:tcPr>
                <w:p w14:paraId="6837A26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1.42</w:t>
                  </w:r>
                </w:p>
              </w:tc>
              <w:tc>
                <w:tcPr>
                  <w:tcW w:w="342" w:type="pct"/>
                  <w:vAlign w:val="center"/>
                </w:tcPr>
                <w:p w14:paraId="3490C58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0.74</w:t>
                  </w:r>
                </w:p>
              </w:tc>
            </w:tr>
          </w:tbl>
          <w:p w14:paraId="575FBED8">
            <w:pPr>
              <w:keepNext w:val="0"/>
              <w:keepLines w:val="0"/>
              <w:suppressLineNumbers w:val="0"/>
              <w:spacing w:before="0" w:beforeAutospacing="0" w:after="0" w:afterAutospacing="0" w:line="360" w:lineRule="auto"/>
              <w:ind w:left="0" w:right="0" w:firstLine="480" w:firstLineChars="200"/>
              <w:rPr>
                <w:rFonts w:hint="default"/>
                <w:color w:val="auto"/>
                <w:sz w:val="24"/>
                <w:szCs w:val="24"/>
              </w:rPr>
            </w:pPr>
            <w:r>
              <w:rPr>
                <w:rFonts w:hint="default"/>
                <w:color w:val="auto"/>
                <w:sz w:val="24"/>
              </w:rPr>
              <w:t>由表可见，</w:t>
            </w:r>
            <w:r>
              <w:rPr>
                <w:rFonts w:hint="eastAsia"/>
                <w:color w:val="auto"/>
                <w:sz w:val="24"/>
                <w:lang w:eastAsia="zh-CN"/>
              </w:rPr>
              <w:t>原项目产生的污水经污水处理系统</w:t>
            </w:r>
            <w:r>
              <w:rPr>
                <w:rFonts w:hint="default"/>
                <w:color w:val="auto"/>
                <w:sz w:val="24"/>
              </w:rPr>
              <w:t>处理后水质达到</w:t>
            </w:r>
            <w:r>
              <w:rPr>
                <w:rFonts w:hint="default"/>
                <w:color w:val="auto"/>
                <w:sz w:val="24"/>
                <w:szCs w:val="24"/>
                <w:highlight w:val="none"/>
              </w:rPr>
              <w:t>《污水排入城镇下水道水质标准》（</w:t>
            </w:r>
            <w:r>
              <w:rPr>
                <w:rFonts w:hint="default" w:ascii="Times New Roman" w:eastAsia="Times New Roman"/>
                <w:color w:val="auto"/>
                <w:sz w:val="24"/>
                <w:szCs w:val="24"/>
                <w:highlight w:val="none"/>
              </w:rPr>
              <w:t>GB/T131962-2015</w:t>
            </w:r>
            <w:r>
              <w:rPr>
                <w:rFonts w:hint="default"/>
                <w:color w:val="auto"/>
                <w:sz w:val="24"/>
                <w:szCs w:val="24"/>
                <w:highlight w:val="none"/>
              </w:rPr>
              <w:t>）表</w:t>
            </w:r>
            <w:r>
              <w:rPr>
                <w:rFonts w:hint="default" w:ascii="Times New Roman" w:eastAsia="Times New Roman"/>
                <w:color w:val="auto"/>
                <w:sz w:val="24"/>
                <w:szCs w:val="24"/>
                <w:highlight w:val="none"/>
              </w:rPr>
              <w:t>1</w:t>
            </w:r>
            <w:r>
              <w:rPr>
                <w:rFonts w:hint="default"/>
                <w:color w:val="auto"/>
                <w:sz w:val="24"/>
                <w:szCs w:val="24"/>
                <w:highlight w:val="none"/>
              </w:rPr>
              <w:t>中</w:t>
            </w:r>
            <w:r>
              <w:rPr>
                <w:rFonts w:hint="eastAsia"/>
                <w:color w:val="auto"/>
                <w:sz w:val="24"/>
                <w:szCs w:val="24"/>
                <w:highlight w:val="none"/>
                <w:lang w:val="en-US" w:eastAsia="zh-CN"/>
              </w:rPr>
              <w:t>A</w:t>
            </w:r>
            <w:r>
              <w:rPr>
                <w:rFonts w:hint="default"/>
                <w:color w:val="auto"/>
                <w:sz w:val="24"/>
                <w:szCs w:val="24"/>
                <w:highlight w:val="none"/>
              </w:rPr>
              <w:t>级标准</w:t>
            </w:r>
            <w:r>
              <w:rPr>
                <w:rFonts w:hint="eastAsia"/>
                <w:color w:val="auto"/>
                <w:sz w:val="24"/>
                <w:szCs w:val="24"/>
                <w:highlight w:val="none"/>
                <w:lang w:eastAsia="zh-CN"/>
              </w:rPr>
              <w:t>，</w:t>
            </w:r>
            <w:r>
              <w:rPr>
                <w:rFonts w:hint="eastAsia"/>
                <w:color w:val="auto"/>
                <w:sz w:val="24"/>
                <w:szCs w:val="24"/>
                <w:highlight w:val="none"/>
                <w:lang w:val="en-US" w:eastAsia="zh-CN"/>
              </w:rPr>
              <w:t>满足达标排放</w:t>
            </w:r>
            <w:r>
              <w:rPr>
                <w:rFonts w:hint="default"/>
                <w:color w:val="auto"/>
                <w:sz w:val="24"/>
                <w:szCs w:val="24"/>
              </w:rPr>
              <w:t>。</w:t>
            </w:r>
          </w:p>
          <w:p w14:paraId="452E1A6A">
            <w:pPr>
              <w:pStyle w:val="88"/>
              <w:keepNext w:val="0"/>
              <w:keepLines w:val="0"/>
              <w:suppressLineNumbers w:val="0"/>
              <w:spacing w:before="0" w:beforeAutospacing="0" w:after="0" w:afterAutospacing="0"/>
              <w:ind w:left="0" w:right="0" w:firstLine="482"/>
              <w:rPr>
                <w:rFonts w:hint="default"/>
                <w:b/>
                <w:color w:val="auto"/>
              </w:rPr>
            </w:pPr>
            <w:r>
              <w:rPr>
                <w:rFonts w:hint="default"/>
                <w:b/>
                <w:color w:val="auto"/>
              </w:rPr>
              <w:t>（2）废气</w:t>
            </w:r>
          </w:p>
          <w:p w14:paraId="635151B3">
            <w:pPr>
              <w:keepNext w:val="0"/>
              <w:keepLines w:val="0"/>
              <w:suppressLineNumbers w:val="0"/>
              <w:snapToGrid w:val="0"/>
              <w:spacing w:before="0" w:beforeAutospacing="0" w:after="0" w:afterAutospacing="0" w:line="360" w:lineRule="auto"/>
              <w:ind w:left="0" w:right="0" w:firstLine="482" w:firstLineChars="200"/>
              <w:rPr>
                <w:rFonts w:hint="default"/>
                <w:b/>
                <w:bCs/>
                <w:color w:val="auto"/>
                <w:sz w:val="24"/>
              </w:rPr>
            </w:pPr>
            <w:r>
              <w:rPr>
                <w:rFonts w:hint="eastAsia"/>
                <w:b/>
                <w:bCs/>
                <w:color w:val="auto"/>
                <w:sz w:val="24"/>
                <w:lang w:eastAsia="zh-CN"/>
              </w:rPr>
              <w:t>①</w:t>
            </w:r>
            <w:r>
              <w:rPr>
                <w:rFonts w:hint="default"/>
                <w:b/>
                <w:bCs/>
                <w:color w:val="auto"/>
                <w:sz w:val="24"/>
              </w:rPr>
              <w:t>有组织废气（</w:t>
            </w:r>
            <w:r>
              <w:rPr>
                <w:rFonts w:hint="eastAsia"/>
                <w:color w:val="auto"/>
                <w:sz w:val="24"/>
                <w:lang w:val="en-US" w:eastAsia="zh-CN"/>
              </w:rPr>
              <w:t>投料、配料、混料</w:t>
            </w:r>
            <w:r>
              <w:rPr>
                <w:rFonts w:hint="default"/>
                <w:b/>
                <w:bCs/>
                <w:color w:val="auto"/>
                <w:sz w:val="24"/>
              </w:rPr>
              <w:t>）</w:t>
            </w:r>
          </w:p>
          <w:p w14:paraId="7E7CCC39">
            <w:pPr>
              <w:keepNext w:val="0"/>
              <w:keepLines w:val="0"/>
              <w:suppressLineNumbers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lang w:val="en-US" w:eastAsia="zh-CN"/>
              </w:rPr>
              <w:t>腻子粉生产线的生产过程中是将生产所需的水泥、白砂、碳酸钙和纤维素通过干式搅拌混合后，成为产品；该生产线的物料输送为气流输送，设施内为负压；投料口、混料产生的粉尘采用集气罩收集，集中式滤筒除尘系统处理后通过</w:t>
            </w:r>
            <w:r>
              <w:rPr>
                <w:rFonts w:hint="default"/>
                <w:color w:val="auto"/>
                <w:sz w:val="24"/>
                <w:lang w:val="en-US" w:eastAsia="zh-CN"/>
              </w:rPr>
              <w:t xml:space="preserve">15m </w:t>
            </w:r>
            <w:r>
              <w:rPr>
                <w:rFonts w:hint="eastAsia"/>
                <w:color w:val="auto"/>
                <w:sz w:val="24"/>
                <w:lang w:val="en-US" w:eastAsia="zh-CN"/>
              </w:rPr>
              <w:t>排气筒外排，</w:t>
            </w:r>
            <w:r>
              <w:rPr>
                <w:rFonts w:hint="default"/>
                <w:color w:val="auto"/>
                <w:sz w:val="24"/>
                <w:lang w:val="en-US" w:eastAsia="zh-CN"/>
              </w:rPr>
              <w:t xml:space="preserve">2 </w:t>
            </w:r>
            <w:r>
              <w:rPr>
                <w:rFonts w:hint="eastAsia"/>
                <w:color w:val="auto"/>
                <w:sz w:val="24"/>
                <w:lang w:val="en-US" w:eastAsia="zh-CN"/>
              </w:rPr>
              <w:t>条腻子粉生产线共用一套布袋收尘装置。</w:t>
            </w:r>
          </w:p>
          <w:p w14:paraId="2E445C36">
            <w:pPr>
              <w:keepNext w:val="0"/>
              <w:keepLines w:val="0"/>
              <w:suppressLineNumbers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lang w:eastAsia="zh-CN"/>
              </w:rPr>
              <w:t>根据原项目</w:t>
            </w:r>
            <w:r>
              <w:rPr>
                <w:rFonts w:hint="eastAsia"/>
                <w:color w:val="auto"/>
                <w:sz w:val="24"/>
                <w:lang w:val="en-US" w:eastAsia="zh-CN"/>
              </w:rPr>
              <w:t>2022年第四季度</w:t>
            </w:r>
            <w:r>
              <w:rPr>
                <w:rFonts w:hint="eastAsia"/>
                <w:color w:val="auto"/>
                <w:sz w:val="24"/>
                <w:lang w:eastAsia="zh-CN"/>
              </w:rPr>
              <w:t>的自行监测报告</w:t>
            </w:r>
            <w:r>
              <w:rPr>
                <w:rFonts w:hint="default"/>
                <w:color w:val="auto"/>
                <w:sz w:val="24"/>
              </w:rPr>
              <w:t>，其污染物排放情况见表2-</w:t>
            </w:r>
            <w:r>
              <w:rPr>
                <w:rFonts w:hint="eastAsia"/>
                <w:color w:val="auto"/>
                <w:sz w:val="24"/>
                <w:lang w:val="en-US" w:eastAsia="zh-CN"/>
              </w:rPr>
              <w:t>23</w:t>
            </w:r>
            <w:r>
              <w:rPr>
                <w:rFonts w:hint="default"/>
                <w:color w:val="auto"/>
                <w:sz w:val="24"/>
              </w:rPr>
              <w:t>。</w:t>
            </w:r>
          </w:p>
          <w:p w14:paraId="63E53DEA">
            <w:pPr>
              <w:keepNext w:val="0"/>
              <w:keepLines w:val="0"/>
              <w:suppressLineNumbers w:val="0"/>
              <w:tabs>
                <w:tab w:val="right" w:leader="dot" w:pos="10260"/>
              </w:tabs>
              <w:adjustRightInd w:val="0"/>
              <w:snapToGrid w:val="0"/>
              <w:spacing w:before="0" w:beforeAutospacing="0" w:after="0" w:afterAutospacing="0"/>
              <w:ind w:left="0" w:right="0" w:firstLine="482"/>
              <w:jc w:val="center"/>
              <w:rPr>
                <w:rFonts w:hint="default"/>
                <w:b/>
                <w:color w:val="auto"/>
                <w:szCs w:val="21"/>
              </w:rPr>
            </w:pPr>
            <w:r>
              <w:rPr>
                <w:rFonts w:hint="default"/>
                <w:b/>
                <w:color w:val="auto"/>
                <w:szCs w:val="21"/>
              </w:rPr>
              <w:t>表2-</w:t>
            </w:r>
            <w:r>
              <w:rPr>
                <w:rFonts w:hint="eastAsia"/>
                <w:b/>
                <w:color w:val="auto"/>
                <w:szCs w:val="21"/>
                <w:lang w:val="en-US" w:eastAsia="zh-CN"/>
              </w:rPr>
              <w:t>23</w:t>
            </w:r>
            <w:r>
              <w:rPr>
                <w:rFonts w:hint="default"/>
                <w:b/>
                <w:color w:val="auto"/>
                <w:szCs w:val="21"/>
              </w:rPr>
              <w:t xml:space="preserve"> </w:t>
            </w:r>
            <w:r>
              <w:rPr>
                <w:rFonts w:hint="eastAsia"/>
                <w:b/>
                <w:color w:val="auto"/>
                <w:szCs w:val="21"/>
                <w:lang w:eastAsia="zh-CN"/>
              </w:rPr>
              <w:t>腻子粉生产车间排气筒</w:t>
            </w:r>
            <w:r>
              <w:rPr>
                <w:rFonts w:hint="default"/>
                <w:b/>
                <w:color w:val="auto"/>
                <w:szCs w:val="21"/>
              </w:rPr>
              <w:t>排放情况</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3"/>
              <w:gridCol w:w="2067"/>
              <w:gridCol w:w="2067"/>
              <w:gridCol w:w="2068"/>
            </w:tblGrid>
            <w:tr w14:paraId="43364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297" w:type="pct"/>
                  <w:noWrap w:val="0"/>
                  <w:vAlign w:val="center"/>
                </w:tcPr>
                <w:p w14:paraId="7D5F5B35">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项  目</w:t>
                  </w:r>
                </w:p>
              </w:tc>
              <w:tc>
                <w:tcPr>
                  <w:tcW w:w="3702" w:type="pct"/>
                  <w:gridSpan w:val="3"/>
                  <w:noWrap w:val="0"/>
                  <w:vAlign w:val="center"/>
                </w:tcPr>
                <w:p w14:paraId="4AFAA5D5">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颗粒物</w:t>
                  </w:r>
                </w:p>
              </w:tc>
            </w:tr>
            <w:tr w14:paraId="200EC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297" w:type="pct"/>
                  <w:noWrap w:val="0"/>
                  <w:vAlign w:val="center"/>
                </w:tcPr>
                <w:p w14:paraId="7C5EEBE6">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color w:val="auto"/>
                      <w:szCs w:val="21"/>
                      <w:lang w:eastAsia="zh-CN"/>
                    </w:rPr>
                    <w:t>实测</w:t>
                  </w:r>
                  <w:r>
                    <w:rPr>
                      <w:rFonts w:hint="default"/>
                      <w:color w:val="auto"/>
                      <w:szCs w:val="21"/>
                    </w:rPr>
                    <w:t>浓度（mg/m</w:t>
                  </w:r>
                  <w:r>
                    <w:rPr>
                      <w:rFonts w:hint="default"/>
                      <w:color w:val="auto"/>
                      <w:szCs w:val="21"/>
                      <w:vertAlign w:val="superscript"/>
                    </w:rPr>
                    <w:t>3</w:t>
                  </w:r>
                  <w:r>
                    <w:rPr>
                      <w:rFonts w:hint="default"/>
                      <w:color w:val="auto"/>
                      <w:szCs w:val="21"/>
                    </w:rPr>
                    <w:t>）</w:t>
                  </w:r>
                </w:p>
              </w:tc>
              <w:tc>
                <w:tcPr>
                  <w:tcW w:w="1234" w:type="pct"/>
                  <w:noWrap w:val="0"/>
                  <w:vAlign w:val="center"/>
                </w:tcPr>
                <w:p w14:paraId="0D726923">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35.8</w:t>
                  </w:r>
                </w:p>
              </w:tc>
              <w:tc>
                <w:tcPr>
                  <w:tcW w:w="1234" w:type="pct"/>
                  <w:noWrap w:val="0"/>
                  <w:vAlign w:val="center"/>
                </w:tcPr>
                <w:p w14:paraId="51B2888E">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32.9</w:t>
                  </w:r>
                </w:p>
              </w:tc>
              <w:tc>
                <w:tcPr>
                  <w:tcW w:w="1234" w:type="pct"/>
                  <w:noWrap w:val="0"/>
                  <w:vAlign w:val="center"/>
                </w:tcPr>
                <w:p w14:paraId="5ED15D9E">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34.7</w:t>
                  </w:r>
                </w:p>
              </w:tc>
            </w:tr>
            <w:tr w14:paraId="389CB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297" w:type="pct"/>
                  <w:noWrap w:val="0"/>
                  <w:vAlign w:val="center"/>
                </w:tcPr>
                <w:p w14:paraId="18340512">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标准限值（mg/m</w:t>
                  </w:r>
                  <w:r>
                    <w:rPr>
                      <w:rFonts w:hint="default"/>
                      <w:color w:val="auto"/>
                      <w:szCs w:val="21"/>
                      <w:vertAlign w:val="superscript"/>
                    </w:rPr>
                    <w:t>3</w:t>
                  </w:r>
                  <w:r>
                    <w:rPr>
                      <w:rFonts w:hint="default"/>
                      <w:color w:val="auto"/>
                      <w:szCs w:val="21"/>
                    </w:rPr>
                    <w:t>）</w:t>
                  </w:r>
                </w:p>
              </w:tc>
              <w:tc>
                <w:tcPr>
                  <w:tcW w:w="1234" w:type="pct"/>
                  <w:noWrap w:val="0"/>
                  <w:vAlign w:val="center"/>
                </w:tcPr>
                <w:p w14:paraId="4B3CD4A6">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120</w:t>
                  </w:r>
                </w:p>
              </w:tc>
              <w:tc>
                <w:tcPr>
                  <w:tcW w:w="1234" w:type="pct"/>
                  <w:noWrap w:val="0"/>
                  <w:vAlign w:val="center"/>
                </w:tcPr>
                <w:p w14:paraId="1D772FF6">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120</w:t>
                  </w:r>
                </w:p>
              </w:tc>
              <w:tc>
                <w:tcPr>
                  <w:tcW w:w="1234" w:type="pct"/>
                  <w:noWrap w:val="0"/>
                  <w:vAlign w:val="center"/>
                </w:tcPr>
                <w:p w14:paraId="50C00663">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120</w:t>
                  </w:r>
                </w:p>
              </w:tc>
            </w:tr>
            <w:tr w14:paraId="7CD0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297" w:type="pct"/>
                  <w:noWrap w:val="0"/>
                  <w:vAlign w:val="center"/>
                </w:tcPr>
                <w:p w14:paraId="730861B0">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达标情况</w:t>
                  </w:r>
                </w:p>
              </w:tc>
              <w:tc>
                <w:tcPr>
                  <w:tcW w:w="1234" w:type="pct"/>
                  <w:noWrap w:val="0"/>
                  <w:vAlign w:val="center"/>
                </w:tcPr>
                <w:p w14:paraId="0FC2E0CD">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达标</w:t>
                  </w:r>
                </w:p>
              </w:tc>
              <w:tc>
                <w:tcPr>
                  <w:tcW w:w="1234" w:type="pct"/>
                  <w:noWrap w:val="0"/>
                  <w:vAlign w:val="center"/>
                </w:tcPr>
                <w:p w14:paraId="3429B57F">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达标</w:t>
                  </w:r>
                </w:p>
              </w:tc>
              <w:tc>
                <w:tcPr>
                  <w:tcW w:w="1234" w:type="pct"/>
                  <w:noWrap w:val="0"/>
                  <w:vAlign w:val="center"/>
                </w:tcPr>
                <w:p w14:paraId="0F038987">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达标</w:t>
                  </w:r>
                </w:p>
              </w:tc>
            </w:tr>
            <w:tr w14:paraId="371E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297" w:type="pct"/>
                  <w:noWrap w:val="0"/>
                  <w:vAlign w:val="center"/>
                </w:tcPr>
                <w:p w14:paraId="71E1F9F5">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平均排放速率（kg/h）</w:t>
                  </w:r>
                </w:p>
              </w:tc>
              <w:tc>
                <w:tcPr>
                  <w:tcW w:w="1234" w:type="pct"/>
                  <w:noWrap w:val="0"/>
                  <w:vAlign w:val="center"/>
                </w:tcPr>
                <w:p w14:paraId="4C79635C">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color w:val="auto"/>
                      <w:szCs w:val="21"/>
                      <w:lang w:val="en-US" w:eastAsia="zh-CN"/>
                    </w:rPr>
                    <w:t>0.363</w:t>
                  </w:r>
                </w:p>
              </w:tc>
              <w:tc>
                <w:tcPr>
                  <w:tcW w:w="1234" w:type="pct"/>
                  <w:noWrap w:val="0"/>
                  <w:vAlign w:val="center"/>
                </w:tcPr>
                <w:p w14:paraId="69ECC9C5">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0.345</w:t>
                  </w:r>
                </w:p>
              </w:tc>
              <w:tc>
                <w:tcPr>
                  <w:tcW w:w="1234" w:type="pct"/>
                  <w:noWrap w:val="0"/>
                  <w:vAlign w:val="center"/>
                </w:tcPr>
                <w:p w14:paraId="11E78F4C">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0.356</w:t>
                  </w:r>
                </w:p>
              </w:tc>
            </w:tr>
            <w:tr w14:paraId="1CB6F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297" w:type="pct"/>
                  <w:noWrap w:val="0"/>
                  <w:vAlign w:val="center"/>
                </w:tcPr>
                <w:p w14:paraId="2ACCBE31">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标准限值（</w:t>
                  </w:r>
                  <w:r>
                    <w:rPr>
                      <w:rFonts w:hint="eastAsia"/>
                      <w:color w:val="auto"/>
                      <w:szCs w:val="21"/>
                      <w:lang w:val="en-US" w:eastAsia="zh-CN"/>
                    </w:rPr>
                    <w:t>kg</w:t>
                  </w:r>
                  <w:r>
                    <w:rPr>
                      <w:rFonts w:hint="default"/>
                      <w:color w:val="auto"/>
                      <w:szCs w:val="21"/>
                    </w:rPr>
                    <w:t>/</w:t>
                  </w:r>
                  <w:r>
                    <w:rPr>
                      <w:rFonts w:hint="eastAsia"/>
                      <w:color w:val="auto"/>
                      <w:szCs w:val="21"/>
                      <w:lang w:val="en-US" w:eastAsia="zh-CN"/>
                    </w:rPr>
                    <w:t>h</w:t>
                  </w:r>
                  <w:r>
                    <w:rPr>
                      <w:rFonts w:hint="default"/>
                      <w:color w:val="auto"/>
                      <w:szCs w:val="21"/>
                    </w:rPr>
                    <w:t>）</w:t>
                  </w:r>
                </w:p>
              </w:tc>
              <w:tc>
                <w:tcPr>
                  <w:tcW w:w="1234" w:type="pct"/>
                  <w:noWrap w:val="0"/>
                  <w:vAlign w:val="center"/>
                </w:tcPr>
                <w:p w14:paraId="6CCC3CAE">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3.5</w:t>
                  </w:r>
                </w:p>
              </w:tc>
              <w:tc>
                <w:tcPr>
                  <w:tcW w:w="1234" w:type="pct"/>
                  <w:noWrap w:val="0"/>
                  <w:vAlign w:val="center"/>
                </w:tcPr>
                <w:p w14:paraId="7986ACDA">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color w:val="auto"/>
                      <w:szCs w:val="21"/>
                      <w:lang w:val="en-US" w:eastAsia="zh-CN"/>
                    </w:rPr>
                    <w:t>3.5</w:t>
                  </w:r>
                </w:p>
              </w:tc>
              <w:tc>
                <w:tcPr>
                  <w:tcW w:w="1234" w:type="pct"/>
                  <w:noWrap w:val="0"/>
                  <w:vAlign w:val="center"/>
                </w:tcPr>
                <w:p w14:paraId="55FDD8B0">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color w:val="auto"/>
                      <w:szCs w:val="21"/>
                      <w:lang w:val="en-US" w:eastAsia="zh-CN"/>
                    </w:rPr>
                    <w:t>3.5</w:t>
                  </w:r>
                </w:p>
              </w:tc>
            </w:tr>
            <w:tr w14:paraId="0D62A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297" w:type="pct"/>
                  <w:noWrap w:val="0"/>
                  <w:vAlign w:val="center"/>
                </w:tcPr>
                <w:p w14:paraId="6DC0AEA7">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达标情况</w:t>
                  </w:r>
                </w:p>
              </w:tc>
              <w:tc>
                <w:tcPr>
                  <w:tcW w:w="1234" w:type="pct"/>
                  <w:noWrap w:val="0"/>
                  <w:vAlign w:val="center"/>
                </w:tcPr>
                <w:p w14:paraId="77E2F5E7">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达标</w:t>
                  </w:r>
                </w:p>
              </w:tc>
              <w:tc>
                <w:tcPr>
                  <w:tcW w:w="1234" w:type="pct"/>
                  <w:noWrap w:val="0"/>
                  <w:vAlign w:val="center"/>
                </w:tcPr>
                <w:p w14:paraId="34336747">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达标</w:t>
                  </w:r>
                </w:p>
              </w:tc>
              <w:tc>
                <w:tcPr>
                  <w:tcW w:w="1234" w:type="pct"/>
                  <w:noWrap w:val="0"/>
                  <w:vAlign w:val="center"/>
                </w:tcPr>
                <w:p w14:paraId="7A7B8C59">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达标</w:t>
                  </w:r>
                </w:p>
              </w:tc>
            </w:tr>
          </w:tbl>
          <w:p w14:paraId="327C1C33">
            <w:pPr>
              <w:pStyle w:val="88"/>
              <w:keepNext w:val="0"/>
              <w:keepLines w:val="0"/>
              <w:suppressLineNumbers w:val="0"/>
              <w:snapToGrid w:val="0"/>
              <w:spacing w:before="0" w:beforeAutospacing="0" w:after="0" w:afterAutospacing="0"/>
              <w:ind w:left="0" w:right="0" w:firstLine="480"/>
              <w:rPr>
                <w:rFonts w:hint="default"/>
                <w:color w:val="auto"/>
              </w:rPr>
            </w:pPr>
            <w:r>
              <w:rPr>
                <w:rFonts w:hint="default"/>
                <w:color w:val="auto"/>
              </w:rPr>
              <w:t>根据监测结果表明，</w:t>
            </w:r>
            <w:r>
              <w:rPr>
                <w:rFonts w:hint="eastAsia"/>
                <w:color w:val="auto"/>
                <w:lang w:eastAsia="zh-CN"/>
              </w:rPr>
              <w:t>有组织颗粒物排放</w:t>
            </w:r>
            <w:r>
              <w:rPr>
                <w:rFonts w:hint="default"/>
                <w:color w:val="auto"/>
              </w:rPr>
              <w:t>浓度能达到</w:t>
            </w:r>
            <w:r>
              <w:rPr>
                <w:rFonts w:hint="eastAsia"/>
                <w:color w:val="auto"/>
                <w:lang w:val="en-US" w:eastAsia="zh-CN"/>
              </w:rPr>
              <w:t xml:space="preserve">《大气污染物综合排放标准》表 </w:t>
            </w:r>
            <w:r>
              <w:rPr>
                <w:rFonts w:hint="default"/>
                <w:color w:val="auto"/>
                <w:lang w:val="en-US" w:eastAsia="zh-CN"/>
              </w:rPr>
              <w:t xml:space="preserve">2 </w:t>
            </w:r>
            <w:r>
              <w:rPr>
                <w:rFonts w:hint="eastAsia"/>
                <w:color w:val="auto"/>
                <w:lang w:val="en-US" w:eastAsia="zh-CN"/>
              </w:rPr>
              <w:t>二级标准，</w:t>
            </w:r>
            <w:r>
              <w:rPr>
                <w:rFonts w:hint="default"/>
                <w:color w:val="auto"/>
              </w:rPr>
              <w:t>排放速率能达到《排污许可证》（</w:t>
            </w:r>
            <w:r>
              <w:rPr>
                <w:rFonts w:hint="eastAsia"/>
                <w:color w:val="auto"/>
                <w:sz w:val="24"/>
                <w:lang w:val="en-US" w:eastAsia="zh-CN"/>
              </w:rPr>
              <w:t>915301000642951353001Q</w:t>
            </w:r>
            <w:r>
              <w:rPr>
                <w:rFonts w:hint="default"/>
                <w:color w:val="auto"/>
              </w:rPr>
              <w:t>）中许可排放速率限值要求。</w:t>
            </w:r>
          </w:p>
          <w:p w14:paraId="43AB1F25">
            <w:pPr>
              <w:keepNext w:val="0"/>
              <w:keepLines w:val="0"/>
              <w:suppressLineNumbers w:val="0"/>
              <w:snapToGrid w:val="0"/>
              <w:spacing w:before="0" w:beforeAutospacing="0" w:after="0" w:afterAutospacing="0" w:line="360" w:lineRule="auto"/>
              <w:ind w:left="0" w:right="0" w:firstLine="482" w:firstLineChars="200"/>
              <w:rPr>
                <w:rFonts w:hint="default"/>
                <w:b/>
                <w:bCs/>
                <w:color w:val="auto"/>
                <w:sz w:val="24"/>
              </w:rPr>
            </w:pPr>
            <w:r>
              <w:rPr>
                <w:rFonts w:hint="eastAsia"/>
                <w:b/>
                <w:bCs/>
                <w:color w:val="auto"/>
                <w:sz w:val="24"/>
                <w:lang w:eastAsia="zh-CN"/>
              </w:rPr>
              <w:t>②</w:t>
            </w:r>
            <w:r>
              <w:rPr>
                <w:rFonts w:hint="eastAsia"/>
                <w:b/>
                <w:bCs/>
                <w:color w:val="auto"/>
                <w:sz w:val="24"/>
                <w:lang w:val="en-US" w:eastAsia="zh-CN"/>
              </w:rPr>
              <w:t>食堂油烟</w:t>
            </w:r>
          </w:p>
          <w:p w14:paraId="1A90A261">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项目设有员工食堂，食堂使用电作为能源；烹饪时产生的油烟经油烟净化器处理后外排。</w:t>
            </w:r>
            <w:r>
              <w:rPr>
                <w:rFonts w:hint="eastAsia" w:cs="Times New Roman"/>
                <w:color w:val="auto"/>
                <w:sz w:val="24"/>
                <w:lang w:val="en-US" w:eastAsia="zh-CN"/>
              </w:rPr>
              <w:t>云南环绿环境检测技术有限公司2022年12月23日-12月25日对项目油烟排放口进行了检测，检测报告编号为（HL20221216004），根据检测报告显示，原项目食堂油烟满足</w:t>
            </w:r>
            <w:r>
              <w:rPr>
                <w:rFonts w:hint="default" w:ascii="Times New Roman" w:hAnsi="Times New Roman" w:eastAsia="宋体" w:cs="Times New Roman"/>
                <w:color w:val="auto"/>
                <w:sz w:val="24"/>
              </w:rPr>
              <w:t>《饮食业油烟排放标准》（GB18483-2001）小型标准</w:t>
            </w:r>
            <w:r>
              <w:rPr>
                <w:rFonts w:hint="eastAsia" w:cs="Times New Roman"/>
                <w:color w:val="auto"/>
                <w:sz w:val="24"/>
                <w:lang w:eastAsia="zh-CN"/>
              </w:rPr>
              <w:t>，即：油烟最高允许排放浓度≤</w:t>
            </w:r>
            <w:r>
              <w:rPr>
                <w:rFonts w:hint="eastAsia" w:cs="Times New Roman"/>
                <w:color w:val="auto"/>
                <w:sz w:val="24"/>
                <w:lang w:val="en-US" w:eastAsia="zh-CN"/>
              </w:rPr>
              <w:t>2.0mg/</w:t>
            </w:r>
            <w:r>
              <w:rPr>
                <w:rFonts w:hint="default" w:ascii="Times New Roman" w:hAnsi="Times New Roman" w:eastAsia="宋体" w:cs="Times New Roman"/>
                <w:b w:val="0"/>
                <w:bCs w:val="0"/>
                <w:color w:val="auto"/>
                <w:kern w:val="2"/>
                <w:sz w:val="24"/>
                <w:szCs w:val="24"/>
              </w:rPr>
              <w:t>m</w:t>
            </w:r>
            <w:r>
              <w:rPr>
                <w:rFonts w:hint="default" w:ascii="Times New Roman" w:hAnsi="Times New Roman" w:eastAsia="宋体" w:cs="Times New Roman"/>
                <w:b w:val="0"/>
                <w:bCs w:val="0"/>
                <w:color w:val="auto"/>
                <w:kern w:val="2"/>
                <w:sz w:val="24"/>
                <w:szCs w:val="24"/>
                <w:vertAlign w:val="superscript"/>
              </w:rPr>
              <w:t>3</w:t>
            </w:r>
            <w:r>
              <w:rPr>
                <w:rFonts w:hint="eastAsia" w:cs="Times New Roman"/>
                <w:color w:val="auto"/>
                <w:sz w:val="24"/>
                <w:lang w:val="en-US" w:eastAsia="zh-CN"/>
              </w:rPr>
              <w:t>。</w:t>
            </w:r>
          </w:p>
          <w:p w14:paraId="39DA95E1">
            <w:pPr>
              <w:keepNext w:val="0"/>
              <w:keepLines w:val="0"/>
              <w:suppressLineNumbers w:val="0"/>
              <w:snapToGrid w:val="0"/>
              <w:spacing w:before="0" w:beforeAutospacing="0" w:after="0" w:afterAutospacing="0" w:line="360" w:lineRule="auto"/>
              <w:ind w:left="0" w:right="0" w:firstLine="482" w:firstLineChars="200"/>
              <w:rPr>
                <w:rFonts w:hint="default"/>
                <w:b/>
                <w:bCs/>
                <w:color w:val="auto"/>
                <w:sz w:val="24"/>
              </w:rPr>
            </w:pPr>
            <w:r>
              <w:rPr>
                <w:rFonts w:hint="default"/>
                <w:b/>
                <w:bCs/>
                <w:color w:val="auto"/>
                <w:sz w:val="24"/>
              </w:rPr>
              <w:t>2）无组织废气</w:t>
            </w:r>
          </w:p>
          <w:p w14:paraId="6B58C7F6">
            <w:pPr>
              <w:keepNext w:val="0"/>
              <w:keepLines w:val="0"/>
              <w:suppressLineNumbers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①</w:t>
            </w:r>
            <w:r>
              <w:rPr>
                <w:rFonts w:hint="eastAsia" w:ascii="Times New Roman" w:hAnsi="Times New Roman" w:eastAsia="宋体" w:cs="Times New Roman"/>
                <w:b/>
                <w:bCs/>
                <w:color w:val="auto"/>
                <w:sz w:val="24"/>
                <w:lang w:val="en-US" w:eastAsia="zh-CN"/>
              </w:rPr>
              <w:t>乳胶漆</w:t>
            </w:r>
            <w:r>
              <w:rPr>
                <w:rFonts w:hint="eastAsia" w:cs="Times New Roman"/>
                <w:b/>
                <w:bCs/>
                <w:color w:val="auto"/>
                <w:sz w:val="24"/>
                <w:lang w:val="en-US" w:eastAsia="zh-CN"/>
              </w:rPr>
              <w:t>生产线</w:t>
            </w:r>
            <w:r>
              <w:rPr>
                <w:rFonts w:hint="eastAsia" w:ascii="Times New Roman" w:hAnsi="Times New Roman" w:eastAsia="宋体" w:cs="Times New Roman"/>
                <w:b/>
                <w:bCs/>
                <w:color w:val="auto"/>
                <w:sz w:val="24"/>
                <w:lang w:val="en-US" w:eastAsia="zh-CN"/>
              </w:rPr>
              <w:t xml:space="preserve">废气 </w:t>
            </w:r>
          </w:p>
          <w:p w14:paraId="51D9D077">
            <w:pPr>
              <w:keepNext w:val="0"/>
              <w:keepLines w:val="0"/>
              <w:suppressLineNumbers w:val="0"/>
              <w:snapToGrid w:val="0"/>
              <w:spacing w:before="0" w:beforeAutospacing="0" w:after="0" w:afterAutospacing="0" w:line="360" w:lineRule="auto"/>
              <w:ind w:left="0" w:right="0" w:firstLine="480" w:firstLineChars="200"/>
              <w:rPr>
                <w:rFonts w:hint="eastAsia"/>
                <w:color w:val="auto"/>
                <w:sz w:val="24"/>
                <w:lang w:val="en-US" w:eastAsia="zh-CN"/>
              </w:rPr>
            </w:pPr>
            <w:r>
              <w:rPr>
                <w:rFonts w:hint="eastAsia"/>
                <w:color w:val="auto"/>
                <w:sz w:val="24"/>
                <w:lang w:val="en-US" w:eastAsia="zh-CN"/>
              </w:rPr>
              <w:t>乳胶漆生产线生产设备及运行都是在密闭的罐中进行的，原料碳酸钙，高岭土和钛白粉由罐车运送到厂里，直接打入储罐，然后管道输送入生产罐；乳胶漆生产线有六个储料罐，为了控制投料口粉尘的产生及排放，在车间内修建一个专门的投料间，投料间为三面封闭，顶部封闭，投料口设置于该间中，并在投料口上方设有1个面积约为</w:t>
            </w:r>
            <w:r>
              <w:rPr>
                <w:rFonts w:hint="default"/>
                <w:color w:val="auto"/>
                <w:sz w:val="24"/>
                <w:lang w:val="en-US" w:eastAsia="zh-CN"/>
              </w:rPr>
              <w:t>0.5m</w:t>
            </w:r>
            <w:r>
              <w:rPr>
                <w:rFonts w:hint="eastAsia"/>
                <w:color w:val="auto"/>
                <w:sz w:val="24"/>
                <w:lang w:val="en-US" w:eastAsia="zh-CN"/>
              </w:rPr>
              <w:t>³的一个抽风口，抽风口产生的粉尘经布袋除尘器处理后在车间自然沉降；每个粉料储罐顶部设置布袋除尘器，粉尘经处理后无组织排放。</w:t>
            </w:r>
          </w:p>
          <w:p w14:paraId="7458C3B1">
            <w:pPr>
              <w:keepNext w:val="0"/>
              <w:keepLines w:val="0"/>
              <w:suppressLineNumbers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②砂壁投料口</w:t>
            </w:r>
            <w:r>
              <w:rPr>
                <w:rFonts w:hint="eastAsia" w:cs="Times New Roman"/>
                <w:b/>
                <w:bCs/>
                <w:color w:val="auto"/>
                <w:sz w:val="24"/>
                <w:lang w:val="en-US" w:eastAsia="zh-CN"/>
              </w:rPr>
              <w:t>粉尘</w:t>
            </w:r>
          </w:p>
          <w:p w14:paraId="7818DC88">
            <w:pPr>
              <w:keepNext w:val="0"/>
              <w:keepLines w:val="0"/>
              <w:suppressLineNumbers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b w:val="0"/>
                <w:bCs w:val="0"/>
                <w:color w:val="auto"/>
                <w:sz w:val="24"/>
                <w:lang w:val="en-US" w:eastAsia="zh-CN"/>
              </w:rPr>
              <w:t>砂壁产品生产线与乳胶生产线的投料装置是相同的，砂壁投料间</w:t>
            </w:r>
            <w:r>
              <w:rPr>
                <w:rFonts w:hint="eastAsia" w:ascii="Times New Roman" w:hAnsi="Times New Roman" w:eastAsia="宋体" w:cs="Times New Roman"/>
                <w:color w:val="auto"/>
                <w:sz w:val="24"/>
                <w:lang w:val="en-US" w:eastAsia="zh-CN"/>
              </w:rPr>
              <w:t>投料口</w:t>
            </w:r>
            <w:r>
              <w:rPr>
                <w:rFonts w:hint="eastAsia" w:cs="Times New Roman"/>
                <w:color w:val="auto"/>
                <w:sz w:val="24"/>
                <w:lang w:val="en-US" w:eastAsia="zh-CN"/>
              </w:rPr>
              <w:t>设置</w:t>
            </w:r>
            <w:r>
              <w:rPr>
                <w:rFonts w:hint="eastAsia" w:ascii="Times New Roman" w:hAnsi="Times New Roman" w:eastAsia="宋体" w:cs="Times New Roman"/>
                <w:color w:val="auto"/>
                <w:sz w:val="24"/>
                <w:lang w:val="en-US" w:eastAsia="zh-CN"/>
              </w:rPr>
              <w:t>单独的抽风式除尘装置，投料间为三面封闭，顶部封闭，投料口设置于该间中，并在投料口上方设置有了个面积约为</w:t>
            </w:r>
            <w:r>
              <w:rPr>
                <w:rFonts w:hint="default" w:ascii="Times New Roman" w:hAnsi="Times New Roman" w:eastAsia="宋体" w:cs="Times New Roman"/>
                <w:color w:val="auto"/>
                <w:sz w:val="24"/>
                <w:lang w:val="en-US" w:eastAsia="zh-CN"/>
              </w:rPr>
              <w:t>0.5m</w:t>
            </w:r>
            <w:r>
              <w:rPr>
                <w:rFonts w:hint="eastAsia" w:ascii="Times New Roman" w:hAnsi="Times New Roman" w:eastAsia="宋体" w:cs="Times New Roman"/>
                <w:color w:val="auto"/>
                <w:sz w:val="24"/>
                <w:lang w:val="en-US" w:eastAsia="zh-CN"/>
              </w:rPr>
              <w:t>³*</w:t>
            </w:r>
            <w:r>
              <w:rPr>
                <w:rFonts w:hint="default" w:ascii="Times New Roman" w:hAnsi="Times New Roman" w:eastAsia="宋体" w:cs="Times New Roman"/>
                <w:color w:val="auto"/>
                <w:sz w:val="24"/>
                <w:lang w:val="en-US" w:eastAsia="zh-CN"/>
              </w:rPr>
              <w:t>0.5m</w:t>
            </w:r>
            <w:r>
              <w:rPr>
                <w:rFonts w:hint="eastAsia" w:ascii="Times New Roman" w:hAnsi="Times New Roman" w:eastAsia="宋体" w:cs="Times New Roman"/>
                <w:color w:val="auto"/>
                <w:sz w:val="24"/>
                <w:lang w:val="en-US" w:eastAsia="zh-CN"/>
              </w:rPr>
              <w:t>的一个抽风口，将投料口上方产生的粉尘抽至一套布袋除尘装置进行处理，后在车间内呈无组织排放。</w:t>
            </w:r>
          </w:p>
          <w:p w14:paraId="3D1A1095">
            <w:pPr>
              <w:keepNext w:val="0"/>
              <w:keepLines w:val="0"/>
              <w:suppressLineNumbers w:val="0"/>
              <w:snapToGrid w:val="0"/>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③污水处理系统恶臭</w:t>
            </w:r>
          </w:p>
          <w:p w14:paraId="3C44D9D3">
            <w:pPr>
              <w:keepNext w:val="0"/>
              <w:keepLines w:val="0"/>
              <w:suppressLineNumbers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lang w:val="en-US" w:eastAsia="zh-CN"/>
              </w:rPr>
              <w:t>污水处理系统恶臭呈无组织排放，经大气稀释扩散后对外环境影响小。</w:t>
            </w:r>
          </w:p>
          <w:p w14:paraId="6A86571E">
            <w:pPr>
              <w:keepNext w:val="0"/>
              <w:keepLines w:val="0"/>
              <w:suppressLineNumbers w:val="0"/>
              <w:snapToGrid w:val="0"/>
              <w:spacing w:before="0" w:beforeAutospacing="0" w:after="0" w:afterAutospacing="0" w:line="360" w:lineRule="auto"/>
              <w:ind w:left="0" w:right="0" w:firstLine="480" w:firstLineChars="200"/>
              <w:rPr>
                <w:rFonts w:hint="default"/>
                <w:color w:val="auto"/>
                <w:sz w:val="24"/>
              </w:rPr>
            </w:pPr>
            <w:r>
              <w:rPr>
                <w:rFonts w:hint="eastAsia"/>
                <w:color w:val="auto"/>
                <w:sz w:val="24"/>
                <w:lang w:val="en-US" w:eastAsia="zh-CN"/>
              </w:rPr>
              <w:t>根据原项目2022年第四季度自行监测报告，</w:t>
            </w:r>
            <w:r>
              <w:rPr>
                <w:rFonts w:hint="eastAsia"/>
                <w:color w:val="auto"/>
                <w:sz w:val="24"/>
                <w:lang w:eastAsia="zh-CN"/>
              </w:rPr>
              <w:t>无组织废气</w:t>
            </w:r>
            <w:r>
              <w:rPr>
                <w:rFonts w:hint="default"/>
                <w:color w:val="auto"/>
                <w:sz w:val="24"/>
              </w:rPr>
              <w:t>检测结果见表</w:t>
            </w:r>
            <w:r>
              <w:rPr>
                <w:rFonts w:hint="eastAsia"/>
                <w:color w:val="auto"/>
                <w:sz w:val="24"/>
                <w:lang w:val="en-US" w:eastAsia="zh-CN"/>
              </w:rPr>
              <w:t>2-24</w:t>
            </w:r>
            <w:r>
              <w:rPr>
                <w:rFonts w:hint="default"/>
                <w:color w:val="auto"/>
                <w:sz w:val="24"/>
              </w:rPr>
              <w:t>。</w:t>
            </w:r>
          </w:p>
          <w:p w14:paraId="196E8E1E">
            <w:pPr>
              <w:keepNext w:val="0"/>
              <w:keepLines w:val="0"/>
              <w:suppressLineNumbers w:val="0"/>
              <w:spacing w:before="0" w:beforeAutospacing="0" w:after="0" w:afterAutospacing="0"/>
              <w:ind w:left="0" w:right="0"/>
              <w:jc w:val="center"/>
              <w:rPr>
                <w:rFonts w:hint="default"/>
                <w:color w:val="auto"/>
                <w:sz w:val="24"/>
                <w:szCs w:val="21"/>
              </w:rPr>
            </w:pPr>
            <w:r>
              <w:rPr>
                <w:rFonts w:hint="default"/>
                <w:b/>
                <w:color w:val="auto"/>
                <w:szCs w:val="21"/>
              </w:rPr>
              <w:t>表</w:t>
            </w:r>
            <w:r>
              <w:rPr>
                <w:rFonts w:hint="eastAsia"/>
                <w:b/>
                <w:color w:val="auto"/>
                <w:szCs w:val="21"/>
                <w:lang w:val="en-US" w:eastAsia="zh-CN"/>
              </w:rPr>
              <w:t>2-24</w:t>
            </w:r>
            <w:r>
              <w:rPr>
                <w:rFonts w:hint="default"/>
                <w:b/>
                <w:color w:val="auto"/>
                <w:szCs w:val="21"/>
              </w:rPr>
              <w:t xml:space="preserve">  无组织废气监测结果  （臭气浓度无量纲，其余mg/m</w:t>
            </w:r>
            <w:r>
              <w:rPr>
                <w:rFonts w:hint="default"/>
                <w:b/>
                <w:color w:val="auto"/>
                <w:szCs w:val="21"/>
                <w:vertAlign w:val="superscript"/>
              </w:rPr>
              <w:t>3</w:t>
            </w:r>
            <w:r>
              <w:rPr>
                <w:rFonts w:hint="default"/>
                <w:b/>
                <w:color w:val="auto"/>
                <w:szCs w:val="21"/>
              </w:rPr>
              <w:t>）</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1356"/>
              <w:gridCol w:w="1037"/>
              <w:gridCol w:w="1037"/>
              <w:gridCol w:w="1037"/>
              <w:gridCol w:w="1041"/>
              <w:gridCol w:w="1039"/>
              <w:gridCol w:w="1039"/>
            </w:tblGrid>
            <w:tr w14:paraId="6B863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71" w:type="pct"/>
                  <w:vMerge w:val="restart"/>
                  <w:noWrap w:val="0"/>
                  <w:vAlign w:val="center"/>
                </w:tcPr>
                <w:p w14:paraId="2E34C80F">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检测项目</w:t>
                  </w:r>
                </w:p>
              </w:tc>
              <w:tc>
                <w:tcPr>
                  <w:tcW w:w="809" w:type="pct"/>
                  <w:vMerge w:val="restart"/>
                  <w:noWrap w:val="0"/>
                  <w:vAlign w:val="center"/>
                </w:tcPr>
                <w:p w14:paraId="08F7758F">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日期</w:t>
                  </w:r>
                </w:p>
              </w:tc>
              <w:tc>
                <w:tcPr>
                  <w:tcW w:w="2478" w:type="pct"/>
                  <w:gridSpan w:val="4"/>
                  <w:noWrap w:val="0"/>
                  <w:vAlign w:val="center"/>
                </w:tcPr>
                <w:p w14:paraId="11711ABF">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检测结果</w:t>
                  </w:r>
                </w:p>
              </w:tc>
              <w:tc>
                <w:tcPr>
                  <w:tcW w:w="620" w:type="pct"/>
                  <w:vMerge w:val="restart"/>
                  <w:noWrap w:val="0"/>
                  <w:vAlign w:val="center"/>
                </w:tcPr>
                <w:p w14:paraId="6B46B72B">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标准限值</w:t>
                  </w:r>
                </w:p>
              </w:tc>
              <w:tc>
                <w:tcPr>
                  <w:tcW w:w="620" w:type="pct"/>
                  <w:vMerge w:val="restart"/>
                  <w:noWrap w:val="0"/>
                  <w:vAlign w:val="center"/>
                </w:tcPr>
                <w:p w14:paraId="57E4FAC0">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达标情况</w:t>
                  </w:r>
                </w:p>
              </w:tc>
            </w:tr>
            <w:tr w14:paraId="0853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71" w:type="pct"/>
                  <w:vMerge w:val="continue"/>
                  <w:noWrap w:val="0"/>
                  <w:vAlign w:val="center"/>
                </w:tcPr>
                <w:p w14:paraId="5473D35D">
                  <w:pPr>
                    <w:keepNext w:val="0"/>
                    <w:keepLines w:val="0"/>
                    <w:suppressLineNumbers w:val="0"/>
                    <w:snapToGrid w:val="0"/>
                    <w:spacing w:before="0" w:beforeAutospacing="0" w:after="0" w:afterAutospacing="0"/>
                    <w:ind w:left="0" w:right="0"/>
                    <w:jc w:val="center"/>
                    <w:rPr>
                      <w:rFonts w:hint="default"/>
                      <w:color w:val="auto"/>
                    </w:rPr>
                  </w:pPr>
                </w:p>
              </w:tc>
              <w:tc>
                <w:tcPr>
                  <w:tcW w:w="809" w:type="pct"/>
                  <w:vMerge w:val="continue"/>
                  <w:noWrap w:val="0"/>
                  <w:vAlign w:val="center"/>
                </w:tcPr>
                <w:p w14:paraId="78D70AF5">
                  <w:pPr>
                    <w:keepNext w:val="0"/>
                    <w:keepLines w:val="0"/>
                    <w:suppressLineNumbers w:val="0"/>
                    <w:snapToGrid w:val="0"/>
                    <w:spacing w:before="0" w:beforeAutospacing="0" w:after="0" w:afterAutospacing="0"/>
                    <w:ind w:left="0" w:right="0"/>
                    <w:jc w:val="center"/>
                    <w:rPr>
                      <w:rFonts w:hint="default"/>
                      <w:color w:val="auto"/>
                    </w:rPr>
                  </w:pPr>
                </w:p>
              </w:tc>
              <w:tc>
                <w:tcPr>
                  <w:tcW w:w="619" w:type="pct"/>
                  <w:noWrap w:val="0"/>
                  <w:vAlign w:val="center"/>
                </w:tcPr>
                <w:p w14:paraId="4140E6CD">
                  <w:pPr>
                    <w:keepNext w:val="0"/>
                    <w:keepLines w:val="0"/>
                    <w:suppressLineNumbers w:val="0"/>
                    <w:snapToGrid w:val="0"/>
                    <w:spacing w:before="0" w:beforeAutospacing="0" w:after="0" w:afterAutospacing="0"/>
                    <w:ind w:left="0" w:right="0"/>
                    <w:jc w:val="center"/>
                    <w:rPr>
                      <w:rFonts w:hint="eastAsia" w:eastAsia="宋体"/>
                      <w:color w:val="auto"/>
                      <w:szCs w:val="21"/>
                      <w:lang w:eastAsia="zh-CN"/>
                    </w:rPr>
                  </w:pPr>
                  <w:r>
                    <w:rPr>
                      <w:rFonts w:hint="default"/>
                      <w:color w:val="auto"/>
                      <w:szCs w:val="21"/>
                    </w:rPr>
                    <w:t>上风向</w:t>
                  </w:r>
                  <w:r>
                    <w:rPr>
                      <w:rFonts w:hint="eastAsia"/>
                      <w:color w:val="auto"/>
                      <w:szCs w:val="21"/>
                      <w:lang w:val="en-US" w:eastAsia="zh-CN"/>
                    </w:rPr>
                    <w:t>1</w:t>
                  </w:r>
                </w:p>
              </w:tc>
              <w:tc>
                <w:tcPr>
                  <w:tcW w:w="619" w:type="pct"/>
                  <w:noWrap w:val="0"/>
                  <w:vAlign w:val="center"/>
                </w:tcPr>
                <w:p w14:paraId="114300E7">
                  <w:pPr>
                    <w:keepNext w:val="0"/>
                    <w:keepLines w:val="0"/>
                    <w:suppressLineNumbers w:val="0"/>
                    <w:snapToGrid w:val="0"/>
                    <w:spacing w:before="0" w:beforeAutospacing="0" w:after="0" w:afterAutospacing="0"/>
                    <w:ind w:left="0" w:right="0"/>
                    <w:jc w:val="center"/>
                    <w:rPr>
                      <w:rFonts w:hint="eastAsia" w:eastAsia="宋体"/>
                      <w:color w:val="auto"/>
                      <w:szCs w:val="21"/>
                      <w:lang w:eastAsia="zh-CN"/>
                    </w:rPr>
                  </w:pPr>
                  <w:r>
                    <w:rPr>
                      <w:rFonts w:hint="default"/>
                      <w:color w:val="auto"/>
                      <w:szCs w:val="21"/>
                    </w:rPr>
                    <w:t>下风向</w:t>
                  </w:r>
                  <w:r>
                    <w:rPr>
                      <w:rFonts w:hint="eastAsia"/>
                      <w:color w:val="auto"/>
                      <w:szCs w:val="21"/>
                      <w:lang w:val="en-US" w:eastAsia="zh-CN"/>
                    </w:rPr>
                    <w:t>2</w:t>
                  </w:r>
                </w:p>
              </w:tc>
              <w:tc>
                <w:tcPr>
                  <w:tcW w:w="619" w:type="pct"/>
                  <w:noWrap w:val="0"/>
                  <w:vAlign w:val="center"/>
                </w:tcPr>
                <w:p w14:paraId="32E6C2D3">
                  <w:pPr>
                    <w:keepNext w:val="0"/>
                    <w:keepLines w:val="0"/>
                    <w:suppressLineNumbers w:val="0"/>
                    <w:snapToGrid w:val="0"/>
                    <w:spacing w:before="0" w:beforeAutospacing="0" w:after="0" w:afterAutospacing="0"/>
                    <w:ind w:left="0" w:right="0"/>
                    <w:jc w:val="center"/>
                    <w:rPr>
                      <w:rFonts w:hint="eastAsia" w:eastAsia="宋体"/>
                      <w:color w:val="auto"/>
                      <w:szCs w:val="21"/>
                      <w:lang w:eastAsia="zh-CN"/>
                    </w:rPr>
                  </w:pPr>
                  <w:r>
                    <w:rPr>
                      <w:rFonts w:hint="default"/>
                      <w:color w:val="auto"/>
                      <w:szCs w:val="21"/>
                    </w:rPr>
                    <w:t>下风向</w:t>
                  </w:r>
                  <w:r>
                    <w:rPr>
                      <w:rFonts w:hint="eastAsia"/>
                      <w:color w:val="auto"/>
                      <w:szCs w:val="21"/>
                      <w:lang w:val="en-US" w:eastAsia="zh-CN"/>
                    </w:rPr>
                    <w:t>3</w:t>
                  </w:r>
                </w:p>
              </w:tc>
              <w:tc>
                <w:tcPr>
                  <w:tcW w:w="619" w:type="pct"/>
                  <w:noWrap w:val="0"/>
                  <w:vAlign w:val="center"/>
                </w:tcPr>
                <w:p w14:paraId="7BC4E584">
                  <w:pPr>
                    <w:keepNext w:val="0"/>
                    <w:keepLines w:val="0"/>
                    <w:suppressLineNumbers w:val="0"/>
                    <w:snapToGrid w:val="0"/>
                    <w:spacing w:before="0" w:beforeAutospacing="0" w:after="0" w:afterAutospacing="0"/>
                    <w:ind w:left="0" w:right="0"/>
                    <w:jc w:val="center"/>
                    <w:rPr>
                      <w:rFonts w:hint="eastAsia" w:eastAsia="宋体"/>
                      <w:color w:val="auto"/>
                      <w:szCs w:val="21"/>
                      <w:lang w:eastAsia="zh-CN"/>
                    </w:rPr>
                  </w:pPr>
                  <w:r>
                    <w:rPr>
                      <w:rFonts w:hint="default"/>
                      <w:color w:val="auto"/>
                      <w:szCs w:val="21"/>
                    </w:rPr>
                    <w:t>下风向</w:t>
                  </w:r>
                  <w:r>
                    <w:rPr>
                      <w:rFonts w:hint="eastAsia"/>
                      <w:color w:val="auto"/>
                      <w:szCs w:val="21"/>
                      <w:lang w:val="en-US" w:eastAsia="zh-CN"/>
                    </w:rPr>
                    <w:t>4</w:t>
                  </w:r>
                </w:p>
              </w:tc>
              <w:tc>
                <w:tcPr>
                  <w:tcW w:w="620" w:type="pct"/>
                  <w:vMerge w:val="continue"/>
                  <w:noWrap w:val="0"/>
                  <w:vAlign w:val="center"/>
                </w:tcPr>
                <w:p w14:paraId="6EFB3303">
                  <w:pPr>
                    <w:keepNext w:val="0"/>
                    <w:keepLines w:val="0"/>
                    <w:suppressLineNumbers w:val="0"/>
                    <w:snapToGrid w:val="0"/>
                    <w:spacing w:before="0" w:beforeAutospacing="0" w:after="0" w:afterAutospacing="0"/>
                    <w:ind w:left="0" w:right="0"/>
                    <w:jc w:val="center"/>
                    <w:rPr>
                      <w:rFonts w:hint="default"/>
                      <w:color w:val="auto"/>
                      <w:szCs w:val="21"/>
                    </w:rPr>
                  </w:pPr>
                </w:p>
              </w:tc>
              <w:tc>
                <w:tcPr>
                  <w:tcW w:w="620" w:type="pct"/>
                  <w:vMerge w:val="continue"/>
                  <w:noWrap w:val="0"/>
                  <w:vAlign w:val="center"/>
                </w:tcPr>
                <w:p w14:paraId="5A904F26">
                  <w:pPr>
                    <w:keepNext w:val="0"/>
                    <w:keepLines w:val="0"/>
                    <w:suppressLineNumbers w:val="0"/>
                    <w:snapToGrid w:val="0"/>
                    <w:spacing w:before="0" w:beforeAutospacing="0" w:after="0" w:afterAutospacing="0"/>
                    <w:ind w:left="0" w:right="0"/>
                    <w:jc w:val="center"/>
                    <w:rPr>
                      <w:rFonts w:hint="default"/>
                      <w:color w:val="auto"/>
                      <w:szCs w:val="21"/>
                    </w:rPr>
                  </w:pPr>
                </w:p>
              </w:tc>
            </w:tr>
            <w:tr w14:paraId="38F70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trPr>
              <w:tc>
                <w:tcPr>
                  <w:tcW w:w="471" w:type="pct"/>
                  <w:vMerge w:val="restart"/>
                  <w:noWrap w:val="0"/>
                  <w:vAlign w:val="center"/>
                </w:tcPr>
                <w:p w14:paraId="35B9009A">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颗粒物</w:t>
                  </w:r>
                </w:p>
              </w:tc>
              <w:tc>
                <w:tcPr>
                  <w:tcW w:w="809" w:type="pct"/>
                  <w:vMerge w:val="restart"/>
                  <w:noWrap w:val="0"/>
                  <w:vAlign w:val="center"/>
                </w:tcPr>
                <w:p w14:paraId="2C678B70">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default"/>
                      <w:color w:val="auto"/>
                      <w:szCs w:val="21"/>
                    </w:rPr>
                    <w:t>202</w:t>
                  </w:r>
                  <w:r>
                    <w:rPr>
                      <w:rFonts w:hint="eastAsia"/>
                      <w:color w:val="auto"/>
                      <w:szCs w:val="21"/>
                      <w:lang w:val="en-US" w:eastAsia="zh-CN"/>
                    </w:rPr>
                    <w:t>2</w:t>
                  </w:r>
                  <w:r>
                    <w:rPr>
                      <w:rFonts w:hint="default"/>
                      <w:color w:val="auto"/>
                      <w:szCs w:val="21"/>
                    </w:rPr>
                    <w:t>.</w:t>
                  </w:r>
                  <w:r>
                    <w:rPr>
                      <w:rFonts w:hint="eastAsia"/>
                      <w:color w:val="auto"/>
                      <w:szCs w:val="21"/>
                      <w:lang w:val="en-US" w:eastAsia="zh-CN"/>
                    </w:rPr>
                    <w:t>12</w:t>
                  </w:r>
                  <w:r>
                    <w:rPr>
                      <w:rFonts w:hint="default"/>
                      <w:color w:val="auto"/>
                      <w:szCs w:val="21"/>
                    </w:rPr>
                    <w:t>.</w:t>
                  </w:r>
                  <w:r>
                    <w:rPr>
                      <w:rFonts w:hint="eastAsia"/>
                      <w:color w:val="auto"/>
                      <w:szCs w:val="21"/>
                      <w:lang w:val="en-US" w:eastAsia="zh-CN"/>
                    </w:rPr>
                    <w:t>23</w:t>
                  </w:r>
                </w:p>
              </w:tc>
              <w:tc>
                <w:tcPr>
                  <w:tcW w:w="619" w:type="pct"/>
                  <w:noWrap w:val="0"/>
                  <w:vAlign w:val="center"/>
                </w:tcPr>
                <w:p w14:paraId="03EE75C9">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0.064</w:t>
                  </w:r>
                </w:p>
              </w:tc>
              <w:tc>
                <w:tcPr>
                  <w:tcW w:w="619" w:type="pct"/>
                  <w:noWrap w:val="0"/>
                  <w:vAlign w:val="center"/>
                </w:tcPr>
                <w:p w14:paraId="33958F03">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0.17</w:t>
                  </w:r>
                </w:p>
              </w:tc>
              <w:tc>
                <w:tcPr>
                  <w:tcW w:w="619" w:type="pct"/>
                  <w:noWrap w:val="0"/>
                  <w:vAlign w:val="center"/>
                </w:tcPr>
                <w:p w14:paraId="410879EB">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0.107</w:t>
                  </w:r>
                </w:p>
              </w:tc>
              <w:tc>
                <w:tcPr>
                  <w:tcW w:w="619" w:type="pct"/>
                  <w:noWrap w:val="0"/>
                  <w:vAlign w:val="center"/>
                </w:tcPr>
                <w:p w14:paraId="284D6E90">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0.192</w:t>
                  </w:r>
                </w:p>
              </w:tc>
              <w:tc>
                <w:tcPr>
                  <w:tcW w:w="620" w:type="pct"/>
                  <w:noWrap w:val="0"/>
                  <w:vAlign w:val="center"/>
                </w:tcPr>
                <w:p w14:paraId="497F5323">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w:t>
                  </w:r>
                </w:p>
              </w:tc>
              <w:tc>
                <w:tcPr>
                  <w:tcW w:w="620" w:type="pct"/>
                  <w:noWrap w:val="0"/>
                  <w:vAlign w:val="center"/>
                </w:tcPr>
                <w:p w14:paraId="2C147A97">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达标</w:t>
                  </w:r>
                </w:p>
              </w:tc>
            </w:tr>
            <w:tr w14:paraId="45B82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1" w:type="pct"/>
                  <w:vMerge w:val="continue"/>
                  <w:noWrap w:val="0"/>
                  <w:vAlign w:val="center"/>
                </w:tcPr>
                <w:p w14:paraId="1A0E7D74">
                  <w:pPr>
                    <w:keepNext w:val="0"/>
                    <w:keepLines w:val="0"/>
                    <w:suppressLineNumbers w:val="0"/>
                    <w:snapToGrid w:val="0"/>
                    <w:spacing w:before="0" w:beforeAutospacing="0" w:after="0" w:afterAutospacing="0"/>
                    <w:ind w:left="0" w:right="0"/>
                    <w:jc w:val="center"/>
                    <w:rPr>
                      <w:rFonts w:hint="default"/>
                      <w:color w:val="auto"/>
                      <w:szCs w:val="21"/>
                    </w:rPr>
                  </w:pPr>
                </w:p>
              </w:tc>
              <w:tc>
                <w:tcPr>
                  <w:tcW w:w="809" w:type="pct"/>
                  <w:vMerge w:val="continue"/>
                  <w:noWrap w:val="0"/>
                  <w:vAlign w:val="center"/>
                </w:tcPr>
                <w:p w14:paraId="63433E6A">
                  <w:pPr>
                    <w:keepNext w:val="0"/>
                    <w:keepLines w:val="0"/>
                    <w:suppressLineNumbers w:val="0"/>
                    <w:snapToGrid w:val="0"/>
                    <w:spacing w:before="0" w:beforeAutospacing="0" w:after="0" w:afterAutospacing="0"/>
                    <w:ind w:left="0" w:right="0"/>
                    <w:jc w:val="center"/>
                    <w:rPr>
                      <w:rFonts w:hint="default"/>
                      <w:color w:val="auto"/>
                      <w:szCs w:val="21"/>
                    </w:rPr>
                  </w:pPr>
                </w:p>
              </w:tc>
              <w:tc>
                <w:tcPr>
                  <w:tcW w:w="619" w:type="pct"/>
                  <w:noWrap w:val="0"/>
                  <w:vAlign w:val="center"/>
                </w:tcPr>
                <w:p w14:paraId="2D257D1D">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0.086</w:t>
                  </w:r>
                </w:p>
              </w:tc>
              <w:tc>
                <w:tcPr>
                  <w:tcW w:w="619" w:type="pct"/>
                  <w:noWrap w:val="0"/>
                  <w:vAlign w:val="center"/>
                </w:tcPr>
                <w:p w14:paraId="70A7C1D9">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0.15</w:t>
                  </w:r>
                </w:p>
              </w:tc>
              <w:tc>
                <w:tcPr>
                  <w:tcW w:w="619" w:type="pct"/>
                  <w:noWrap w:val="0"/>
                  <w:vAlign w:val="center"/>
                </w:tcPr>
                <w:p w14:paraId="6E4F198C">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0.172</w:t>
                  </w:r>
                </w:p>
              </w:tc>
              <w:tc>
                <w:tcPr>
                  <w:tcW w:w="619" w:type="pct"/>
                  <w:noWrap w:val="0"/>
                  <w:vAlign w:val="center"/>
                </w:tcPr>
                <w:p w14:paraId="7B98A405">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0.236</w:t>
                  </w:r>
                </w:p>
              </w:tc>
              <w:tc>
                <w:tcPr>
                  <w:tcW w:w="620" w:type="pct"/>
                  <w:noWrap w:val="0"/>
                  <w:vAlign w:val="center"/>
                </w:tcPr>
                <w:p w14:paraId="682B9FA9">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w:t>
                  </w:r>
                </w:p>
              </w:tc>
              <w:tc>
                <w:tcPr>
                  <w:tcW w:w="620" w:type="pct"/>
                  <w:noWrap w:val="0"/>
                  <w:vAlign w:val="center"/>
                </w:tcPr>
                <w:p w14:paraId="24012F6B">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达标</w:t>
                  </w:r>
                </w:p>
              </w:tc>
            </w:tr>
            <w:tr w14:paraId="3E143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noWrap w:val="0"/>
                  <w:vAlign w:val="center"/>
                </w:tcPr>
                <w:p w14:paraId="0D4474B6">
                  <w:pPr>
                    <w:keepNext w:val="0"/>
                    <w:keepLines w:val="0"/>
                    <w:suppressLineNumbers w:val="0"/>
                    <w:snapToGrid w:val="0"/>
                    <w:spacing w:before="0" w:beforeAutospacing="0" w:after="0" w:afterAutospacing="0"/>
                    <w:ind w:left="0" w:right="0"/>
                    <w:jc w:val="center"/>
                    <w:rPr>
                      <w:rFonts w:hint="default"/>
                      <w:color w:val="auto"/>
                      <w:szCs w:val="21"/>
                    </w:rPr>
                  </w:pPr>
                </w:p>
              </w:tc>
              <w:tc>
                <w:tcPr>
                  <w:tcW w:w="809" w:type="pct"/>
                  <w:vMerge w:val="continue"/>
                  <w:noWrap w:val="0"/>
                  <w:vAlign w:val="center"/>
                </w:tcPr>
                <w:p w14:paraId="7841D4D1">
                  <w:pPr>
                    <w:keepNext w:val="0"/>
                    <w:keepLines w:val="0"/>
                    <w:suppressLineNumbers w:val="0"/>
                    <w:snapToGrid w:val="0"/>
                    <w:spacing w:before="0" w:beforeAutospacing="0" w:after="0" w:afterAutospacing="0"/>
                    <w:ind w:left="0" w:right="0"/>
                    <w:jc w:val="center"/>
                    <w:rPr>
                      <w:rFonts w:hint="default"/>
                      <w:color w:val="auto"/>
                      <w:szCs w:val="21"/>
                    </w:rPr>
                  </w:pPr>
                </w:p>
              </w:tc>
              <w:tc>
                <w:tcPr>
                  <w:tcW w:w="619" w:type="pct"/>
                  <w:noWrap w:val="0"/>
                  <w:vAlign w:val="center"/>
                </w:tcPr>
                <w:p w14:paraId="3C8D2672">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0.065</w:t>
                  </w:r>
                </w:p>
              </w:tc>
              <w:tc>
                <w:tcPr>
                  <w:tcW w:w="619" w:type="pct"/>
                  <w:noWrap w:val="0"/>
                  <w:vAlign w:val="center"/>
                </w:tcPr>
                <w:p w14:paraId="56629C74">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0.131</w:t>
                  </w:r>
                </w:p>
              </w:tc>
              <w:tc>
                <w:tcPr>
                  <w:tcW w:w="619" w:type="pct"/>
                  <w:noWrap w:val="0"/>
                  <w:vAlign w:val="center"/>
                </w:tcPr>
                <w:p w14:paraId="7511F924">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0.131</w:t>
                  </w:r>
                </w:p>
              </w:tc>
              <w:tc>
                <w:tcPr>
                  <w:tcW w:w="619" w:type="pct"/>
                  <w:noWrap w:val="0"/>
                  <w:vAlign w:val="center"/>
                </w:tcPr>
                <w:p w14:paraId="40D243E7">
                  <w:pPr>
                    <w:keepNext w:val="0"/>
                    <w:keepLines w:val="0"/>
                    <w:suppressLineNumbers w:val="0"/>
                    <w:snapToGrid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0.218</w:t>
                  </w:r>
                </w:p>
              </w:tc>
              <w:tc>
                <w:tcPr>
                  <w:tcW w:w="620" w:type="pct"/>
                  <w:noWrap w:val="0"/>
                  <w:vAlign w:val="center"/>
                </w:tcPr>
                <w:p w14:paraId="19D6AB51">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w:t>
                  </w:r>
                </w:p>
              </w:tc>
              <w:tc>
                <w:tcPr>
                  <w:tcW w:w="620" w:type="pct"/>
                  <w:noWrap w:val="0"/>
                  <w:vAlign w:val="center"/>
                </w:tcPr>
                <w:p w14:paraId="109F7B3E">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达标</w:t>
                  </w:r>
                </w:p>
              </w:tc>
            </w:tr>
            <w:tr w14:paraId="1EBD7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1" w:type="pct"/>
                  <w:vMerge w:val="restart"/>
                  <w:noWrap w:val="0"/>
                  <w:vAlign w:val="center"/>
                </w:tcPr>
                <w:p w14:paraId="49EBD0A2">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臭气浓度</w:t>
                  </w:r>
                </w:p>
              </w:tc>
              <w:tc>
                <w:tcPr>
                  <w:tcW w:w="809" w:type="pct"/>
                  <w:vMerge w:val="restart"/>
                  <w:noWrap w:val="0"/>
                  <w:vAlign w:val="center"/>
                </w:tcPr>
                <w:p w14:paraId="57084671">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202</w:t>
                  </w:r>
                  <w:r>
                    <w:rPr>
                      <w:rFonts w:hint="eastAsia"/>
                      <w:color w:val="auto"/>
                      <w:szCs w:val="21"/>
                      <w:lang w:val="en-US" w:eastAsia="zh-CN"/>
                    </w:rPr>
                    <w:t>2</w:t>
                  </w:r>
                  <w:r>
                    <w:rPr>
                      <w:rFonts w:hint="default"/>
                      <w:color w:val="auto"/>
                      <w:szCs w:val="21"/>
                    </w:rPr>
                    <w:t>.</w:t>
                  </w:r>
                  <w:r>
                    <w:rPr>
                      <w:rFonts w:hint="eastAsia"/>
                      <w:color w:val="auto"/>
                      <w:szCs w:val="21"/>
                      <w:lang w:val="en-US" w:eastAsia="zh-CN"/>
                    </w:rPr>
                    <w:t>12</w:t>
                  </w:r>
                  <w:r>
                    <w:rPr>
                      <w:rFonts w:hint="default"/>
                      <w:color w:val="auto"/>
                      <w:szCs w:val="21"/>
                    </w:rPr>
                    <w:t>.</w:t>
                  </w:r>
                  <w:r>
                    <w:rPr>
                      <w:rFonts w:hint="eastAsia"/>
                      <w:color w:val="auto"/>
                      <w:szCs w:val="21"/>
                      <w:lang w:val="en-US" w:eastAsia="zh-CN"/>
                    </w:rPr>
                    <w:t>23</w:t>
                  </w:r>
                </w:p>
              </w:tc>
              <w:tc>
                <w:tcPr>
                  <w:tcW w:w="619" w:type="pct"/>
                  <w:noWrap w:val="0"/>
                  <w:vAlign w:val="center"/>
                </w:tcPr>
                <w:p w14:paraId="6F7631A2">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w:t>
                  </w:r>
                </w:p>
              </w:tc>
              <w:tc>
                <w:tcPr>
                  <w:tcW w:w="619" w:type="pct"/>
                  <w:noWrap w:val="0"/>
                  <w:vAlign w:val="center"/>
                </w:tcPr>
                <w:p w14:paraId="3B0FBC4D">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w:t>
                  </w:r>
                </w:p>
              </w:tc>
              <w:tc>
                <w:tcPr>
                  <w:tcW w:w="619" w:type="pct"/>
                  <w:noWrap w:val="0"/>
                  <w:vAlign w:val="center"/>
                </w:tcPr>
                <w:p w14:paraId="41471874">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w:t>
                  </w:r>
                </w:p>
              </w:tc>
              <w:tc>
                <w:tcPr>
                  <w:tcW w:w="619" w:type="pct"/>
                  <w:noWrap w:val="0"/>
                  <w:vAlign w:val="center"/>
                </w:tcPr>
                <w:p w14:paraId="7AD45CA5">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w:t>
                  </w:r>
                </w:p>
              </w:tc>
              <w:tc>
                <w:tcPr>
                  <w:tcW w:w="620" w:type="pct"/>
                  <w:noWrap w:val="0"/>
                  <w:vAlign w:val="center"/>
                </w:tcPr>
                <w:p w14:paraId="34FF6E67">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20</w:t>
                  </w:r>
                </w:p>
              </w:tc>
              <w:tc>
                <w:tcPr>
                  <w:tcW w:w="620" w:type="pct"/>
                  <w:noWrap w:val="0"/>
                  <w:vAlign w:val="center"/>
                </w:tcPr>
                <w:p w14:paraId="0CC85F39">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达标</w:t>
                  </w:r>
                </w:p>
              </w:tc>
            </w:tr>
            <w:tr w14:paraId="57481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1" w:type="pct"/>
                  <w:vMerge w:val="continue"/>
                  <w:noWrap w:val="0"/>
                  <w:vAlign w:val="center"/>
                </w:tcPr>
                <w:p w14:paraId="52F0F259">
                  <w:pPr>
                    <w:keepNext w:val="0"/>
                    <w:keepLines w:val="0"/>
                    <w:suppressLineNumbers w:val="0"/>
                    <w:snapToGrid w:val="0"/>
                    <w:spacing w:before="0" w:beforeAutospacing="0" w:after="0" w:afterAutospacing="0"/>
                    <w:ind w:left="0" w:right="0"/>
                    <w:jc w:val="center"/>
                    <w:rPr>
                      <w:rFonts w:hint="default"/>
                      <w:color w:val="auto"/>
                      <w:szCs w:val="21"/>
                    </w:rPr>
                  </w:pPr>
                </w:p>
              </w:tc>
              <w:tc>
                <w:tcPr>
                  <w:tcW w:w="809" w:type="pct"/>
                  <w:vMerge w:val="continue"/>
                  <w:noWrap w:val="0"/>
                  <w:vAlign w:val="center"/>
                </w:tcPr>
                <w:p w14:paraId="366C6F48">
                  <w:pPr>
                    <w:keepNext w:val="0"/>
                    <w:keepLines w:val="0"/>
                    <w:suppressLineNumbers w:val="0"/>
                    <w:snapToGrid w:val="0"/>
                    <w:spacing w:before="0" w:beforeAutospacing="0" w:after="0" w:afterAutospacing="0"/>
                    <w:ind w:left="0" w:right="0"/>
                    <w:jc w:val="center"/>
                    <w:rPr>
                      <w:rFonts w:hint="default"/>
                      <w:color w:val="auto"/>
                      <w:szCs w:val="21"/>
                    </w:rPr>
                  </w:pPr>
                </w:p>
              </w:tc>
              <w:tc>
                <w:tcPr>
                  <w:tcW w:w="619" w:type="pct"/>
                  <w:noWrap w:val="0"/>
                  <w:vAlign w:val="center"/>
                </w:tcPr>
                <w:p w14:paraId="3FBB94D6">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w:t>
                  </w:r>
                </w:p>
              </w:tc>
              <w:tc>
                <w:tcPr>
                  <w:tcW w:w="619" w:type="pct"/>
                  <w:noWrap w:val="0"/>
                  <w:vAlign w:val="center"/>
                </w:tcPr>
                <w:p w14:paraId="06931B64">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w:t>
                  </w:r>
                </w:p>
              </w:tc>
              <w:tc>
                <w:tcPr>
                  <w:tcW w:w="619" w:type="pct"/>
                  <w:noWrap w:val="0"/>
                  <w:vAlign w:val="center"/>
                </w:tcPr>
                <w:p w14:paraId="12088A9A">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w:t>
                  </w:r>
                </w:p>
              </w:tc>
              <w:tc>
                <w:tcPr>
                  <w:tcW w:w="619" w:type="pct"/>
                  <w:noWrap w:val="0"/>
                  <w:vAlign w:val="center"/>
                </w:tcPr>
                <w:p w14:paraId="38B6DAE8">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w:t>
                  </w:r>
                </w:p>
              </w:tc>
              <w:tc>
                <w:tcPr>
                  <w:tcW w:w="620" w:type="pct"/>
                  <w:noWrap w:val="0"/>
                  <w:vAlign w:val="center"/>
                </w:tcPr>
                <w:p w14:paraId="5D22E9C5">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20</w:t>
                  </w:r>
                </w:p>
              </w:tc>
              <w:tc>
                <w:tcPr>
                  <w:tcW w:w="620" w:type="pct"/>
                  <w:noWrap w:val="0"/>
                  <w:vAlign w:val="center"/>
                </w:tcPr>
                <w:p w14:paraId="160D87F6">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达标</w:t>
                  </w:r>
                </w:p>
              </w:tc>
            </w:tr>
            <w:tr w14:paraId="74E10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1" w:type="pct"/>
                  <w:vMerge w:val="continue"/>
                  <w:noWrap w:val="0"/>
                  <w:vAlign w:val="center"/>
                </w:tcPr>
                <w:p w14:paraId="6B44878D">
                  <w:pPr>
                    <w:keepNext w:val="0"/>
                    <w:keepLines w:val="0"/>
                    <w:suppressLineNumbers w:val="0"/>
                    <w:snapToGrid w:val="0"/>
                    <w:spacing w:before="0" w:beforeAutospacing="0" w:after="0" w:afterAutospacing="0"/>
                    <w:ind w:left="0" w:right="0"/>
                    <w:jc w:val="center"/>
                    <w:rPr>
                      <w:rFonts w:hint="default"/>
                      <w:color w:val="auto"/>
                      <w:szCs w:val="21"/>
                    </w:rPr>
                  </w:pPr>
                </w:p>
              </w:tc>
              <w:tc>
                <w:tcPr>
                  <w:tcW w:w="809" w:type="pct"/>
                  <w:vMerge w:val="continue"/>
                  <w:noWrap w:val="0"/>
                  <w:vAlign w:val="center"/>
                </w:tcPr>
                <w:p w14:paraId="6DD91EE7">
                  <w:pPr>
                    <w:keepNext w:val="0"/>
                    <w:keepLines w:val="0"/>
                    <w:suppressLineNumbers w:val="0"/>
                    <w:snapToGrid w:val="0"/>
                    <w:spacing w:before="0" w:beforeAutospacing="0" w:after="0" w:afterAutospacing="0"/>
                    <w:ind w:left="0" w:right="0"/>
                    <w:jc w:val="center"/>
                    <w:rPr>
                      <w:rFonts w:hint="default"/>
                      <w:color w:val="auto"/>
                      <w:szCs w:val="21"/>
                    </w:rPr>
                  </w:pPr>
                </w:p>
              </w:tc>
              <w:tc>
                <w:tcPr>
                  <w:tcW w:w="619" w:type="pct"/>
                  <w:noWrap w:val="0"/>
                  <w:vAlign w:val="center"/>
                </w:tcPr>
                <w:p w14:paraId="37BEC9FD">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w:t>
                  </w:r>
                </w:p>
              </w:tc>
              <w:tc>
                <w:tcPr>
                  <w:tcW w:w="619" w:type="pct"/>
                  <w:noWrap w:val="0"/>
                  <w:vAlign w:val="center"/>
                </w:tcPr>
                <w:p w14:paraId="7D1B6067">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w:t>
                  </w:r>
                </w:p>
              </w:tc>
              <w:tc>
                <w:tcPr>
                  <w:tcW w:w="619" w:type="pct"/>
                  <w:noWrap w:val="0"/>
                  <w:vAlign w:val="center"/>
                </w:tcPr>
                <w:p w14:paraId="4072A16D">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w:t>
                  </w:r>
                </w:p>
              </w:tc>
              <w:tc>
                <w:tcPr>
                  <w:tcW w:w="619" w:type="pct"/>
                  <w:noWrap w:val="0"/>
                  <w:vAlign w:val="center"/>
                </w:tcPr>
                <w:p w14:paraId="286B4DAD">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＜10</w:t>
                  </w:r>
                </w:p>
              </w:tc>
              <w:tc>
                <w:tcPr>
                  <w:tcW w:w="620" w:type="pct"/>
                  <w:noWrap w:val="0"/>
                  <w:vAlign w:val="center"/>
                </w:tcPr>
                <w:p w14:paraId="1C4868B3">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20</w:t>
                  </w:r>
                </w:p>
              </w:tc>
              <w:tc>
                <w:tcPr>
                  <w:tcW w:w="620" w:type="pct"/>
                  <w:noWrap w:val="0"/>
                  <w:vAlign w:val="center"/>
                </w:tcPr>
                <w:p w14:paraId="4A175DAC">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达标</w:t>
                  </w:r>
                </w:p>
              </w:tc>
            </w:tr>
          </w:tbl>
          <w:p w14:paraId="0885112A">
            <w:pPr>
              <w:keepNext w:val="0"/>
              <w:keepLines w:val="0"/>
              <w:suppressLineNumbers w:val="0"/>
              <w:spacing w:before="0" w:beforeAutospacing="0" w:after="0" w:afterAutospacing="0" w:line="360" w:lineRule="auto"/>
              <w:ind w:left="0" w:right="0" w:firstLine="480" w:firstLineChars="200"/>
              <w:rPr>
                <w:rFonts w:hint="default"/>
                <w:color w:val="auto"/>
                <w:sz w:val="24"/>
                <w:szCs w:val="21"/>
              </w:rPr>
            </w:pPr>
            <w:r>
              <w:rPr>
                <w:rFonts w:hint="default"/>
                <w:color w:val="auto"/>
                <w:sz w:val="24"/>
                <w:szCs w:val="21"/>
              </w:rPr>
              <w:t>监测结果表明，</w:t>
            </w:r>
            <w:r>
              <w:rPr>
                <w:rFonts w:hint="eastAsia"/>
                <w:color w:val="auto"/>
                <w:sz w:val="24"/>
                <w:szCs w:val="21"/>
              </w:rPr>
              <w:t>企业</w:t>
            </w:r>
            <w:r>
              <w:rPr>
                <w:rFonts w:hint="default"/>
                <w:color w:val="auto"/>
                <w:sz w:val="24"/>
                <w:szCs w:val="21"/>
              </w:rPr>
              <w:t>厂界无组织颗粒物满足《大气污染物综合排放标准》（GB16297--1996 ）表2中无组织排放浓度限值要求</w:t>
            </w:r>
            <w:r>
              <w:rPr>
                <w:rFonts w:hint="eastAsia"/>
                <w:color w:val="auto"/>
                <w:sz w:val="24"/>
                <w:szCs w:val="21"/>
                <w:lang w:eastAsia="zh-CN"/>
              </w:rPr>
              <w:t>；</w:t>
            </w:r>
            <w:r>
              <w:rPr>
                <w:rFonts w:hint="default"/>
                <w:color w:val="auto"/>
                <w:sz w:val="24"/>
                <w:szCs w:val="21"/>
              </w:rPr>
              <w:t>臭气浓度满足《恶臭污染物排放标准》（GB14554-93）</w:t>
            </w:r>
            <w:r>
              <w:rPr>
                <w:rFonts w:hint="eastAsia"/>
                <w:color w:val="auto"/>
                <w:sz w:val="24"/>
                <w:szCs w:val="21"/>
                <w:lang w:eastAsia="zh-CN"/>
              </w:rPr>
              <w:t>中</w:t>
            </w:r>
            <w:r>
              <w:rPr>
                <w:rFonts w:hint="eastAsia" w:ascii="Times New Roman" w:hAnsi="Times New Roman" w:cs="Times New Roman"/>
                <w:color w:val="auto"/>
                <w:sz w:val="24"/>
                <w:szCs w:val="24"/>
                <w:lang w:val="en-US" w:eastAsia="zh-CN"/>
              </w:rPr>
              <w:t>表1</w:t>
            </w:r>
            <w:r>
              <w:rPr>
                <w:rFonts w:hint="eastAsia" w:ascii="Times New Roman" w:hAnsi="Times New Roman" w:cs="Times New Roman"/>
                <w:color w:val="auto"/>
                <w:sz w:val="24"/>
                <w:szCs w:val="24"/>
                <w:lang w:eastAsia="zh-CN"/>
              </w:rPr>
              <w:t>二级标准</w:t>
            </w:r>
            <w:r>
              <w:rPr>
                <w:rFonts w:hint="default"/>
                <w:color w:val="auto"/>
                <w:sz w:val="24"/>
                <w:szCs w:val="21"/>
              </w:rPr>
              <w:t>。</w:t>
            </w:r>
          </w:p>
          <w:p w14:paraId="00BCA4B8">
            <w:pPr>
              <w:pStyle w:val="88"/>
              <w:keepNext w:val="0"/>
              <w:keepLines w:val="0"/>
              <w:suppressLineNumbers w:val="0"/>
              <w:spacing w:before="0" w:beforeAutospacing="0" w:after="0" w:afterAutospacing="0"/>
              <w:ind w:left="0" w:right="0" w:firstLine="482"/>
              <w:rPr>
                <w:rFonts w:hint="eastAsia"/>
                <w:b/>
                <w:color w:val="auto"/>
                <w:lang w:val="en-US" w:eastAsia="zh-CN"/>
              </w:rPr>
            </w:pPr>
            <w:r>
              <w:rPr>
                <w:rFonts w:hint="eastAsia"/>
                <w:b/>
                <w:color w:val="auto"/>
                <w:lang w:val="en-US" w:eastAsia="zh-CN"/>
              </w:rPr>
              <w:t>③挥发性有机废气</w:t>
            </w:r>
          </w:p>
          <w:p w14:paraId="1D84D8E0">
            <w:pPr>
              <w:keepNext w:val="0"/>
              <w:keepLines w:val="0"/>
              <w:suppressLineNumbers w:val="0"/>
              <w:spacing w:before="0" w:beforeAutospacing="0" w:after="0" w:afterAutospacing="0" w:line="360" w:lineRule="auto"/>
              <w:ind w:left="0" w:right="0" w:firstLine="480" w:firstLineChars="200"/>
              <w:rPr>
                <w:rFonts w:hint="default"/>
                <w:color w:val="auto"/>
                <w:sz w:val="24"/>
                <w:szCs w:val="21"/>
                <w:lang w:val="en-US" w:eastAsia="zh-CN"/>
              </w:rPr>
            </w:pPr>
            <w:r>
              <w:rPr>
                <w:rFonts w:hint="eastAsia"/>
                <w:color w:val="auto"/>
                <w:sz w:val="24"/>
                <w:szCs w:val="21"/>
                <w:lang w:val="en-US" w:eastAsia="zh-CN"/>
              </w:rPr>
              <w:t>原项目年产8000t水性涂料，</w:t>
            </w:r>
            <w:r>
              <w:rPr>
                <w:rFonts w:hint="eastAsia" w:cs="Times New Roman"/>
                <w:color w:val="auto"/>
                <w:sz w:val="24"/>
                <w:szCs w:val="24"/>
                <w:lang w:val="en-US" w:eastAsia="zh-CN"/>
              </w:rPr>
              <w:t>参照《立邦新型材料（福建）有限公司年产水性乳胶漆10万吨、真石漆20万吨建设项目竣工环境保护验收监测报告》中有组织废气进口监测值计算</w:t>
            </w:r>
            <w:r>
              <w:rPr>
                <w:rFonts w:hint="eastAsia"/>
                <w:color w:val="auto"/>
                <w:sz w:val="24"/>
                <w:szCs w:val="21"/>
                <w:lang w:val="en-US" w:eastAsia="zh-CN"/>
              </w:rPr>
              <w:t>，原项目挥发性有机废气产生量为0.024t/a，呈无组织排放。</w:t>
            </w:r>
          </w:p>
          <w:p w14:paraId="488EF6D7">
            <w:pPr>
              <w:keepNext w:val="0"/>
              <w:keepLines w:val="0"/>
              <w:widowControl/>
              <w:suppressLineNumbers w:val="0"/>
              <w:adjustRightInd w:val="0"/>
              <w:snapToGrid w:val="0"/>
              <w:spacing w:before="0" w:beforeAutospacing="0" w:after="0" w:afterAutospacing="0" w:line="360" w:lineRule="auto"/>
              <w:ind w:left="0" w:right="0" w:firstLine="480" w:firstLineChars="200"/>
              <w:jc w:val="both"/>
              <w:rPr>
                <w:rFonts w:hint="default" w:eastAsia="宋体"/>
                <w:color w:val="auto"/>
                <w:sz w:val="24"/>
                <w:lang w:val="en-US" w:eastAsia="zh-CN"/>
              </w:rPr>
            </w:pPr>
            <w:r>
              <w:rPr>
                <w:rFonts w:hint="default"/>
                <w:color w:val="auto"/>
                <w:sz w:val="24"/>
              </w:rPr>
              <w:t>根据最新的《排污许可证》（</w:t>
            </w:r>
            <w:r>
              <w:rPr>
                <w:rFonts w:hint="eastAsia"/>
                <w:color w:val="auto"/>
                <w:sz w:val="24"/>
                <w:lang w:val="en-US" w:eastAsia="zh-CN"/>
              </w:rPr>
              <w:t>915301000642951353001Q</w:t>
            </w:r>
            <w:r>
              <w:rPr>
                <w:rFonts w:hint="default"/>
                <w:color w:val="auto"/>
                <w:sz w:val="24"/>
              </w:rPr>
              <w:t>），排污许可证未设置废气总量控制指标</w:t>
            </w:r>
            <w:r>
              <w:rPr>
                <w:rFonts w:hint="eastAsia"/>
                <w:color w:val="auto"/>
                <w:sz w:val="24"/>
                <w:lang w:eastAsia="zh-CN"/>
              </w:rPr>
              <w:t>，</w:t>
            </w:r>
            <w:r>
              <w:rPr>
                <w:rFonts w:hint="eastAsia"/>
                <w:color w:val="auto"/>
                <w:sz w:val="24"/>
                <w:lang w:val="en-US" w:eastAsia="zh-CN"/>
              </w:rPr>
              <w:t>不涉总量控制。</w:t>
            </w:r>
          </w:p>
          <w:p w14:paraId="2FFA7611">
            <w:pPr>
              <w:pStyle w:val="88"/>
              <w:keepNext w:val="0"/>
              <w:keepLines w:val="0"/>
              <w:suppressLineNumbers w:val="0"/>
              <w:spacing w:before="0" w:beforeAutospacing="0" w:after="0" w:afterAutospacing="0"/>
              <w:ind w:left="0" w:right="0" w:firstLine="482"/>
              <w:rPr>
                <w:rFonts w:hint="default"/>
                <w:b/>
                <w:color w:val="auto"/>
              </w:rPr>
            </w:pPr>
            <w:r>
              <w:rPr>
                <w:rFonts w:hint="default"/>
                <w:b/>
                <w:color w:val="auto"/>
              </w:rPr>
              <w:t>（3）噪声</w:t>
            </w:r>
          </w:p>
          <w:p w14:paraId="29CA0FA6">
            <w:pPr>
              <w:keepNext w:val="0"/>
              <w:keepLines w:val="0"/>
              <w:suppressLineNumbers w:val="0"/>
              <w:spacing w:before="0" w:beforeAutospacing="0" w:after="0" w:afterAutospacing="0" w:line="360" w:lineRule="auto"/>
              <w:ind w:left="0" w:right="0" w:firstLine="480" w:firstLineChars="200"/>
              <w:rPr>
                <w:rFonts w:hint="default"/>
                <w:color w:val="auto"/>
                <w:sz w:val="24"/>
                <w:szCs w:val="21"/>
              </w:rPr>
            </w:pPr>
            <w:r>
              <w:rPr>
                <w:rFonts w:hint="eastAsia"/>
                <w:color w:val="auto"/>
                <w:sz w:val="24"/>
                <w:lang w:val="en-US" w:eastAsia="zh-CN"/>
              </w:rPr>
              <w:t>原项目噪声主要为空压机，生产设备等产生的噪声，根据</w:t>
            </w:r>
            <w:r>
              <w:rPr>
                <w:rFonts w:hint="eastAsia"/>
                <w:color w:val="auto"/>
                <w:sz w:val="24"/>
                <w:lang w:eastAsia="zh-CN"/>
              </w:rPr>
              <w:t>原项目</w:t>
            </w:r>
            <w:r>
              <w:rPr>
                <w:rFonts w:hint="eastAsia"/>
                <w:color w:val="auto"/>
                <w:sz w:val="24"/>
                <w:lang w:val="en-US" w:eastAsia="zh-CN"/>
              </w:rPr>
              <w:t>2022年第四季度自行监测报告，噪声监测</w:t>
            </w:r>
            <w:r>
              <w:rPr>
                <w:rFonts w:hint="default"/>
                <w:color w:val="auto"/>
                <w:sz w:val="24"/>
              </w:rPr>
              <w:t>结果见</w:t>
            </w:r>
            <w:r>
              <w:rPr>
                <w:rFonts w:hint="eastAsia"/>
                <w:color w:val="auto"/>
                <w:sz w:val="24"/>
                <w:lang w:eastAsia="zh-CN"/>
              </w:rPr>
              <w:t>下表</w:t>
            </w:r>
            <w:r>
              <w:rPr>
                <w:rFonts w:hint="default"/>
                <w:color w:val="auto"/>
                <w:sz w:val="24"/>
                <w:szCs w:val="21"/>
              </w:rPr>
              <w:t>。</w:t>
            </w:r>
          </w:p>
          <w:p w14:paraId="724C057C">
            <w:pPr>
              <w:keepNext w:val="0"/>
              <w:keepLines w:val="0"/>
              <w:suppressLineNumbers w:val="0"/>
              <w:spacing w:before="0" w:beforeAutospacing="0" w:after="0" w:afterAutospacing="0"/>
              <w:ind w:left="0" w:right="0" w:firstLine="211" w:firstLineChars="100"/>
              <w:jc w:val="center"/>
              <w:rPr>
                <w:rFonts w:hint="default"/>
                <w:b/>
                <w:color w:val="auto"/>
                <w:szCs w:val="21"/>
              </w:rPr>
            </w:pPr>
            <w:r>
              <w:rPr>
                <w:rFonts w:hint="default"/>
                <w:b/>
                <w:color w:val="auto"/>
                <w:szCs w:val="21"/>
              </w:rPr>
              <w:t>表2-</w:t>
            </w:r>
            <w:r>
              <w:rPr>
                <w:rFonts w:hint="eastAsia"/>
                <w:b/>
                <w:color w:val="auto"/>
                <w:szCs w:val="21"/>
                <w:lang w:val="en-US" w:eastAsia="zh-CN"/>
              </w:rPr>
              <w:t>25</w:t>
            </w:r>
            <w:r>
              <w:rPr>
                <w:rFonts w:hint="default"/>
                <w:b/>
                <w:color w:val="auto"/>
                <w:szCs w:val="21"/>
              </w:rPr>
              <w:t xml:space="preserve">  厂区噪声排放监测结果表</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88"/>
              <w:gridCol w:w="1210"/>
              <w:gridCol w:w="1384"/>
              <w:gridCol w:w="1536"/>
              <w:gridCol w:w="1649"/>
              <w:gridCol w:w="1208"/>
            </w:tblGrid>
            <w:tr w14:paraId="3A06C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3" w:hRule="atLeast"/>
              </w:trPr>
              <w:tc>
                <w:tcPr>
                  <w:tcW w:w="829" w:type="pct"/>
                  <w:vMerge w:val="restart"/>
                  <w:noWrap w:val="0"/>
                  <w:vAlign w:val="center"/>
                </w:tcPr>
                <w:p w14:paraId="2ADAD429">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项目</w:t>
                  </w:r>
                </w:p>
              </w:tc>
              <w:tc>
                <w:tcPr>
                  <w:tcW w:w="3449" w:type="pct"/>
                  <w:gridSpan w:val="4"/>
                  <w:noWrap w:val="0"/>
                  <w:vAlign w:val="center"/>
                </w:tcPr>
                <w:p w14:paraId="252FF679">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监测结果Leq</w:t>
                  </w:r>
                  <w:r>
                    <w:rPr>
                      <w:rFonts w:hint="default"/>
                      <w:color w:val="auto"/>
                      <w:kern w:val="0"/>
                      <w:szCs w:val="21"/>
                    </w:rPr>
                    <w:t xml:space="preserve"> dB（A）</w:t>
                  </w:r>
                </w:p>
              </w:tc>
              <w:tc>
                <w:tcPr>
                  <w:tcW w:w="721" w:type="pct"/>
                  <w:vMerge w:val="restart"/>
                  <w:noWrap w:val="0"/>
                  <w:vAlign w:val="center"/>
                </w:tcPr>
                <w:p w14:paraId="34017343">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达标状况</w:t>
                  </w:r>
                </w:p>
              </w:tc>
            </w:tr>
            <w:tr w14:paraId="4A027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 w:hRule="atLeast"/>
              </w:trPr>
              <w:tc>
                <w:tcPr>
                  <w:tcW w:w="829" w:type="pct"/>
                  <w:vMerge w:val="continue"/>
                  <w:noWrap w:val="0"/>
                  <w:vAlign w:val="center"/>
                </w:tcPr>
                <w:p w14:paraId="469E0F29">
                  <w:pPr>
                    <w:keepNext w:val="0"/>
                    <w:keepLines w:val="0"/>
                    <w:suppressLineNumbers w:val="0"/>
                    <w:spacing w:before="0" w:beforeAutospacing="0" w:after="0" w:afterAutospacing="0" w:line="276" w:lineRule="auto"/>
                    <w:ind w:left="0" w:right="0"/>
                    <w:jc w:val="center"/>
                    <w:rPr>
                      <w:rFonts w:hint="default"/>
                      <w:color w:val="auto"/>
                      <w:szCs w:val="21"/>
                    </w:rPr>
                  </w:pPr>
                </w:p>
              </w:tc>
              <w:tc>
                <w:tcPr>
                  <w:tcW w:w="1548" w:type="pct"/>
                  <w:gridSpan w:val="2"/>
                  <w:noWrap w:val="0"/>
                  <w:vAlign w:val="center"/>
                </w:tcPr>
                <w:p w14:paraId="466292F8">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昼</w:t>
                  </w:r>
                  <w:r>
                    <w:rPr>
                      <w:rFonts w:hint="eastAsia"/>
                      <w:color w:val="auto"/>
                      <w:szCs w:val="21"/>
                      <w:lang w:val="en-US" w:eastAsia="zh-CN"/>
                    </w:rPr>
                    <w:t>间</w:t>
                  </w:r>
                  <w:r>
                    <w:rPr>
                      <w:rFonts w:hint="default"/>
                      <w:color w:val="auto"/>
                      <w:szCs w:val="21"/>
                    </w:rPr>
                    <w:cr/>
                  </w:r>
                </w:p>
              </w:tc>
              <w:tc>
                <w:tcPr>
                  <w:tcW w:w="1900" w:type="pct"/>
                  <w:gridSpan w:val="2"/>
                  <w:noWrap w:val="0"/>
                  <w:vAlign w:val="center"/>
                </w:tcPr>
                <w:p w14:paraId="74451FC7">
                  <w:pPr>
                    <w:keepNext w:val="0"/>
                    <w:keepLines w:val="0"/>
                    <w:suppressLineNumbers w:val="0"/>
                    <w:spacing w:before="0" w:beforeAutospacing="0" w:after="0" w:afterAutospacing="0" w:line="276" w:lineRule="auto"/>
                    <w:ind w:left="0" w:right="0"/>
                    <w:jc w:val="center"/>
                    <w:rPr>
                      <w:rFonts w:hint="eastAsia" w:eastAsia="宋体"/>
                      <w:color w:val="auto"/>
                      <w:szCs w:val="21"/>
                      <w:lang w:eastAsia="zh-CN"/>
                    </w:rPr>
                  </w:pPr>
                  <w:r>
                    <w:rPr>
                      <w:rFonts w:hint="eastAsia"/>
                      <w:color w:val="auto"/>
                      <w:szCs w:val="21"/>
                      <w:lang w:val="en-US" w:eastAsia="zh-CN"/>
                    </w:rPr>
                    <w:t>夜间</w:t>
                  </w:r>
                </w:p>
              </w:tc>
              <w:tc>
                <w:tcPr>
                  <w:tcW w:w="721" w:type="pct"/>
                  <w:vMerge w:val="continue"/>
                  <w:noWrap w:val="0"/>
                  <w:vAlign w:val="center"/>
                </w:tcPr>
                <w:p w14:paraId="6405788C">
                  <w:pPr>
                    <w:keepNext w:val="0"/>
                    <w:keepLines w:val="0"/>
                    <w:suppressLineNumbers w:val="0"/>
                    <w:spacing w:before="0" w:beforeAutospacing="0" w:after="0" w:afterAutospacing="0" w:line="276" w:lineRule="auto"/>
                    <w:ind w:left="0" w:right="0"/>
                    <w:jc w:val="center"/>
                    <w:rPr>
                      <w:rFonts w:hint="default"/>
                      <w:color w:val="auto"/>
                      <w:szCs w:val="21"/>
                    </w:rPr>
                  </w:pPr>
                </w:p>
              </w:tc>
            </w:tr>
            <w:tr w14:paraId="49A95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829" w:type="pct"/>
                  <w:vMerge w:val="continue"/>
                  <w:noWrap w:val="0"/>
                  <w:vAlign w:val="center"/>
                </w:tcPr>
                <w:p w14:paraId="02ABCBD6">
                  <w:pPr>
                    <w:keepNext w:val="0"/>
                    <w:keepLines w:val="0"/>
                    <w:suppressLineNumbers w:val="0"/>
                    <w:spacing w:before="0" w:beforeAutospacing="0" w:after="0" w:afterAutospacing="0" w:line="276" w:lineRule="auto"/>
                    <w:ind w:left="0" w:right="0"/>
                    <w:jc w:val="center"/>
                    <w:rPr>
                      <w:rFonts w:hint="default"/>
                      <w:color w:val="auto"/>
                      <w:szCs w:val="21"/>
                    </w:rPr>
                  </w:pPr>
                </w:p>
              </w:tc>
              <w:tc>
                <w:tcPr>
                  <w:tcW w:w="722" w:type="pct"/>
                  <w:noWrap w:val="0"/>
                  <w:vAlign w:val="center"/>
                </w:tcPr>
                <w:p w14:paraId="6E58A57F">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监测值</w:t>
                  </w:r>
                </w:p>
              </w:tc>
              <w:tc>
                <w:tcPr>
                  <w:tcW w:w="826" w:type="pct"/>
                  <w:noWrap w:val="0"/>
                  <w:vAlign w:val="center"/>
                </w:tcPr>
                <w:p w14:paraId="3E3E4853">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标准值</w:t>
                  </w:r>
                </w:p>
              </w:tc>
              <w:tc>
                <w:tcPr>
                  <w:tcW w:w="917" w:type="pct"/>
                  <w:noWrap w:val="0"/>
                  <w:vAlign w:val="center"/>
                </w:tcPr>
                <w:p w14:paraId="5FA36E5A">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监测值</w:t>
                  </w:r>
                </w:p>
              </w:tc>
              <w:tc>
                <w:tcPr>
                  <w:tcW w:w="983" w:type="pct"/>
                  <w:noWrap w:val="0"/>
                  <w:vAlign w:val="center"/>
                </w:tcPr>
                <w:p w14:paraId="6EE3F6B0">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标准值</w:t>
                  </w:r>
                </w:p>
              </w:tc>
              <w:tc>
                <w:tcPr>
                  <w:tcW w:w="721" w:type="pct"/>
                  <w:vMerge w:val="continue"/>
                  <w:noWrap w:val="0"/>
                  <w:vAlign w:val="center"/>
                </w:tcPr>
                <w:p w14:paraId="39DA7185">
                  <w:pPr>
                    <w:keepNext w:val="0"/>
                    <w:keepLines w:val="0"/>
                    <w:suppressLineNumbers w:val="0"/>
                    <w:spacing w:before="0" w:beforeAutospacing="0" w:after="0" w:afterAutospacing="0" w:line="276" w:lineRule="auto"/>
                    <w:ind w:left="0" w:right="0"/>
                    <w:jc w:val="center"/>
                    <w:rPr>
                      <w:rFonts w:hint="default"/>
                      <w:color w:val="auto"/>
                      <w:szCs w:val="21"/>
                    </w:rPr>
                  </w:pPr>
                </w:p>
              </w:tc>
            </w:tr>
            <w:tr w14:paraId="4A646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 w:hRule="atLeast"/>
              </w:trPr>
              <w:tc>
                <w:tcPr>
                  <w:tcW w:w="829" w:type="pct"/>
                  <w:noWrap w:val="0"/>
                  <w:vAlign w:val="center"/>
                </w:tcPr>
                <w:p w14:paraId="2B26C3CF">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厂界东</w:t>
                  </w:r>
                </w:p>
              </w:tc>
              <w:tc>
                <w:tcPr>
                  <w:tcW w:w="722" w:type="pct"/>
                  <w:noWrap w:val="0"/>
                  <w:vAlign w:val="center"/>
                </w:tcPr>
                <w:p w14:paraId="721B3523">
                  <w:pPr>
                    <w:keepNext w:val="0"/>
                    <w:keepLines w:val="0"/>
                    <w:suppressLineNumbers w:val="0"/>
                    <w:spacing w:before="0" w:beforeAutospacing="0" w:after="0" w:afterAutospacing="0" w:line="276" w:lineRule="auto"/>
                    <w:ind w:left="0" w:right="0"/>
                    <w:jc w:val="center"/>
                    <w:rPr>
                      <w:rFonts w:hint="default" w:eastAsia="宋体"/>
                      <w:color w:val="auto"/>
                      <w:szCs w:val="21"/>
                      <w:lang w:val="en-US" w:eastAsia="zh-CN"/>
                    </w:rPr>
                  </w:pPr>
                  <w:r>
                    <w:rPr>
                      <w:rFonts w:hint="eastAsia"/>
                      <w:color w:val="auto"/>
                      <w:szCs w:val="21"/>
                      <w:lang w:val="en-US" w:eastAsia="zh-CN"/>
                    </w:rPr>
                    <w:t>51.3</w:t>
                  </w:r>
                </w:p>
              </w:tc>
              <w:tc>
                <w:tcPr>
                  <w:tcW w:w="826" w:type="pct"/>
                  <w:noWrap w:val="0"/>
                  <w:vAlign w:val="center"/>
                </w:tcPr>
                <w:p w14:paraId="2EA20AA2">
                  <w:pPr>
                    <w:keepNext w:val="0"/>
                    <w:keepLines w:val="0"/>
                    <w:suppressLineNumbers w:val="0"/>
                    <w:spacing w:before="0" w:beforeAutospacing="0" w:after="0" w:afterAutospacing="0" w:line="276" w:lineRule="auto"/>
                    <w:ind w:left="0" w:right="0"/>
                    <w:jc w:val="center"/>
                    <w:rPr>
                      <w:rFonts w:hint="eastAsia" w:eastAsia="宋体"/>
                      <w:color w:val="auto"/>
                      <w:szCs w:val="21"/>
                      <w:lang w:val="en-US" w:eastAsia="zh-CN"/>
                    </w:rPr>
                  </w:pPr>
                  <w:r>
                    <w:rPr>
                      <w:rFonts w:hint="default"/>
                      <w:color w:val="auto"/>
                      <w:szCs w:val="21"/>
                    </w:rPr>
                    <w:t>6</w:t>
                  </w:r>
                  <w:r>
                    <w:rPr>
                      <w:rFonts w:hint="eastAsia"/>
                      <w:color w:val="auto"/>
                      <w:szCs w:val="21"/>
                      <w:lang w:val="en-US" w:eastAsia="zh-CN"/>
                    </w:rPr>
                    <w:t>5</w:t>
                  </w:r>
                </w:p>
              </w:tc>
              <w:tc>
                <w:tcPr>
                  <w:tcW w:w="917" w:type="pct"/>
                  <w:noWrap w:val="0"/>
                  <w:vAlign w:val="center"/>
                </w:tcPr>
                <w:p w14:paraId="1DAA5B41">
                  <w:pPr>
                    <w:keepNext w:val="0"/>
                    <w:keepLines w:val="0"/>
                    <w:suppressLineNumbers w:val="0"/>
                    <w:spacing w:before="0" w:beforeAutospacing="0" w:after="0" w:afterAutospacing="0" w:line="276" w:lineRule="auto"/>
                    <w:ind w:left="0" w:right="0"/>
                    <w:jc w:val="center"/>
                    <w:rPr>
                      <w:rFonts w:hint="default" w:eastAsia="宋体"/>
                      <w:color w:val="auto"/>
                      <w:szCs w:val="21"/>
                      <w:lang w:val="en-US" w:eastAsia="zh-CN"/>
                    </w:rPr>
                  </w:pPr>
                  <w:r>
                    <w:rPr>
                      <w:rFonts w:hint="eastAsia"/>
                      <w:color w:val="auto"/>
                      <w:szCs w:val="21"/>
                      <w:lang w:val="en-US" w:eastAsia="zh-CN"/>
                    </w:rPr>
                    <w:t>43.3</w:t>
                  </w:r>
                </w:p>
              </w:tc>
              <w:tc>
                <w:tcPr>
                  <w:tcW w:w="983" w:type="pct"/>
                  <w:noWrap w:val="0"/>
                  <w:vAlign w:val="center"/>
                </w:tcPr>
                <w:p w14:paraId="1DE4C885">
                  <w:pPr>
                    <w:keepNext w:val="0"/>
                    <w:keepLines w:val="0"/>
                    <w:suppressLineNumbers w:val="0"/>
                    <w:spacing w:before="0" w:beforeAutospacing="0" w:after="0" w:afterAutospacing="0" w:line="276" w:lineRule="auto"/>
                    <w:ind w:left="0" w:right="0"/>
                    <w:jc w:val="center"/>
                    <w:rPr>
                      <w:rFonts w:hint="default" w:eastAsia="宋体"/>
                      <w:color w:val="auto"/>
                      <w:szCs w:val="21"/>
                      <w:lang w:val="en-US" w:eastAsia="zh-CN"/>
                    </w:rPr>
                  </w:pPr>
                  <w:r>
                    <w:rPr>
                      <w:rFonts w:hint="eastAsia"/>
                      <w:color w:val="auto"/>
                      <w:szCs w:val="21"/>
                      <w:lang w:val="en-US" w:eastAsia="zh-CN"/>
                    </w:rPr>
                    <w:t>55</w:t>
                  </w:r>
                </w:p>
              </w:tc>
              <w:tc>
                <w:tcPr>
                  <w:tcW w:w="721" w:type="pct"/>
                  <w:noWrap w:val="0"/>
                  <w:vAlign w:val="center"/>
                </w:tcPr>
                <w:p w14:paraId="13BA95A7">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达标</w:t>
                  </w:r>
                </w:p>
              </w:tc>
            </w:tr>
            <w:tr w14:paraId="024968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 w:hRule="atLeast"/>
              </w:trPr>
              <w:tc>
                <w:tcPr>
                  <w:tcW w:w="829" w:type="pct"/>
                  <w:noWrap w:val="0"/>
                  <w:vAlign w:val="center"/>
                </w:tcPr>
                <w:p w14:paraId="1F5C103C">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厂界南</w:t>
                  </w:r>
                </w:p>
              </w:tc>
              <w:tc>
                <w:tcPr>
                  <w:tcW w:w="722" w:type="pct"/>
                  <w:noWrap w:val="0"/>
                  <w:vAlign w:val="center"/>
                </w:tcPr>
                <w:p w14:paraId="71863ED6">
                  <w:pPr>
                    <w:keepNext w:val="0"/>
                    <w:keepLines w:val="0"/>
                    <w:suppressLineNumbers w:val="0"/>
                    <w:spacing w:before="0" w:beforeAutospacing="0" w:after="0" w:afterAutospacing="0" w:line="276" w:lineRule="auto"/>
                    <w:ind w:left="0" w:right="0"/>
                    <w:jc w:val="center"/>
                    <w:rPr>
                      <w:rFonts w:hint="default" w:eastAsia="宋体"/>
                      <w:color w:val="auto"/>
                      <w:szCs w:val="21"/>
                      <w:lang w:val="en-US" w:eastAsia="zh-CN"/>
                    </w:rPr>
                  </w:pPr>
                  <w:r>
                    <w:rPr>
                      <w:rFonts w:hint="eastAsia"/>
                      <w:color w:val="auto"/>
                      <w:szCs w:val="21"/>
                      <w:lang w:val="en-US" w:eastAsia="zh-CN"/>
                    </w:rPr>
                    <w:t>48.1</w:t>
                  </w:r>
                </w:p>
              </w:tc>
              <w:tc>
                <w:tcPr>
                  <w:tcW w:w="826" w:type="pct"/>
                  <w:noWrap w:val="0"/>
                  <w:vAlign w:val="center"/>
                </w:tcPr>
                <w:p w14:paraId="143E5B21">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6</w:t>
                  </w:r>
                  <w:r>
                    <w:rPr>
                      <w:rFonts w:hint="eastAsia"/>
                      <w:color w:val="auto"/>
                      <w:szCs w:val="21"/>
                      <w:lang w:val="en-US" w:eastAsia="zh-CN"/>
                    </w:rPr>
                    <w:t>5</w:t>
                  </w:r>
                </w:p>
              </w:tc>
              <w:tc>
                <w:tcPr>
                  <w:tcW w:w="917" w:type="pct"/>
                  <w:noWrap w:val="0"/>
                  <w:vAlign w:val="center"/>
                </w:tcPr>
                <w:p w14:paraId="504A4D24">
                  <w:pPr>
                    <w:keepNext w:val="0"/>
                    <w:keepLines w:val="0"/>
                    <w:suppressLineNumbers w:val="0"/>
                    <w:spacing w:before="0" w:beforeAutospacing="0" w:after="0" w:afterAutospacing="0" w:line="276" w:lineRule="auto"/>
                    <w:ind w:left="0" w:right="0"/>
                    <w:jc w:val="center"/>
                    <w:rPr>
                      <w:rFonts w:hint="default" w:eastAsia="宋体"/>
                      <w:color w:val="auto"/>
                      <w:szCs w:val="21"/>
                      <w:lang w:val="en-US" w:eastAsia="zh-CN"/>
                    </w:rPr>
                  </w:pPr>
                  <w:r>
                    <w:rPr>
                      <w:rFonts w:hint="eastAsia"/>
                      <w:color w:val="auto"/>
                      <w:szCs w:val="21"/>
                      <w:lang w:val="en-US" w:eastAsia="zh-CN"/>
                    </w:rPr>
                    <w:t>40.2</w:t>
                  </w:r>
                </w:p>
              </w:tc>
              <w:tc>
                <w:tcPr>
                  <w:tcW w:w="983" w:type="pct"/>
                  <w:noWrap w:val="0"/>
                  <w:vAlign w:val="center"/>
                </w:tcPr>
                <w:p w14:paraId="71C030B0">
                  <w:pPr>
                    <w:keepNext w:val="0"/>
                    <w:keepLines w:val="0"/>
                    <w:suppressLineNumbers w:val="0"/>
                    <w:spacing w:before="0" w:beforeAutospacing="0" w:after="0" w:afterAutospacing="0" w:line="276" w:lineRule="auto"/>
                    <w:ind w:left="0" w:right="0"/>
                    <w:jc w:val="center"/>
                    <w:rPr>
                      <w:rFonts w:hint="default"/>
                      <w:color w:val="auto"/>
                      <w:szCs w:val="21"/>
                    </w:rPr>
                  </w:pPr>
                  <w:r>
                    <w:rPr>
                      <w:rFonts w:hint="eastAsia"/>
                      <w:color w:val="auto"/>
                      <w:szCs w:val="21"/>
                      <w:lang w:val="en-US" w:eastAsia="zh-CN"/>
                    </w:rPr>
                    <w:t>55</w:t>
                  </w:r>
                </w:p>
              </w:tc>
              <w:tc>
                <w:tcPr>
                  <w:tcW w:w="721" w:type="pct"/>
                  <w:noWrap w:val="0"/>
                  <w:vAlign w:val="center"/>
                </w:tcPr>
                <w:p w14:paraId="7F121991">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达标</w:t>
                  </w:r>
                </w:p>
              </w:tc>
            </w:tr>
            <w:tr w14:paraId="5F9B0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 w:hRule="atLeast"/>
              </w:trPr>
              <w:tc>
                <w:tcPr>
                  <w:tcW w:w="829" w:type="pct"/>
                  <w:noWrap w:val="0"/>
                  <w:vAlign w:val="center"/>
                </w:tcPr>
                <w:p w14:paraId="1E7E50FD">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厂界西</w:t>
                  </w:r>
                </w:p>
              </w:tc>
              <w:tc>
                <w:tcPr>
                  <w:tcW w:w="722" w:type="pct"/>
                  <w:noWrap w:val="0"/>
                  <w:vAlign w:val="center"/>
                </w:tcPr>
                <w:p w14:paraId="07356256">
                  <w:pPr>
                    <w:keepNext w:val="0"/>
                    <w:keepLines w:val="0"/>
                    <w:suppressLineNumbers w:val="0"/>
                    <w:spacing w:before="0" w:beforeAutospacing="0" w:after="0" w:afterAutospacing="0" w:line="276" w:lineRule="auto"/>
                    <w:ind w:left="0" w:right="0"/>
                    <w:jc w:val="center"/>
                    <w:rPr>
                      <w:rFonts w:hint="default" w:eastAsia="宋体"/>
                      <w:color w:val="auto"/>
                      <w:szCs w:val="21"/>
                      <w:lang w:val="en-US" w:eastAsia="zh-CN"/>
                    </w:rPr>
                  </w:pPr>
                  <w:r>
                    <w:rPr>
                      <w:rFonts w:hint="eastAsia"/>
                      <w:color w:val="auto"/>
                      <w:szCs w:val="21"/>
                      <w:lang w:val="en-US" w:eastAsia="zh-CN"/>
                    </w:rPr>
                    <w:t>55.1</w:t>
                  </w:r>
                </w:p>
              </w:tc>
              <w:tc>
                <w:tcPr>
                  <w:tcW w:w="826" w:type="pct"/>
                  <w:noWrap w:val="0"/>
                  <w:vAlign w:val="center"/>
                </w:tcPr>
                <w:p w14:paraId="4BBE32EB">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6</w:t>
                  </w:r>
                  <w:r>
                    <w:rPr>
                      <w:rFonts w:hint="eastAsia"/>
                      <w:color w:val="auto"/>
                      <w:szCs w:val="21"/>
                      <w:lang w:val="en-US" w:eastAsia="zh-CN"/>
                    </w:rPr>
                    <w:t>5</w:t>
                  </w:r>
                </w:p>
              </w:tc>
              <w:tc>
                <w:tcPr>
                  <w:tcW w:w="917" w:type="pct"/>
                  <w:noWrap w:val="0"/>
                  <w:vAlign w:val="center"/>
                </w:tcPr>
                <w:p w14:paraId="10839EC2">
                  <w:pPr>
                    <w:keepNext w:val="0"/>
                    <w:keepLines w:val="0"/>
                    <w:suppressLineNumbers w:val="0"/>
                    <w:spacing w:before="0" w:beforeAutospacing="0" w:after="0" w:afterAutospacing="0" w:line="276" w:lineRule="auto"/>
                    <w:ind w:left="0" w:right="0"/>
                    <w:jc w:val="center"/>
                    <w:rPr>
                      <w:rFonts w:hint="default" w:eastAsia="宋体"/>
                      <w:color w:val="auto"/>
                      <w:szCs w:val="21"/>
                      <w:lang w:val="en-US" w:eastAsia="zh-CN"/>
                    </w:rPr>
                  </w:pPr>
                  <w:r>
                    <w:rPr>
                      <w:rFonts w:hint="eastAsia"/>
                      <w:color w:val="auto"/>
                      <w:szCs w:val="21"/>
                      <w:lang w:val="en-US" w:eastAsia="zh-CN"/>
                    </w:rPr>
                    <w:t>43.4</w:t>
                  </w:r>
                </w:p>
              </w:tc>
              <w:tc>
                <w:tcPr>
                  <w:tcW w:w="983" w:type="pct"/>
                  <w:noWrap w:val="0"/>
                  <w:vAlign w:val="center"/>
                </w:tcPr>
                <w:p w14:paraId="779EE637">
                  <w:pPr>
                    <w:keepNext w:val="0"/>
                    <w:keepLines w:val="0"/>
                    <w:suppressLineNumbers w:val="0"/>
                    <w:spacing w:before="0" w:beforeAutospacing="0" w:after="0" w:afterAutospacing="0" w:line="276" w:lineRule="auto"/>
                    <w:ind w:left="0" w:right="0"/>
                    <w:jc w:val="center"/>
                    <w:rPr>
                      <w:rFonts w:hint="default"/>
                      <w:color w:val="auto"/>
                      <w:szCs w:val="21"/>
                    </w:rPr>
                  </w:pPr>
                  <w:r>
                    <w:rPr>
                      <w:rFonts w:hint="eastAsia"/>
                      <w:color w:val="auto"/>
                      <w:szCs w:val="21"/>
                      <w:lang w:val="en-US" w:eastAsia="zh-CN"/>
                    </w:rPr>
                    <w:t>55</w:t>
                  </w:r>
                </w:p>
              </w:tc>
              <w:tc>
                <w:tcPr>
                  <w:tcW w:w="721" w:type="pct"/>
                  <w:noWrap w:val="0"/>
                  <w:vAlign w:val="center"/>
                </w:tcPr>
                <w:p w14:paraId="70F834CC">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达标</w:t>
                  </w:r>
                </w:p>
              </w:tc>
            </w:tr>
            <w:tr w14:paraId="4C20F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 w:hRule="atLeast"/>
              </w:trPr>
              <w:tc>
                <w:tcPr>
                  <w:tcW w:w="829" w:type="pct"/>
                  <w:noWrap w:val="0"/>
                  <w:vAlign w:val="center"/>
                </w:tcPr>
                <w:p w14:paraId="19328DA2">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厂界北</w:t>
                  </w:r>
                </w:p>
              </w:tc>
              <w:tc>
                <w:tcPr>
                  <w:tcW w:w="722" w:type="pct"/>
                  <w:noWrap w:val="0"/>
                  <w:vAlign w:val="center"/>
                </w:tcPr>
                <w:p w14:paraId="6AE47D25">
                  <w:pPr>
                    <w:keepNext w:val="0"/>
                    <w:keepLines w:val="0"/>
                    <w:suppressLineNumbers w:val="0"/>
                    <w:spacing w:before="0" w:beforeAutospacing="0" w:after="0" w:afterAutospacing="0" w:line="276" w:lineRule="auto"/>
                    <w:ind w:left="0" w:right="0"/>
                    <w:jc w:val="center"/>
                    <w:rPr>
                      <w:rFonts w:hint="default" w:eastAsia="宋体"/>
                      <w:color w:val="auto"/>
                      <w:szCs w:val="21"/>
                      <w:lang w:val="en-US" w:eastAsia="zh-CN"/>
                    </w:rPr>
                  </w:pPr>
                  <w:r>
                    <w:rPr>
                      <w:rFonts w:hint="eastAsia"/>
                      <w:color w:val="auto"/>
                      <w:szCs w:val="21"/>
                      <w:lang w:val="en-US" w:eastAsia="zh-CN"/>
                    </w:rPr>
                    <w:t>51.0</w:t>
                  </w:r>
                </w:p>
              </w:tc>
              <w:tc>
                <w:tcPr>
                  <w:tcW w:w="826" w:type="pct"/>
                  <w:noWrap w:val="0"/>
                  <w:vAlign w:val="center"/>
                </w:tcPr>
                <w:p w14:paraId="72367015">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6</w:t>
                  </w:r>
                  <w:r>
                    <w:rPr>
                      <w:rFonts w:hint="eastAsia"/>
                      <w:color w:val="auto"/>
                      <w:szCs w:val="21"/>
                      <w:lang w:val="en-US" w:eastAsia="zh-CN"/>
                    </w:rPr>
                    <w:t>5</w:t>
                  </w:r>
                </w:p>
              </w:tc>
              <w:tc>
                <w:tcPr>
                  <w:tcW w:w="917" w:type="pct"/>
                  <w:noWrap w:val="0"/>
                  <w:vAlign w:val="center"/>
                </w:tcPr>
                <w:p w14:paraId="50CBB7DB">
                  <w:pPr>
                    <w:keepNext w:val="0"/>
                    <w:keepLines w:val="0"/>
                    <w:suppressLineNumbers w:val="0"/>
                    <w:spacing w:before="0" w:beforeAutospacing="0" w:after="0" w:afterAutospacing="0" w:line="276" w:lineRule="auto"/>
                    <w:ind w:left="0" w:right="0"/>
                    <w:jc w:val="center"/>
                    <w:rPr>
                      <w:rFonts w:hint="default" w:eastAsia="宋体"/>
                      <w:color w:val="auto"/>
                      <w:szCs w:val="21"/>
                      <w:lang w:val="en-US" w:eastAsia="zh-CN"/>
                    </w:rPr>
                  </w:pPr>
                  <w:r>
                    <w:rPr>
                      <w:rFonts w:hint="eastAsia"/>
                      <w:color w:val="auto"/>
                      <w:szCs w:val="21"/>
                      <w:lang w:val="en-US" w:eastAsia="zh-CN"/>
                    </w:rPr>
                    <w:t>42.5</w:t>
                  </w:r>
                </w:p>
              </w:tc>
              <w:tc>
                <w:tcPr>
                  <w:tcW w:w="983" w:type="pct"/>
                  <w:noWrap w:val="0"/>
                  <w:vAlign w:val="center"/>
                </w:tcPr>
                <w:p w14:paraId="3023BC88">
                  <w:pPr>
                    <w:keepNext w:val="0"/>
                    <w:keepLines w:val="0"/>
                    <w:suppressLineNumbers w:val="0"/>
                    <w:spacing w:before="0" w:beforeAutospacing="0" w:after="0" w:afterAutospacing="0" w:line="276" w:lineRule="auto"/>
                    <w:ind w:left="0" w:right="0"/>
                    <w:jc w:val="center"/>
                    <w:rPr>
                      <w:rFonts w:hint="default"/>
                      <w:color w:val="auto"/>
                      <w:szCs w:val="21"/>
                    </w:rPr>
                  </w:pPr>
                  <w:r>
                    <w:rPr>
                      <w:rFonts w:hint="eastAsia"/>
                      <w:color w:val="auto"/>
                      <w:szCs w:val="21"/>
                      <w:lang w:val="en-US" w:eastAsia="zh-CN"/>
                    </w:rPr>
                    <w:t>55</w:t>
                  </w:r>
                </w:p>
              </w:tc>
              <w:tc>
                <w:tcPr>
                  <w:tcW w:w="721" w:type="pct"/>
                  <w:noWrap w:val="0"/>
                  <w:vAlign w:val="center"/>
                </w:tcPr>
                <w:p w14:paraId="60A317D1">
                  <w:pPr>
                    <w:keepNext w:val="0"/>
                    <w:keepLines w:val="0"/>
                    <w:suppressLineNumbers w:val="0"/>
                    <w:spacing w:before="0" w:beforeAutospacing="0" w:after="0" w:afterAutospacing="0" w:line="276" w:lineRule="auto"/>
                    <w:ind w:left="0" w:right="0"/>
                    <w:jc w:val="center"/>
                    <w:rPr>
                      <w:rFonts w:hint="default"/>
                      <w:color w:val="auto"/>
                      <w:szCs w:val="21"/>
                    </w:rPr>
                  </w:pPr>
                  <w:r>
                    <w:rPr>
                      <w:rFonts w:hint="default"/>
                      <w:color w:val="auto"/>
                      <w:szCs w:val="21"/>
                    </w:rPr>
                    <w:t>达标</w:t>
                  </w:r>
                </w:p>
              </w:tc>
            </w:tr>
          </w:tbl>
          <w:p w14:paraId="7D97FAC4">
            <w:pPr>
              <w:keepNext w:val="0"/>
              <w:keepLines w:val="0"/>
              <w:suppressLineNumbers w:val="0"/>
              <w:spacing w:before="0" w:beforeAutospacing="0" w:after="0" w:afterAutospacing="0" w:line="360" w:lineRule="auto"/>
              <w:ind w:left="0" w:right="0" w:firstLine="480" w:firstLineChars="200"/>
              <w:rPr>
                <w:rFonts w:hint="default"/>
                <w:color w:val="auto"/>
                <w:sz w:val="24"/>
                <w:szCs w:val="21"/>
              </w:rPr>
            </w:pPr>
            <w:r>
              <w:rPr>
                <w:rFonts w:hint="default"/>
                <w:color w:val="auto"/>
                <w:sz w:val="24"/>
                <w:szCs w:val="21"/>
              </w:rPr>
              <w:t>根据监测结果，厂界噪声能达到《工业企业厂界环境噪声排放标准》（GB12348-2008）</w:t>
            </w:r>
            <w:r>
              <w:rPr>
                <w:rFonts w:hint="eastAsia"/>
                <w:color w:val="auto"/>
                <w:sz w:val="24"/>
                <w:szCs w:val="21"/>
                <w:lang w:val="en-US" w:eastAsia="zh-CN"/>
              </w:rPr>
              <w:t>3</w:t>
            </w:r>
            <w:r>
              <w:rPr>
                <w:rFonts w:hint="default"/>
                <w:color w:val="auto"/>
                <w:sz w:val="24"/>
                <w:szCs w:val="21"/>
              </w:rPr>
              <w:t>类标准。</w:t>
            </w:r>
          </w:p>
          <w:p w14:paraId="4ED80CC3">
            <w:pPr>
              <w:pStyle w:val="88"/>
              <w:keepNext w:val="0"/>
              <w:keepLines w:val="0"/>
              <w:suppressLineNumbers w:val="0"/>
              <w:spacing w:before="0" w:beforeAutospacing="0" w:after="0" w:afterAutospacing="0"/>
              <w:ind w:left="0" w:right="0" w:firstLine="482"/>
              <w:rPr>
                <w:rFonts w:hint="default"/>
                <w:b/>
                <w:color w:val="auto"/>
              </w:rPr>
            </w:pPr>
            <w:r>
              <w:rPr>
                <w:rFonts w:hint="default"/>
                <w:b/>
                <w:color w:val="auto"/>
              </w:rPr>
              <w:t>（4）固废</w:t>
            </w:r>
          </w:p>
          <w:p w14:paraId="219CC316">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jc w:val="both"/>
              <w:textAlignment w:val="auto"/>
              <w:rPr>
                <w:rFonts w:hint="default"/>
                <w:b/>
                <w:bCs/>
                <w:color w:val="auto"/>
                <w:szCs w:val="21"/>
                <w:lang w:val="en-US"/>
              </w:rPr>
            </w:pPr>
            <w:r>
              <w:rPr>
                <w:rFonts w:hint="eastAsia"/>
                <w:color w:val="auto"/>
                <w:sz w:val="24"/>
                <w:szCs w:val="21"/>
                <w:lang w:val="en-US" w:eastAsia="zh-CN"/>
              </w:rPr>
              <w:t>根据生产设备中产生的固体废弃物中水过滤材料是对自来水进行一个过滤后，带有水中的悬浮物的废弃物，属于一般固体废弃物，与生活垃圾一同进行处理；包装袋、包装桶，按其性质由相关的厂家进行回收</w:t>
            </w:r>
            <w:r>
              <w:rPr>
                <w:rFonts w:hint="default"/>
                <w:color w:val="auto"/>
                <w:sz w:val="24"/>
                <w:szCs w:val="21"/>
              </w:rPr>
              <w:t>。</w:t>
            </w:r>
            <w:r>
              <w:rPr>
                <w:rFonts w:hint="eastAsia"/>
                <w:color w:val="auto"/>
                <w:sz w:val="24"/>
                <w:szCs w:val="21"/>
                <w:lang w:val="en-US" w:eastAsia="zh-CN"/>
              </w:rPr>
              <w:t>职工的办公生活垃圾，由当地环卫部门定期进行清运。设备保养维修产生的废机油，委托有资质单位清运处置，产生的沾染有机溶剂的包装材料，委托有资质单位清运处置。处置率达100%。</w:t>
            </w:r>
          </w:p>
          <w:p w14:paraId="3FD83A38">
            <w:pPr>
              <w:keepNext w:val="0"/>
              <w:keepLines w:val="0"/>
              <w:suppressLineNumbers w:val="0"/>
              <w:autoSpaceDE w:val="0"/>
              <w:autoSpaceDN w:val="0"/>
              <w:adjustRightInd w:val="0"/>
              <w:snapToGrid w:val="0"/>
              <w:spacing w:before="0" w:beforeAutospacing="0" w:after="0" w:afterAutospacing="0"/>
              <w:ind w:left="0" w:right="0"/>
              <w:jc w:val="center"/>
              <w:rPr>
                <w:rFonts w:hint="default"/>
                <w:b/>
                <w:bCs/>
                <w:color w:val="auto"/>
                <w:szCs w:val="21"/>
              </w:rPr>
            </w:pPr>
            <w:r>
              <w:rPr>
                <w:rFonts w:hint="default"/>
                <w:b/>
                <w:bCs/>
                <w:color w:val="auto"/>
                <w:szCs w:val="21"/>
                <w:lang w:val="zh-CN"/>
              </w:rPr>
              <w:t>表</w:t>
            </w:r>
            <w:r>
              <w:rPr>
                <w:rFonts w:hint="default"/>
                <w:b/>
                <w:bCs/>
                <w:color w:val="auto"/>
                <w:szCs w:val="21"/>
              </w:rPr>
              <w:t>2-</w:t>
            </w:r>
            <w:r>
              <w:rPr>
                <w:rFonts w:hint="eastAsia"/>
                <w:b/>
                <w:bCs/>
                <w:color w:val="auto"/>
                <w:szCs w:val="21"/>
                <w:lang w:val="en-US" w:eastAsia="zh-CN"/>
              </w:rPr>
              <w:t>26</w:t>
            </w:r>
            <w:r>
              <w:rPr>
                <w:rFonts w:hint="default"/>
                <w:b/>
                <w:bCs/>
                <w:color w:val="auto"/>
                <w:szCs w:val="21"/>
              </w:rPr>
              <w:t xml:space="preserve">  </w:t>
            </w:r>
            <w:r>
              <w:rPr>
                <w:rFonts w:hint="eastAsia"/>
                <w:b/>
                <w:bCs/>
                <w:color w:val="auto"/>
                <w:szCs w:val="21"/>
              </w:rPr>
              <w:t>原</w:t>
            </w:r>
            <w:r>
              <w:rPr>
                <w:rFonts w:hint="default"/>
                <w:b/>
                <w:bCs/>
                <w:color w:val="auto"/>
                <w:szCs w:val="21"/>
                <w:lang w:val="zh-CN"/>
              </w:rPr>
              <w:t>项目固废产生和排放表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924"/>
              <w:gridCol w:w="1143"/>
              <w:gridCol w:w="1535"/>
              <w:gridCol w:w="2331"/>
              <w:gridCol w:w="911"/>
            </w:tblGrid>
            <w:tr w14:paraId="0F55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blHeader/>
              </w:trPr>
              <w:tc>
                <w:tcPr>
                  <w:tcW w:w="317" w:type="pct"/>
                  <w:noWrap w:val="0"/>
                  <w:vAlign w:val="center"/>
                </w:tcPr>
                <w:p w14:paraId="1BDD433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b/>
                      <w:color w:val="auto"/>
                      <w:szCs w:val="21"/>
                    </w:rPr>
                  </w:pPr>
                  <w:r>
                    <w:rPr>
                      <w:rFonts w:hint="default"/>
                      <w:b/>
                      <w:color w:val="auto"/>
                      <w:szCs w:val="21"/>
                    </w:rPr>
                    <w:t>序号</w:t>
                  </w:r>
                </w:p>
              </w:tc>
              <w:tc>
                <w:tcPr>
                  <w:tcW w:w="1148" w:type="pct"/>
                  <w:noWrap w:val="0"/>
                  <w:vAlign w:val="center"/>
                </w:tcPr>
                <w:p w14:paraId="46E10E8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b/>
                      <w:bCs/>
                      <w:color w:val="auto"/>
                      <w:szCs w:val="21"/>
                    </w:rPr>
                  </w:pPr>
                  <w:r>
                    <w:rPr>
                      <w:rFonts w:hint="default"/>
                      <w:b/>
                      <w:bCs/>
                      <w:color w:val="auto"/>
                      <w:sz w:val="21"/>
                    </w:rPr>
                    <w:t>来源</w:t>
                  </w:r>
                </w:p>
              </w:tc>
              <w:tc>
                <w:tcPr>
                  <w:tcW w:w="682" w:type="pct"/>
                  <w:noWrap w:val="0"/>
                  <w:vAlign w:val="center"/>
                </w:tcPr>
                <w:p w14:paraId="783437A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b/>
                      <w:bCs/>
                      <w:color w:val="auto"/>
                      <w:szCs w:val="21"/>
                    </w:rPr>
                  </w:pPr>
                  <w:r>
                    <w:rPr>
                      <w:rFonts w:hint="default"/>
                      <w:b/>
                      <w:bCs/>
                      <w:color w:val="auto"/>
                      <w:szCs w:val="21"/>
                    </w:rPr>
                    <w:t>产</w:t>
                  </w:r>
                  <w:r>
                    <w:rPr>
                      <w:rFonts w:hint="default"/>
                      <w:b/>
                      <w:bCs/>
                      <w:color w:val="auto"/>
                      <w:szCs w:val="21"/>
                    </w:rPr>
                    <w:cr/>
                  </w:r>
                  <w:r>
                    <w:rPr>
                      <w:rFonts w:hint="default"/>
                      <w:b/>
                      <w:bCs/>
                      <w:color w:val="auto"/>
                      <w:szCs w:val="21"/>
                    </w:rPr>
                    <w:t>量（t/a）</w:t>
                  </w:r>
                </w:p>
              </w:tc>
              <w:tc>
                <w:tcPr>
                  <w:tcW w:w="916" w:type="pct"/>
                  <w:noWrap w:val="0"/>
                  <w:vAlign w:val="center"/>
                </w:tcPr>
                <w:p w14:paraId="324BF83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b/>
                      <w:bCs/>
                      <w:color w:val="auto"/>
                      <w:szCs w:val="21"/>
                    </w:rPr>
                  </w:pPr>
                  <w:r>
                    <w:rPr>
                      <w:rFonts w:hint="default"/>
                      <w:b/>
                      <w:bCs/>
                      <w:color w:val="auto"/>
                      <w:sz w:val="21"/>
                    </w:rPr>
                    <w:t>主要污染物</w:t>
                  </w:r>
                  <w:r>
                    <w:rPr>
                      <w:rFonts w:hint="default"/>
                      <w:b/>
                      <w:bCs/>
                      <w:color w:val="auto"/>
                      <w:szCs w:val="21"/>
                    </w:rPr>
                    <w:cr/>
                  </w:r>
                </w:p>
              </w:tc>
              <w:tc>
                <w:tcPr>
                  <w:tcW w:w="1391" w:type="pct"/>
                  <w:noWrap w:val="0"/>
                  <w:vAlign w:val="center"/>
                </w:tcPr>
                <w:p w14:paraId="2A3CAAD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b/>
                      <w:bCs/>
                      <w:color w:val="auto"/>
                      <w:szCs w:val="21"/>
                    </w:rPr>
                  </w:pPr>
                  <w:r>
                    <w:rPr>
                      <w:rFonts w:hint="default"/>
                      <w:b/>
                      <w:bCs/>
                      <w:color w:val="auto"/>
                      <w:szCs w:val="21"/>
                    </w:rPr>
                    <w:t>处置方</w:t>
                  </w:r>
                  <w:r>
                    <w:rPr>
                      <w:rFonts w:hint="eastAsia"/>
                      <w:b/>
                      <w:bCs/>
                      <w:color w:val="auto"/>
                      <w:szCs w:val="21"/>
                      <w:lang w:eastAsia="zh-CN"/>
                    </w:rPr>
                    <w:t>式</w:t>
                  </w:r>
                </w:p>
              </w:tc>
              <w:tc>
                <w:tcPr>
                  <w:tcW w:w="543" w:type="pct"/>
                  <w:noWrap w:val="0"/>
                  <w:vAlign w:val="center"/>
                </w:tcPr>
                <w:p w14:paraId="14BB7FC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b/>
                      <w:bCs/>
                      <w:color w:val="auto"/>
                      <w:szCs w:val="21"/>
                      <w:lang w:eastAsia="zh-CN"/>
                    </w:rPr>
                  </w:pPr>
                  <w:r>
                    <w:rPr>
                      <w:rFonts w:hint="eastAsia"/>
                      <w:b/>
                      <w:bCs/>
                      <w:color w:val="auto"/>
                      <w:szCs w:val="21"/>
                      <w:lang w:eastAsia="zh-CN"/>
                    </w:rPr>
                    <w:t>处置情况</w:t>
                  </w:r>
                </w:p>
              </w:tc>
            </w:tr>
            <w:tr w14:paraId="7F410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317" w:type="pct"/>
                  <w:noWrap w:val="0"/>
                  <w:vAlign w:val="center"/>
                </w:tcPr>
                <w:p w14:paraId="69585D6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Cs w:val="21"/>
                    </w:rPr>
                  </w:pPr>
                  <w:r>
                    <w:rPr>
                      <w:rFonts w:hint="default"/>
                      <w:color w:val="auto"/>
                      <w:szCs w:val="21"/>
                    </w:rPr>
                    <w:t>1</w:t>
                  </w:r>
                </w:p>
              </w:tc>
              <w:tc>
                <w:tcPr>
                  <w:tcW w:w="1148" w:type="pct"/>
                  <w:noWrap w:val="0"/>
                  <w:vAlign w:val="center"/>
                </w:tcPr>
                <w:p w14:paraId="46A6A3A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Cs w:val="21"/>
                    </w:rPr>
                  </w:pPr>
                  <w:r>
                    <w:rPr>
                      <w:rFonts w:hint="default"/>
                      <w:color w:val="auto"/>
                      <w:sz w:val="21"/>
                    </w:rPr>
                    <w:t>水过滤材料、废抹布</w:t>
                  </w:r>
                </w:p>
              </w:tc>
              <w:tc>
                <w:tcPr>
                  <w:tcW w:w="682" w:type="pct"/>
                  <w:noWrap w:val="0"/>
                  <w:vAlign w:val="center"/>
                </w:tcPr>
                <w:p w14:paraId="6EB3EF4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jc w:val="center"/>
                    <w:textAlignment w:val="auto"/>
                    <w:rPr>
                      <w:rFonts w:hint="default"/>
                      <w:color w:val="auto"/>
                      <w:szCs w:val="21"/>
                    </w:rPr>
                  </w:pPr>
                  <w:r>
                    <w:rPr>
                      <w:rFonts w:hint="default" w:ascii="Times New Roman"/>
                      <w:color w:val="auto"/>
                      <w:sz w:val="21"/>
                    </w:rPr>
                    <w:t>2.2t/a</w:t>
                  </w:r>
                </w:p>
              </w:tc>
              <w:tc>
                <w:tcPr>
                  <w:tcW w:w="916" w:type="pct"/>
                  <w:noWrap w:val="0"/>
                  <w:vAlign w:val="center"/>
                </w:tcPr>
                <w:p w14:paraId="6C50F6B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Cs w:val="21"/>
                    </w:rPr>
                  </w:pPr>
                  <w:r>
                    <w:rPr>
                      <w:rFonts w:hint="default"/>
                      <w:color w:val="auto"/>
                      <w:sz w:val="21"/>
                    </w:rPr>
                    <w:t>水中杂质等</w:t>
                  </w:r>
                </w:p>
              </w:tc>
              <w:tc>
                <w:tcPr>
                  <w:tcW w:w="1391" w:type="pct"/>
                  <w:noWrap w:val="0"/>
                  <w:vAlign w:val="center"/>
                </w:tcPr>
                <w:p w14:paraId="7BE8324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Cs w:val="21"/>
                    </w:rPr>
                  </w:pPr>
                  <w:r>
                    <w:rPr>
                      <w:rFonts w:hint="default"/>
                      <w:color w:val="auto"/>
                      <w:sz w:val="21"/>
                    </w:rPr>
                    <w:t>收集后送废品回收站</w:t>
                  </w:r>
                </w:p>
              </w:tc>
              <w:tc>
                <w:tcPr>
                  <w:tcW w:w="543" w:type="pct"/>
                  <w:vMerge w:val="restart"/>
                  <w:noWrap w:val="0"/>
                  <w:vAlign w:val="center"/>
                </w:tcPr>
                <w:p w14:paraId="39BE3D5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eastAsia="宋体"/>
                      <w:color w:val="auto"/>
                      <w:sz w:val="21"/>
                      <w:lang w:val="en-US" w:eastAsia="zh-CN"/>
                    </w:rPr>
                  </w:pPr>
                  <w:r>
                    <w:rPr>
                      <w:rFonts w:hint="eastAsia"/>
                      <w:color w:val="auto"/>
                      <w:sz w:val="21"/>
                      <w:lang w:eastAsia="zh-CN"/>
                    </w:rPr>
                    <w:t>处置率达</w:t>
                  </w:r>
                  <w:r>
                    <w:rPr>
                      <w:rFonts w:hint="eastAsia"/>
                      <w:color w:val="auto"/>
                      <w:sz w:val="21"/>
                      <w:lang w:val="en-US" w:eastAsia="zh-CN"/>
                    </w:rPr>
                    <w:t>100%</w:t>
                  </w:r>
                </w:p>
              </w:tc>
            </w:tr>
            <w:tr w14:paraId="0B5C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17" w:type="pct"/>
                  <w:noWrap w:val="0"/>
                  <w:vAlign w:val="center"/>
                </w:tcPr>
                <w:p w14:paraId="4887A52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Cs w:val="21"/>
                    </w:rPr>
                  </w:pPr>
                  <w:r>
                    <w:rPr>
                      <w:rFonts w:hint="default"/>
                      <w:color w:val="auto"/>
                      <w:szCs w:val="21"/>
                    </w:rPr>
                    <w:t>2</w:t>
                  </w:r>
                </w:p>
              </w:tc>
              <w:tc>
                <w:tcPr>
                  <w:tcW w:w="1148" w:type="pct"/>
                  <w:noWrap w:val="0"/>
                  <w:vAlign w:val="center"/>
                </w:tcPr>
                <w:p w14:paraId="1673BFB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Cs w:val="21"/>
                    </w:rPr>
                  </w:pPr>
                  <w:r>
                    <w:rPr>
                      <w:rFonts w:hint="default"/>
                      <w:color w:val="auto"/>
                      <w:sz w:val="21"/>
                    </w:rPr>
                    <w:t>乳胶漆袋除尘灰</w:t>
                  </w:r>
                </w:p>
              </w:tc>
              <w:tc>
                <w:tcPr>
                  <w:tcW w:w="682" w:type="pct"/>
                  <w:noWrap w:val="0"/>
                  <w:vAlign w:val="center"/>
                </w:tcPr>
                <w:p w14:paraId="66557A5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jc w:val="center"/>
                    <w:textAlignment w:val="auto"/>
                    <w:rPr>
                      <w:rFonts w:hint="default"/>
                      <w:color w:val="auto"/>
                      <w:szCs w:val="21"/>
                    </w:rPr>
                  </w:pPr>
                  <w:r>
                    <w:rPr>
                      <w:rFonts w:hint="default" w:ascii="Times New Roman"/>
                      <w:color w:val="auto"/>
                      <w:sz w:val="21"/>
                    </w:rPr>
                    <w:t>1.77 t/a</w:t>
                  </w:r>
                </w:p>
              </w:tc>
              <w:tc>
                <w:tcPr>
                  <w:tcW w:w="916" w:type="pct"/>
                  <w:noWrap w:val="0"/>
                  <w:vAlign w:val="center"/>
                </w:tcPr>
                <w:p w14:paraId="225B8D2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Cs w:val="21"/>
                    </w:rPr>
                  </w:pPr>
                  <w:r>
                    <w:rPr>
                      <w:rFonts w:hint="default"/>
                      <w:color w:val="auto"/>
                      <w:sz w:val="21"/>
                    </w:rPr>
                    <w:t>颗粒物</w:t>
                  </w:r>
                </w:p>
              </w:tc>
              <w:tc>
                <w:tcPr>
                  <w:tcW w:w="1391" w:type="pct"/>
                  <w:noWrap w:val="0"/>
                  <w:vAlign w:val="center"/>
                </w:tcPr>
                <w:p w14:paraId="33ED811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Cs w:val="21"/>
                    </w:rPr>
                  </w:pPr>
                  <w:r>
                    <w:rPr>
                      <w:rFonts w:hint="default"/>
                      <w:color w:val="auto"/>
                      <w:sz w:val="21"/>
                    </w:rPr>
                    <w:t>返回原料填加工序。</w:t>
                  </w:r>
                </w:p>
              </w:tc>
              <w:tc>
                <w:tcPr>
                  <w:tcW w:w="543" w:type="pct"/>
                  <w:vMerge w:val="continue"/>
                  <w:noWrap w:val="0"/>
                  <w:vAlign w:val="center"/>
                </w:tcPr>
                <w:p w14:paraId="04771E3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 w:val="21"/>
                    </w:rPr>
                  </w:pPr>
                </w:p>
              </w:tc>
            </w:tr>
            <w:tr w14:paraId="090E4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17" w:type="pct"/>
                  <w:noWrap w:val="0"/>
                  <w:vAlign w:val="center"/>
                </w:tcPr>
                <w:p w14:paraId="1E33519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Cs w:val="21"/>
                    </w:rPr>
                  </w:pPr>
                  <w:r>
                    <w:rPr>
                      <w:rFonts w:hint="default"/>
                      <w:color w:val="auto"/>
                      <w:szCs w:val="21"/>
                    </w:rPr>
                    <w:t>3</w:t>
                  </w:r>
                </w:p>
              </w:tc>
              <w:tc>
                <w:tcPr>
                  <w:tcW w:w="1148" w:type="pct"/>
                  <w:noWrap w:val="0"/>
                  <w:vAlign w:val="center"/>
                </w:tcPr>
                <w:p w14:paraId="4F9D2E0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Cs w:val="21"/>
                    </w:rPr>
                  </w:pPr>
                  <w:r>
                    <w:rPr>
                      <w:rFonts w:hint="default"/>
                      <w:color w:val="auto"/>
                      <w:sz w:val="21"/>
                    </w:rPr>
                    <w:t>砂壁袋收尘灰</w:t>
                  </w:r>
                </w:p>
              </w:tc>
              <w:tc>
                <w:tcPr>
                  <w:tcW w:w="682" w:type="pct"/>
                  <w:noWrap w:val="0"/>
                  <w:vAlign w:val="center"/>
                </w:tcPr>
                <w:p w14:paraId="6CA565C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jc w:val="center"/>
                    <w:textAlignment w:val="auto"/>
                    <w:rPr>
                      <w:rFonts w:hint="default"/>
                      <w:color w:val="auto"/>
                      <w:szCs w:val="21"/>
                    </w:rPr>
                  </w:pPr>
                  <w:r>
                    <w:rPr>
                      <w:rFonts w:hint="default" w:ascii="Times New Roman"/>
                      <w:color w:val="auto"/>
                      <w:sz w:val="21"/>
                    </w:rPr>
                    <w:t>1.24 t/a</w:t>
                  </w:r>
                </w:p>
              </w:tc>
              <w:tc>
                <w:tcPr>
                  <w:tcW w:w="916" w:type="pct"/>
                  <w:noWrap w:val="0"/>
                  <w:vAlign w:val="center"/>
                </w:tcPr>
                <w:p w14:paraId="59A1C5F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Cs w:val="21"/>
                    </w:rPr>
                  </w:pPr>
                  <w:r>
                    <w:rPr>
                      <w:rFonts w:hint="default"/>
                      <w:color w:val="auto"/>
                      <w:sz w:val="21"/>
                    </w:rPr>
                    <w:t>颗粒物</w:t>
                  </w:r>
                </w:p>
              </w:tc>
              <w:tc>
                <w:tcPr>
                  <w:tcW w:w="1391" w:type="pct"/>
                  <w:noWrap w:val="0"/>
                  <w:vAlign w:val="center"/>
                </w:tcPr>
                <w:p w14:paraId="6100842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Cs w:val="21"/>
                    </w:rPr>
                  </w:pPr>
                  <w:r>
                    <w:rPr>
                      <w:rFonts w:hint="default"/>
                      <w:color w:val="auto"/>
                      <w:sz w:val="21"/>
                    </w:rPr>
                    <w:t>返回原料填加工序。</w:t>
                  </w:r>
                </w:p>
              </w:tc>
              <w:tc>
                <w:tcPr>
                  <w:tcW w:w="543" w:type="pct"/>
                  <w:vMerge w:val="continue"/>
                  <w:noWrap w:val="0"/>
                  <w:vAlign w:val="center"/>
                </w:tcPr>
                <w:p w14:paraId="51D0C93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 w:val="21"/>
                    </w:rPr>
                  </w:pPr>
                </w:p>
              </w:tc>
            </w:tr>
            <w:tr w14:paraId="06801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317" w:type="pct"/>
                  <w:noWrap w:val="0"/>
                  <w:vAlign w:val="center"/>
                </w:tcPr>
                <w:p w14:paraId="45F9FF6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Cs w:val="21"/>
                    </w:rPr>
                  </w:pPr>
                  <w:r>
                    <w:rPr>
                      <w:rFonts w:hint="default"/>
                      <w:color w:val="auto"/>
                      <w:szCs w:val="21"/>
                    </w:rPr>
                    <w:t>4</w:t>
                  </w:r>
                </w:p>
              </w:tc>
              <w:tc>
                <w:tcPr>
                  <w:tcW w:w="1148" w:type="pct"/>
                  <w:noWrap w:val="0"/>
                  <w:vAlign w:val="center"/>
                </w:tcPr>
                <w:p w14:paraId="16AEC50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Cs w:val="21"/>
                    </w:rPr>
                  </w:pPr>
                  <w:r>
                    <w:rPr>
                      <w:rFonts w:hint="default"/>
                      <w:color w:val="auto"/>
                      <w:sz w:val="21"/>
                    </w:rPr>
                    <w:t>腻子粉收尘灰</w:t>
                  </w:r>
                </w:p>
              </w:tc>
              <w:tc>
                <w:tcPr>
                  <w:tcW w:w="682" w:type="pct"/>
                  <w:noWrap w:val="0"/>
                  <w:vAlign w:val="center"/>
                </w:tcPr>
                <w:p w14:paraId="1CD0E5C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jc w:val="center"/>
                    <w:textAlignment w:val="auto"/>
                    <w:rPr>
                      <w:rFonts w:hint="default"/>
                      <w:color w:val="auto"/>
                      <w:szCs w:val="21"/>
                    </w:rPr>
                  </w:pPr>
                  <w:r>
                    <w:rPr>
                      <w:rFonts w:hint="default" w:ascii="Times New Roman"/>
                      <w:color w:val="auto"/>
                      <w:sz w:val="21"/>
                    </w:rPr>
                    <w:t>1.59 t/a</w:t>
                  </w:r>
                </w:p>
              </w:tc>
              <w:tc>
                <w:tcPr>
                  <w:tcW w:w="916" w:type="pct"/>
                  <w:noWrap w:val="0"/>
                  <w:vAlign w:val="center"/>
                </w:tcPr>
                <w:p w14:paraId="72C07EB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Cs w:val="21"/>
                    </w:rPr>
                  </w:pPr>
                  <w:r>
                    <w:rPr>
                      <w:rFonts w:hint="default"/>
                      <w:color w:val="auto"/>
                      <w:sz w:val="21"/>
                    </w:rPr>
                    <w:t>颗粒物</w:t>
                  </w:r>
                </w:p>
              </w:tc>
              <w:tc>
                <w:tcPr>
                  <w:tcW w:w="1391" w:type="pct"/>
                  <w:noWrap w:val="0"/>
                  <w:vAlign w:val="center"/>
                </w:tcPr>
                <w:p w14:paraId="79780B1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Cs w:val="21"/>
                    </w:rPr>
                  </w:pPr>
                  <w:r>
                    <w:rPr>
                      <w:rFonts w:hint="default"/>
                      <w:color w:val="auto"/>
                      <w:sz w:val="21"/>
                    </w:rPr>
                    <w:t>返回原料填加工序。</w:t>
                  </w:r>
                </w:p>
              </w:tc>
              <w:tc>
                <w:tcPr>
                  <w:tcW w:w="543" w:type="pct"/>
                  <w:vMerge w:val="continue"/>
                  <w:noWrap w:val="0"/>
                  <w:vAlign w:val="center"/>
                </w:tcPr>
                <w:p w14:paraId="6C77E7D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 w:val="21"/>
                    </w:rPr>
                  </w:pPr>
                </w:p>
              </w:tc>
            </w:tr>
            <w:tr w14:paraId="7A15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17" w:type="pct"/>
                  <w:noWrap w:val="0"/>
                  <w:vAlign w:val="center"/>
                </w:tcPr>
                <w:p w14:paraId="0810B92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Cs w:val="21"/>
                    </w:rPr>
                  </w:pPr>
                  <w:r>
                    <w:rPr>
                      <w:rFonts w:hint="default"/>
                      <w:color w:val="auto"/>
                      <w:szCs w:val="21"/>
                    </w:rPr>
                    <w:t>5</w:t>
                  </w:r>
                </w:p>
              </w:tc>
              <w:tc>
                <w:tcPr>
                  <w:tcW w:w="1148" w:type="pct"/>
                  <w:noWrap w:val="0"/>
                  <w:vAlign w:val="center"/>
                </w:tcPr>
                <w:p w14:paraId="48D47C1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eastAsia="宋体"/>
                      <w:color w:val="auto"/>
                      <w:szCs w:val="21"/>
                      <w:lang w:eastAsia="zh-CN"/>
                    </w:rPr>
                  </w:pPr>
                  <w:r>
                    <w:rPr>
                      <w:rFonts w:hint="eastAsia"/>
                      <w:color w:val="auto"/>
                      <w:sz w:val="21"/>
                      <w:lang w:eastAsia="zh-CN"/>
                    </w:rPr>
                    <w:t>废包装材料</w:t>
                  </w:r>
                </w:p>
              </w:tc>
              <w:tc>
                <w:tcPr>
                  <w:tcW w:w="682" w:type="pct"/>
                  <w:noWrap w:val="0"/>
                  <w:vAlign w:val="center"/>
                </w:tcPr>
                <w:p w14:paraId="2B379AE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jc w:val="center"/>
                    <w:textAlignment w:val="auto"/>
                    <w:rPr>
                      <w:rFonts w:hint="default"/>
                      <w:color w:val="auto"/>
                      <w:szCs w:val="21"/>
                    </w:rPr>
                  </w:pPr>
                  <w:r>
                    <w:rPr>
                      <w:rFonts w:hint="default" w:ascii="Times New Roman" w:eastAsia="Times New Roman"/>
                      <w:color w:val="auto"/>
                      <w:sz w:val="21"/>
                    </w:rPr>
                    <w:t xml:space="preserve">6000 </w:t>
                  </w:r>
                  <w:r>
                    <w:rPr>
                      <w:rFonts w:hint="default"/>
                      <w:color w:val="auto"/>
                      <w:sz w:val="21"/>
                    </w:rPr>
                    <w:t>条</w:t>
                  </w:r>
                  <w:r>
                    <w:rPr>
                      <w:rFonts w:hint="default" w:ascii="Times New Roman" w:eastAsia="Times New Roman"/>
                      <w:color w:val="auto"/>
                      <w:sz w:val="21"/>
                    </w:rPr>
                    <w:t>/a</w:t>
                  </w:r>
                </w:p>
              </w:tc>
              <w:tc>
                <w:tcPr>
                  <w:tcW w:w="916" w:type="pct"/>
                  <w:noWrap w:val="0"/>
                  <w:vAlign w:val="center"/>
                </w:tcPr>
                <w:p w14:paraId="46ABC07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eastAsia="宋体"/>
                      <w:color w:val="auto"/>
                      <w:szCs w:val="21"/>
                      <w:lang w:eastAsia="zh-CN"/>
                    </w:rPr>
                  </w:pPr>
                  <w:r>
                    <w:rPr>
                      <w:rFonts w:hint="default"/>
                      <w:color w:val="auto"/>
                      <w:sz w:val="21"/>
                    </w:rPr>
                    <w:t>生产原</w:t>
                  </w:r>
                  <w:r>
                    <w:rPr>
                      <w:rFonts w:hint="eastAsia"/>
                      <w:color w:val="auto"/>
                      <w:sz w:val="21"/>
                      <w:lang w:eastAsia="zh-CN"/>
                    </w:rPr>
                    <w:t>辅</w:t>
                  </w:r>
                  <w:r>
                    <w:rPr>
                      <w:rFonts w:hint="default"/>
                      <w:color w:val="auto"/>
                      <w:sz w:val="21"/>
                    </w:rPr>
                    <w:t>料</w:t>
                  </w:r>
                  <w:r>
                    <w:rPr>
                      <w:rFonts w:hint="eastAsia"/>
                      <w:color w:val="auto"/>
                      <w:sz w:val="21"/>
                      <w:lang w:eastAsia="zh-CN"/>
                    </w:rPr>
                    <w:t>包装材料</w:t>
                  </w:r>
                </w:p>
              </w:tc>
              <w:tc>
                <w:tcPr>
                  <w:tcW w:w="1391" w:type="pct"/>
                  <w:noWrap w:val="0"/>
                  <w:vAlign w:val="center"/>
                </w:tcPr>
                <w:p w14:paraId="4908669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eastAsia="宋体"/>
                      <w:color w:val="auto"/>
                      <w:szCs w:val="21"/>
                      <w:lang w:eastAsia="zh-CN"/>
                    </w:rPr>
                  </w:pPr>
                  <w:r>
                    <w:rPr>
                      <w:rFonts w:hint="default"/>
                      <w:color w:val="auto"/>
                      <w:sz w:val="21"/>
                    </w:rPr>
                    <w:t>收集后送废品回收站</w:t>
                  </w:r>
                  <w:r>
                    <w:rPr>
                      <w:rFonts w:hint="eastAsia"/>
                      <w:color w:val="auto"/>
                      <w:sz w:val="21"/>
                      <w:lang w:eastAsia="zh-CN"/>
                    </w:rPr>
                    <w:t>。</w:t>
                  </w:r>
                </w:p>
              </w:tc>
              <w:tc>
                <w:tcPr>
                  <w:tcW w:w="543" w:type="pct"/>
                  <w:vMerge w:val="continue"/>
                  <w:noWrap w:val="0"/>
                  <w:vAlign w:val="center"/>
                </w:tcPr>
                <w:p w14:paraId="3B802DE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color w:val="auto"/>
                      <w:sz w:val="21"/>
                    </w:rPr>
                  </w:pPr>
                </w:p>
              </w:tc>
            </w:tr>
            <w:tr w14:paraId="3D6E1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17" w:type="pct"/>
                  <w:noWrap w:val="0"/>
                  <w:vAlign w:val="center"/>
                </w:tcPr>
                <w:p w14:paraId="5AA120F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Cs w:val="21"/>
                    </w:rPr>
                  </w:pPr>
                  <w:r>
                    <w:rPr>
                      <w:rFonts w:hint="default"/>
                      <w:color w:val="auto"/>
                      <w:szCs w:val="21"/>
                    </w:rPr>
                    <w:t>6</w:t>
                  </w:r>
                </w:p>
              </w:tc>
              <w:tc>
                <w:tcPr>
                  <w:tcW w:w="1148" w:type="pct"/>
                  <w:noWrap w:val="0"/>
                  <w:vAlign w:val="center"/>
                </w:tcPr>
                <w:p w14:paraId="5EB7FCB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Cs w:val="21"/>
                    </w:rPr>
                  </w:pPr>
                  <w:r>
                    <w:rPr>
                      <w:rFonts w:hint="default"/>
                      <w:color w:val="auto"/>
                      <w:sz w:val="21"/>
                    </w:rPr>
                    <w:t>污水处理系统污</w:t>
                  </w:r>
                  <w:r>
                    <w:rPr>
                      <w:rFonts w:hint="default"/>
                      <w:color w:val="auto"/>
                      <w:w w:val="100"/>
                      <w:sz w:val="21"/>
                    </w:rPr>
                    <w:t>泥</w:t>
                  </w:r>
                </w:p>
              </w:tc>
              <w:tc>
                <w:tcPr>
                  <w:tcW w:w="682" w:type="pct"/>
                  <w:noWrap w:val="0"/>
                  <w:vAlign w:val="center"/>
                </w:tcPr>
                <w:p w14:paraId="29D903B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eastAsia="宋体"/>
                      <w:color w:val="auto"/>
                      <w:szCs w:val="21"/>
                      <w:lang w:val="en-US" w:eastAsia="zh-CN"/>
                    </w:rPr>
                  </w:pPr>
                  <w:r>
                    <w:rPr>
                      <w:rFonts w:hint="eastAsia"/>
                      <w:color w:val="auto"/>
                      <w:szCs w:val="21"/>
                      <w:lang w:val="en-US" w:eastAsia="zh-CN"/>
                    </w:rPr>
                    <w:t>5.4</w:t>
                  </w:r>
                  <w:r>
                    <w:rPr>
                      <w:rFonts w:hint="default" w:ascii="Times New Roman"/>
                      <w:color w:val="auto"/>
                      <w:sz w:val="21"/>
                    </w:rPr>
                    <w:t>t/a</w:t>
                  </w:r>
                </w:p>
              </w:tc>
              <w:tc>
                <w:tcPr>
                  <w:tcW w:w="916" w:type="pct"/>
                  <w:noWrap w:val="0"/>
                  <w:vAlign w:val="center"/>
                </w:tcPr>
                <w:p w14:paraId="2B0A9AA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olor w:val="auto"/>
                      <w:szCs w:val="21"/>
                      <w:lang w:eastAsia="zh-CN"/>
                    </w:rPr>
                  </w:pPr>
                  <w:r>
                    <w:rPr>
                      <w:rFonts w:hint="eastAsia"/>
                      <w:color w:val="auto"/>
                      <w:szCs w:val="21"/>
                      <w:lang w:eastAsia="zh-CN"/>
                    </w:rPr>
                    <w:t>污泥</w:t>
                  </w:r>
                </w:p>
              </w:tc>
              <w:tc>
                <w:tcPr>
                  <w:tcW w:w="1391" w:type="pct"/>
                  <w:noWrap w:val="0"/>
                  <w:vAlign w:val="center"/>
                </w:tcPr>
                <w:p w14:paraId="3BDE67F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olor w:val="auto"/>
                      <w:szCs w:val="21"/>
                      <w:lang w:eastAsia="zh-CN"/>
                    </w:rPr>
                  </w:pPr>
                  <w:r>
                    <w:rPr>
                      <w:rFonts w:hint="eastAsia"/>
                      <w:color w:val="auto"/>
                      <w:szCs w:val="21"/>
                      <w:lang w:eastAsia="zh-CN"/>
                    </w:rPr>
                    <w:t>由富名翔盛废物旧资收购点清运处置。</w:t>
                  </w:r>
                </w:p>
              </w:tc>
              <w:tc>
                <w:tcPr>
                  <w:tcW w:w="543" w:type="pct"/>
                  <w:vMerge w:val="continue"/>
                  <w:noWrap w:val="0"/>
                  <w:vAlign w:val="center"/>
                </w:tcPr>
                <w:p w14:paraId="0BF7598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Cs w:val="21"/>
                    </w:rPr>
                  </w:pPr>
                </w:p>
              </w:tc>
            </w:tr>
            <w:tr w14:paraId="7CD08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17" w:type="pct"/>
                  <w:noWrap w:val="0"/>
                  <w:vAlign w:val="center"/>
                </w:tcPr>
                <w:p w14:paraId="34F12AC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olor w:val="auto"/>
                      <w:szCs w:val="21"/>
                      <w:lang w:val="en-US" w:eastAsia="zh-CN"/>
                    </w:rPr>
                  </w:pPr>
                  <w:r>
                    <w:rPr>
                      <w:rFonts w:hint="eastAsia"/>
                      <w:color w:val="auto"/>
                      <w:szCs w:val="21"/>
                      <w:lang w:val="en-US" w:eastAsia="zh-CN"/>
                    </w:rPr>
                    <w:t>7</w:t>
                  </w:r>
                </w:p>
              </w:tc>
              <w:tc>
                <w:tcPr>
                  <w:tcW w:w="1148" w:type="pct"/>
                  <w:noWrap w:val="0"/>
                  <w:vAlign w:val="center"/>
                </w:tcPr>
                <w:p w14:paraId="2E4FFC0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olor w:val="auto"/>
                      <w:sz w:val="21"/>
                      <w:lang w:val="en-US" w:eastAsia="zh-CN"/>
                    </w:rPr>
                  </w:pPr>
                  <w:r>
                    <w:rPr>
                      <w:rFonts w:hint="eastAsia"/>
                      <w:color w:val="auto"/>
                      <w:sz w:val="21"/>
                      <w:lang w:val="en-US" w:eastAsia="zh-CN"/>
                    </w:rPr>
                    <w:t>废机油</w:t>
                  </w:r>
                </w:p>
              </w:tc>
              <w:tc>
                <w:tcPr>
                  <w:tcW w:w="682" w:type="pct"/>
                  <w:noWrap w:val="0"/>
                  <w:vAlign w:val="center"/>
                </w:tcPr>
                <w:p w14:paraId="0580D47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Cs w:val="21"/>
                      <w:lang w:val="en-US" w:eastAsia="zh-CN"/>
                    </w:rPr>
                  </w:pPr>
                  <w:r>
                    <w:rPr>
                      <w:rFonts w:hint="eastAsia"/>
                      <w:color w:val="auto"/>
                      <w:szCs w:val="21"/>
                      <w:lang w:val="en-US" w:eastAsia="zh-CN"/>
                    </w:rPr>
                    <w:t>0.5</w:t>
                  </w:r>
                </w:p>
              </w:tc>
              <w:tc>
                <w:tcPr>
                  <w:tcW w:w="916" w:type="pct"/>
                  <w:noWrap w:val="0"/>
                  <w:vAlign w:val="center"/>
                </w:tcPr>
                <w:p w14:paraId="48A7ED6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Cs w:val="21"/>
                      <w:lang w:val="en-US" w:eastAsia="zh-CN"/>
                    </w:rPr>
                  </w:pPr>
                  <w:r>
                    <w:rPr>
                      <w:rFonts w:hint="eastAsia"/>
                      <w:color w:val="auto"/>
                      <w:szCs w:val="21"/>
                      <w:lang w:val="en-US" w:eastAsia="zh-CN"/>
                    </w:rPr>
                    <w:t>油</w:t>
                  </w:r>
                </w:p>
              </w:tc>
              <w:tc>
                <w:tcPr>
                  <w:tcW w:w="1391" w:type="pct"/>
                  <w:noWrap w:val="0"/>
                  <w:vAlign w:val="center"/>
                </w:tcPr>
                <w:p w14:paraId="014E2F6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olor w:val="auto"/>
                      <w:szCs w:val="21"/>
                      <w:lang w:eastAsia="zh-CN"/>
                    </w:rPr>
                  </w:pPr>
                  <w:r>
                    <w:rPr>
                      <w:rFonts w:hint="eastAsia"/>
                      <w:color w:val="auto"/>
                      <w:szCs w:val="21"/>
                      <w:lang w:val="en-US" w:eastAsia="zh-CN"/>
                    </w:rPr>
                    <w:t>委托有资质单位清运处置</w:t>
                  </w:r>
                </w:p>
              </w:tc>
              <w:tc>
                <w:tcPr>
                  <w:tcW w:w="543" w:type="pct"/>
                  <w:vMerge w:val="continue"/>
                  <w:noWrap w:val="0"/>
                  <w:vAlign w:val="center"/>
                </w:tcPr>
                <w:p w14:paraId="182D632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Cs w:val="21"/>
                    </w:rPr>
                  </w:pPr>
                </w:p>
              </w:tc>
            </w:tr>
            <w:tr w14:paraId="49577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17" w:type="pct"/>
                  <w:noWrap w:val="0"/>
                  <w:vAlign w:val="center"/>
                </w:tcPr>
                <w:p w14:paraId="0587CAC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eastAsia="宋体"/>
                      <w:color w:val="auto"/>
                      <w:szCs w:val="21"/>
                      <w:lang w:val="en-US" w:eastAsia="zh-CN"/>
                    </w:rPr>
                  </w:pPr>
                  <w:r>
                    <w:rPr>
                      <w:rFonts w:hint="eastAsia"/>
                      <w:color w:val="auto"/>
                      <w:szCs w:val="21"/>
                      <w:lang w:val="en-US" w:eastAsia="zh-CN"/>
                    </w:rPr>
                    <w:t>8</w:t>
                  </w:r>
                </w:p>
              </w:tc>
              <w:tc>
                <w:tcPr>
                  <w:tcW w:w="1148" w:type="pct"/>
                  <w:noWrap w:val="0"/>
                  <w:vAlign w:val="center"/>
                </w:tcPr>
                <w:p w14:paraId="59088E9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 w:val="21"/>
                    </w:rPr>
                  </w:pPr>
                  <w:r>
                    <w:rPr>
                      <w:rFonts w:hint="eastAsia"/>
                      <w:color w:val="auto"/>
                      <w:sz w:val="21"/>
                      <w:lang w:val="en-US" w:eastAsia="zh-CN"/>
                    </w:rPr>
                    <w:t>沾染有机溶剂的包装材料</w:t>
                  </w:r>
                </w:p>
              </w:tc>
              <w:tc>
                <w:tcPr>
                  <w:tcW w:w="682" w:type="pct"/>
                  <w:noWrap w:val="0"/>
                  <w:vAlign w:val="center"/>
                </w:tcPr>
                <w:p w14:paraId="069D721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Cs w:val="21"/>
                      <w:lang w:val="en-US" w:eastAsia="zh-CN"/>
                    </w:rPr>
                  </w:pPr>
                  <w:r>
                    <w:rPr>
                      <w:rFonts w:hint="eastAsia"/>
                      <w:color w:val="auto"/>
                      <w:szCs w:val="21"/>
                      <w:lang w:val="en-US" w:eastAsia="zh-CN"/>
                    </w:rPr>
                    <w:t>0.1</w:t>
                  </w:r>
                </w:p>
              </w:tc>
              <w:tc>
                <w:tcPr>
                  <w:tcW w:w="916" w:type="pct"/>
                  <w:noWrap w:val="0"/>
                  <w:vAlign w:val="center"/>
                </w:tcPr>
                <w:p w14:paraId="265E541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Cs w:val="21"/>
                      <w:lang w:val="en-US" w:eastAsia="zh-CN"/>
                    </w:rPr>
                  </w:pPr>
                  <w:r>
                    <w:rPr>
                      <w:rFonts w:hint="eastAsia"/>
                      <w:color w:val="auto"/>
                      <w:szCs w:val="21"/>
                      <w:lang w:val="en-US" w:eastAsia="zh-CN"/>
                    </w:rPr>
                    <w:t>有机溶剂</w:t>
                  </w:r>
                </w:p>
              </w:tc>
              <w:tc>
                <w:tcPr>
                  <w:tcW w:w="1391" w:type="pct"/>
                  <w:noWrap w:val="0"/>
                  <w:vAlign w:val="center"/>
                </w:tcPr>
                <w:p w14:paraId="4E828A6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color w:val="auto"/>
                      <w:szCs w:val="21"/>
                      <w:lang w:eastAsia="zh-CN"/>
                    </w:rPr>
                  </w:pPr>
                  <w:r>
                    <w:rPr>
                      <w:rFonts w:hint="eastAsia"/>
                      <w:color w:val="auto"/>
                      <w:szCs w:val="21"/>
                      <w:lang w:val="en-US" w:eastAsia="zh-CN"/>
                    </w:rPr>
                    <w:t>委托有资质单位清运处置</w:t>
                  </w:r>
                </w:p>
              </w:tc>
              <w:tc>
                <w:tcPr>
                  <w:tcW w:w="543" w:type="pct"/>
                  <w:vMerge w:val="continue"/>
                  <w:noWrap w:val="0"/>
                  <w:vAlign w:val="center"/>
                </w:tcPr>
                <w:p w14:paraId="1EF7B70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auto"/>
                      <w:szCs w:val="21"/>
                    </w:rPr>
                  </w:pPr>
                </w:p>
              </w:tc>
            </w:tr>
          </w:tbl>
          <w:p w14:paraId="4F38A09E">
            <w:pPr>
              <w:pStyle w:val="12"/>
              <w:keepNext w:val="0"/>
              <w:keepLines w:val="0"/>
              <w:suppressLineNumbers w:val="0"/>
              <w:spacing w:before="0" w:beforeAutospacing="0" w:after="0" w:afterAutospacing="0" w:line="360" w:lineRule="auto"/>
              <w:ind w:left="0" w:firstLine="482" w:firstLineChars="200"/>
              <w:rPr>
                <w:rFonts w:hint="default"/>
                <w:color w:val="auto"/>
                <w:sz w:val="24"/>
                <w:szCs w:val="24"/>
              </w:rPr>
            </w:pPr>
            <w:r>
              <w:rPr>
                <w:rFonts w:hint="eastAsia"/>
                <w:b/>
                <w:bCs/>
                <w:color w:val="auto"/>
                <w:sz w:val="24"/>
                <w:szCs w:val="24"/>
                <w:lang w:val="en-US" w:eastAsia="zh-CN"/>
              </w:rPr>
              <w:t>6</w:t>
            </w:r>
            <w:r>
              <w:rPr>
                <w:rFonts w:hint="default"/>
                <w:b/>
                <w:bCs/>
                <w:color w:val="auto"/>
                <w:sz w:val="24"/>
                <w:szCs w:val="24"/>
              </w:rPr>
              <w:t>、排污许可证执行情况</w:t>
            </w:r>
          </w:p>
          <w:p w14:paraId="29F58EEA">
            <w:pPr>
              <w:keepNext w:val="0"/>
              <w:keepLines w:val="0"/>
              <w:suppressLineNumbers w:val="0"/>
              <w:adjustRightInd w:val="0"/>
              <w:snapToGrid w:val="0"/>
              <w:spacing w:before="0" w:beforeAutospacing="0" w:after="0" w:afterAutospacing="0" w:line="360" w:lineRule="auto"/>
              <w:ind w:left="0" w:right="0" w:firstLine="480" w:firstLineChars="200"/>
              <w:rPr>
                <w:rFonts w:hint="default"/>
                <w:b/>
                <w:bCs/>
                <w:color w:val="auto"/>
                <w:spacing w:val="-6"/>
                <w:sz w:val="24"/>
              </w:rPr>
            </w:pPr>
            <w:r>
              <w:rPr>
                <w:rFonts w:hint="default"/>
                <w:color w:val="auto"/>
                <w:sz w:val="24"/>
                <w:lang w:val="zh-CN"/>
              </w:rPr>
              <w:t>2020年</w:t>
            </w:r>
            <w:r>
              <w:rPr>
                <w:rFonts w:hint="eastAsia"/>
                <w:color w:val="auto"/>
                <w:sz w:val="24"/>
                <w:lang w:val="en-US" w:eastAsia="zh-CN"/>
              </w:rPr>
              <w:t>7</w:t>
            </w:r>
            <w:r>
              <w:rPr>
                <w:rFonts w:hint="default"/>
                <w:color w:val="auto"/>
                <w:sz w:val="24"/>
              </w:rPr>
              <w:t>月</w:t>
            </w:r>
            <w:r>
              <w:rPr>
                <w:rFonts w:hint="eastAsia"/>
                <w:color w:val="auto"/>
                <w:sz w:val="24"/>
                <w:lang w:val="en-US" w:eastAsia="zh-CN"/>
              </w:rPr>
              <w:t>19</w:t>
            </w:r>
            <w:r>
              <w:rPr>
                <w:rFonts w:hint="default"/>
                <w:color w:val="auto"/>
                <w:sz w:val="24"/>
              </w:rPr>
              <w:t>日，根据相关要求，</w:t>
            </w:r>
            <w:r>
              <w:rPr>
                <w:rFonts w:hint="default"/>
                <w:color w:val="auto"/>
                <w:sz w:val="24"/>
                <w:szCs w:val="24"/>
              </w:rPr>
              <w:t>立邦涂料（昆明）有限公司</w:t>
            </w:r>
            <w:r>
              <w:rPr>
                <w:rFonts w:hint="default"/>
                <w:color w:val="auto"/>
                <w:sz w:val="24"/>
              </w:rPr>
              <w:t>申请了排污许可证，《排污许可证》编号为：</w:t>
            </w:r>
            <w:r>
              <w:rPr>
                <w:rFonts w:hint="eastAsia"/>
                <w:color w:val="auto"/>
                <w:sz w:val="24"/>
                <w:lang w:val="en-US" w:eastAsia="zh-CN"/>
              </w:rPr>
              <w:t>915301000642951353001Q</w:t>
            </w:r>
            <w:r>
              <w:rPr>
                <w:rFonts w:hint="default"/>
                <w:color w:val="auto"/>
                <w:sz w:val="24"/>
              </w:rPr>
              <w:t>。建设单位严格按照《排污许可证》自行监测要求定期委托</w:t>
            </w:r>
            <w:r>
              <w:rPr>
                <w:rFonts w:hint="eastAsia"/>
                <w:color w:val="auto"/>
                <w:sz w:val="24"/>
                <w:lang w:eastAsia="zh-CN"/>
              </w:rPr>
              <w:t>云南环绿环境检测技术有限公司</w:t>
            </w:r>
            <w:r>
              <w:rPr>
                <w:rFonts w:hint="default"/>
                <w:color w:val="auto"/>
                <w:sz w:val="24"/>
              </w:rPr>
              <w:t>进行监测，并定期在全国排污许可证管理信息平台填报年度执行报告。</w:t>
            </w:r>
          </w:p>
          <w:p w14:paraId="5151BBD5">
            <w:pPr>
              <w:keepNext w:val="0"/>
              <w:keepLines w:val="0"/>
              <w:widowControl/>
              <w:suppressLineNumbers w:val="0"/>
              <w:adjustRightInd w:val="0"/>
              <w:snapToGrid w:val="0"/>
              <w:spacing w:before="0" w:beforeAutospacing="0" w:after="0" w:afterAutospacing="0" w:line="360" w:lineRule="auto"/>
              <w:ind w:left="0" w:right="0" w:firstLine="480" w:firstLineChars="200"/>
              <w:jc w:val="both"/>
              <w:rPr>
                <w:rFonts w:hint="default"/>
                <w:b/>
                <w:bCs/>
                <w:color w:val="auto"/>
                <w:kern w:val="0"/>
                <w:sz w:val="24"/>
                <w:lang w:bidi="ar"/>
              </w:rPr>
            </w:pPr>
            <w:r>
              <w:rPr>
                <w:rFonts w:hint="eastAsia"/>
                <w:color w:val="auto"/>
                <w:sz w:val="24"/>
                <w:lang w:val="en-US" w:eastAsia="zh-CN"/>
              </w:rPr>
              <w:t>企业</w:t>
            </w:r>
            <w:r>
              <w:rPr>
                <w:rFonts w:hint="default"/>
                <w:color w:val="auto"/>
                <w:sz w:val="24"/>
              </w:rPr>
              <w:t>《排污许可证》共</w:t>
            </w:r>
            <w:r>
              <w:rPr>
                <w:rFonts w:hint="eastAsia"/>
                <w:color w:val="auto"/>
                <w:sz w:val="24"/>
                <w:lang w:val="en-US" w:eastAsia="zh-CN"/>
              </w:rPr>
              <w:t>核准</w:t>
            </w:r>
            <w:r>
              <w:rPr>
                <w:rFonts w:hint="default"/>
                <w:color w:val="auto"/>
                <w:sz w:val="24"/>
              </w:rPr>
              <w:t>1个排气筒</w:t>
            </w:r>
            <w:r>
              <w:rPr>
                <w:rFonts w:hint="eastAsia"/>
                <w:color w:val="auto"/>
                <w:sz w:val="24"/>
                <w:lang w:val="en-US" w:eastAsia="zh-CN"/>
              </w:rPr>
              <w:t>DA001（腻子粉投料、配料、混料粉尘）</w:t>
            </w:r>
            <w:r>
              <w:rPr>
                <w:rFonts w:hint="default"/>
                <w:color w:val="auto"/>
                <w:sz w:val="24"/>
              </w:rPr>
              <w:t>，根据</w:t>
            </w:r>
            <w:r>
              <w:rPr>
                <w:rFonts w:hint="eastAsia"/>
                <w:color w:val="auto"/>
                <w:sz w:val="24"/>
                <w:lang w:val="en-US" w:eastAsia="zh-CN"/>
              </w:rPr>
              <w:t>季度</w:t>
            </w:r>
            <w:r>
              <w:rPr>
                <w:rFonts w:hint="default"/>
                <w:color w:val="auto"/>
                <w:sz w:val="24"/>
              </w:rPr>
              <w:t>监测结果表明，</w:t>
            </w:r>
            <w:r>
              <w:rPr>
                <w:rFonts w:hint="eastAsia"/>
                <w:color w:val="auto"/>
                <w:sz w:val="24"/>
                <w:lang w:eastAsia="zh-CN"/>
              </w:rPr>
              <w:t>排气筒</w:t>
            </w:r>
            <w:r>
              <w:rPr>
                <w:rFonts w:hint="default"/>
                <w:color w:val="auto"/>
                <w:sz w:val="24"/>
              </w:rPr>
              <w:t>颗粒物能达到</w:t>
            </w:r>
            <w:r>
              <w:rPr>
                <w:rFonts w:hint="default"/>
                <w:color w:val="auto"/>
                <w:sz w:val="24"/>
                <w:szCs w:val="21"/>
              </w:rPr>
              <w:t>《大气污染物综合排放标准》（GB16297--1996 ）表2</w:t>
            </w:r>
            <w:r>
              <w:rPr>
                <w:rFonts w:hint="eastAsia"/>
                <w:color w:val="auto"/>
                <w:sz w:val="24"/>
                <w:szCs w:val="21"/>
                <w:lang w:eastAsia="zh-CN"/>
              </w:rPr>
              <w:t>最高排放浓度</w:t>
            </w:r>
            <w:r>
              <w:rPr>
                <w:rFonts w:hint="default"/>
                <w:color w:val="auto"/>
                <w:sz w:val="24"/>
              </w:rPr>
              <w:t>，排放速率能达到《排污许可证》（</w:t>
            </w:r>
            <w:r>
              <w:rPr>
                <w:rFonts w:hint="eastAsia"/>
                <w:color w:val="auto"/>
                <w:sz w:val="24"/>
                <w:lang w:val="en-US" w:eastAsia="zh-CN"/>
              </w:rPr>
              <w:t>915301000642951353001Q</w:t>
            </w:r>
            <w:r>
              <w:rPr>
                <w:rFonts w:hint="default"/>
                <w:color w:val="auto"/>
                <w:sz w:val="24"/>
              </w:rPr>
              <w:t>）中许可排放速率限值要求</w:t>
            </w:r>
            <w:r>
              <w:rPr>
                <w:rFonts w:hint="eastAsia"/>
                <w:color w:val="auto"/>
                <w:sz w:val="24"/>
                <w:lang w:eastAsia="zh-CN"/>
              </w:rPr>
              <w:t>；</w:t>
            </w:r>
            <w:r>
              <w:rPr>
                <w:rFonts w:hint="default"/>
                <w:color w:val="auto"/>
                <w:sz w:val="24"/>
                <w:szCs w:val="21"/>
              </w:rPr>
              <w:t>项目厂界无组织颗粒物</w:t>
            </w:r>
            <w:r>
              <w:rPr>
                <w:rFonts w:hint="eastAsia"/>
                <w:color w:val="auto"/>
                <w:sz w:val="24"/>
                <w:szCs w:val="21"/>
                <w:lang w:eastAsia="zh-CN"/>
              </w:rPr>
              <w:t>满足</w:t>
            </w:r>
            <w:r>
              <w:rPr>
                <w:rFonts w:hint="default"/>
                <w:color w:val="auto"/>
                <w:sz w:val="24"/>
                <w:szCs w:val="21"/>
              </w:rPr>
              <w:t>《大气污染物综合排放标准》（GB16297--1996 ）表2</w:t>
            </w:r>
            <w:r>
              <w:rPr>
                <w:rFonts w:hint="eastAsia"/>
                <w:color w:val="auto"/>
                <w:sz w:val="24"/>
                <w:szCs w:val="21"/>
                <w:lang w:eastAsia="zh-CN"/>
              </w:rPr>
              <w:t>无组织排放限值；臭气浓度</w:t>
            </w:r>
            <w:r>
              <w:rPr>
                <w:rFonts w:hint="default"/>
                <w:color w:val="auto"/>
                <w:sz w:val="24"/>
                <w:szCs w:val="21"/>
              </w:rPr>
              <w:t>满足《恶臭污染物排放标准》（GB14554-93）表</w:t>
            </w:r>
            <w:r>
              <w:rPr>
                <w:rFonts w:hint="eastAsia"/>
                <w:color w:val="auto"/>
                <w:sz w:val="24"/>
                <w:szCs w:val="21"/>
                <w:lang w:val="en-US" w:eastAsia="zh-CN"/>
              </w:rPr>
              <w:t>1</w:t>
            </w:r>
            <w:r>
              <w:rPr>
                <w:rFonts w:hint="default"/>
                <w:color w:val="auto"/>
                <w:sz w:val="24"/>
                <w:szCs w:val="21"/>
              </w:rPr>
              <w:t>中</w:t>
            </w:r>
            <w:r>
              <w:rPr>
                <w:rFonts w:hint="eastAsia"/>
                <w:color w:val="auto"/>
                <w:sz w:val="24"/>
                <w:szCs w:val="21"/>
                <w:lang w:eastAsia="zh-CN"/>
              </w:rPr>
              <w:t>相关标准；生活污水经隔油池、化粪池预处理后同生产</w:t>
            </w:r>
            <w:r>
              <w:rPr>
                <w:rFonts w:hint="eastAsia"/>
                <w:color w:val="auto"/>
                <w:sz w:val="24"/>
                <w:szCs w:val="21"/>
                <w:lang w:val="en-US" w:eastAsia="zh-CN"/>
              </w:rPr>
              <w:t>环节清洗</w:t>
            </w:r>
            <w:r>
              <w:rPr>
                <w:rFonts w:hint="eastAsia"/>
                <w:color w:val="auto"/>
                <w:sz w:val="24"/>
                <w:szCs w:val="21"/>
                <w:lang w:eastAsia="zh-CN"/>
              </w:rPr>
              <w:t>废水一并进入自建的污水处理系统处理达《污水排入城镇下水道水质标准》（GB/T131962-2015）表1中</w:t>
            </w:r>
            <w:r>
              <w:rPr>
                <w:rFonts w:hint="eastAsia"/>
                <w:color w:val="auto"/>
                <w:sz w:val="24"/>
                <w:szCs w:val="21"/>
                <w:lang w:val="en-US" w:eastAsia="zh-CN"/>
              </w:rPr>
              <w:t>A</w:t>
            </w:r>
            <w:r>
              <w:rPr>
                <w:rFonts w:hint="eastAsia"/>
                <w:color w:val="auto"/>
                <w:sz w:val="24"/>
                <w:szCs w:val="21"/>
                <w:lang w:eastAsia="zh-CN"/>
              </w:rPr>
              <w:t>级标准后进入园区污水管网，最终进入富民工业园区哨箐机械加工园污水处理厂</w:t>
            </w:r>
            <w:r>
              <w:rPr>
                <w:rFonts w:hint="eastAsia"/>
                <w:color w:val="auto"/>
                <w:sz w:val="24"/>
                <w:szCs w:val="21"/>
                <w:lang w:val="en-US" w:eastAsia="zh-CN"/>
              </w:rPr>
              <w:t>；固体废弃物100%合理处置</w:t>
            </w:r>
            <w:r>
              <w:rPr>
                <w:rFonts w:hint="default"/>
                <w:color w:val="auto"/>
                <w:sz w:val="24"/>
                <w:szCs w:val="21"/>
              </w:rPr>
              <w:t>。</w:t>
            </w:r>
            <w:r>
              <w:rPr>
                <w:rFonts w:hint="eastAsia"/>
                <w:color w:val="auto"/>
                <w:sz w:val="24"/>
                <w:szCs w:val="21"/>
                <w:lang w:val="en-US" w:eastAsia="zh-CN"/>
              </w:rPr>
              <w:t>综上，企业</w:t>
            </w:r>
            <w:r>
              <w:rPr>
                <w:rFonts w:hint="default"/>
                <w:color w:val="auto"/>
                <w:sz w:val="24"/>
                <w:szCs w:val="21"/>
              </w:rPr>
              <w:t>满足《排污许可证》要求。</w:t>
            </w:r>
          </w:p>
          <w:p w14:paraId="356846C1">
            <w:pPr>
              <w:keepNext w:val="0"/>
              <w:keepLines w:val="0"/>
              <w:widowControl/>
              <w:suppressLineNumbers w:val="0"/>
              <w:adjustRightInd w:val="0"/>
              <w:snapToGrid w:val="0"/>
              <w:spacing w:before="0" w:beforeAutospacing="0" w:after="0" w:afterAutospacing="0" w:line="360" w:lineRule="auto"/>
              <w:ind w:left="0" w:right="0" w:firstLine="482" w:firstLineChars="200"/>
              <w:jc w:val="left"/>
              <w:rPr>
                <w:rFonts w:hint="default"/>
                <w:color w:val="auto"/>
                <w:sz w:val="24"/>
              </w:rPr>
            </w:pPr>
            <w:r>
              <w:rPr>
                <w:rFonts w:hint="eastAsia"/>
                <w:b/>
                <w:bCs/>
                <w:color w:val="auto"/>
                <w:kern w:val="0"/>
                <w:sz w:val="24"/>
                <w:lang w:val="en-US" w:eastAsia="zh-CN" w:bidi="ar"/>
              </w:rPr>
              <w:t>7</w:t>
            </w:r>
            <w:r>
              <w:rPr>
                <w:rFonts w:hint="default"/>
                <w:b/>
                <w:bCs/>
                <w:color w:val="auto"/>
                <w:kern w:val="0"/>
                <w:sz w:val="24"/>
                <w:lang w:bidi="ar"/>
              </w:rPr>
              <w:t xml:space="preserve">、原有工程遗留问题和整改措施 </w:t>
            </w:r>
          </w:p>
          <w:p w14:paraId="0926C32A">
            <w:pPr>
              <w:keepNext w:val="0"/>
              <w:keepLines w:val="0"/>
              <w:suppressLineNumbers w:val="0"/>
              <w:snapToGrid w:val="0"/>
              <w:spacing w:before="0" w:beforeAutospacing="0" w:after="0" w:afterAutospacing="0" w:line="360" w:lineRule="auto"/>
              <w:ind w:left="0" w:right="0" w:firstLine="480"/>
              <w:rPr>
                <w:rFonts w:hint="default"/>
                <w:b/>
                <w:bCs/>
                <w:color w:val="auto"/>
                <w:kern w:val="0"/>
                <w:sz w:val="24"/>
              </w:rPr>
            </w:pPr>
            <w:r>
              <w:rPr>
                <w:rFonts w:hint="default"/>
                <w:b/>
                <w:bCs/>
                <w:color w:val="auto"/>
                <w:kern w:val="0"/>
                <w:sz w:val="24"/>
              </w:rPr>
              <w:t>（1）</w:t>
            </w:r>
            <w:r>
              <w:rPr>
                <w:rFonts w:hint="eastAsia"/>
                <w:b/>
                <w:bCs/>
                <w:color w:val="auto"/>
                <w:kern w:val="0"/>
                <w:sz w:val="24"/>
              </w:rPr>
              <w:t>原</w:t>
            </w:r>
            <w:r>
              <w:rPr>
                <w:rFonts w:hint="default"/>
                <w:b/>
                <w:bCs/>
                <w:color w:val="auto"/>
                <w:kern w:val="0"/>
                <w:sz w:val="24"/>
              </w:rPr>
              <w:t>项目存在的问题</w:t>
            </w:r>
          </w:p>
          <w:p w14:paraId="0BD1BEA5">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lang w:val="en-US" w:eastAsia="zh-CN" w:bidi="ar"/>
              </w:rPr>
            </w:pPr>
            <w:r>
              <w:rPr>
                <w:rFonts w:hint="default"/>
                <w:color w:val="auto"/>
                <w:sz w:val="24"/>
                <w:lang w:bidi="ar"/>
              </w:rPr>
              <w:t>根据原环评报告</w:t>
            </w:r>
            <w:r>
              <w:rPr>
                <w:rFonts w:hint="eastAsia"/>
                <w:color w:val="auto"/>
                <w:sz w:val="24"/>
                <w:lang w:val="en-US" w:eastAsia="zh-CN" w:bidi="ar"/>
              </w:rPr>
              <w:t>批复</w:t>
            </w:r>
            <w:r>
              <w:rPr>
                <w:rFonts w:hint="default"/>
                <w:color w:val="auto"/>
                <w:sz w:val="24"/>
                <w:lang w:bidi="ar"/>
              </w:rPr>
              <w:t>、竣工环境保护验收报告</w:t>
            </w:r>
            <w:r>
              <w:rPr>
                <w:rFonts w:hint="eastAsia"/>
                <w:color w:val="auto"/>
                <w:sz w:val="24"/>
                <w:lang w:eastAsia="zh-CN" w:bidi="ar"/>
              </w:rPr>
              <w:t>、</w:t>
            </w:r>
            <w:r>
              <w:rPr>
                <w:rFonts w:hint="default"/>
                <w:color w:val="auto"/>
                <w:sz w:val="24"/>
                <w:lang w:bidi="ar"/>
              </w:rPr>
              <w:t>排污许可证查阅情况以及近期的现场踏勘情况，原有工程存在</w:t>
            </w:r>
            <w:r>
              <w:rPr>
                <w:rFonts w:hint="eastAsia"/>
                <w:color w:val="auto"/>
                <w:sz w:val="24"/>
                <w:lang w:val="en-US" w:eastAsia="zh-CN" w:bidi="ar"/>
              </w:rPr>
              <w:t>的</w:t>
            </w:r>
            <w:r>
              <w:rPr>
                <w:rFonts w:hint="default"/>
                <w:color w:val="auto"/>
                <w:sz w:val="24"/>
                <w:lang w:bidi="ar"/>
              </w:rPr>
              <w:t>遗留环境问题</w:t>
            </w:r>
            <w:r>
              <w:rPr>
                <w:rFonts w:hint="eastAsia"/>
                <w:color w:val="auto"/>
                <w:sz w:val="24"/>
                <w:lang w:val="en-US" w:eastAsia="zh-CN" w:bidi="ar"/>
              </w:rPr>
              <w:t>如下：</w:t>
            </w:r>
          </w:p>
          <w:p w14:paraId="1868697C">
            <w:pPr>
              <w:keepNext w:val="0"/>
              <w:keepLines w:val="0"/>
              <w:suppressLineNumbers w:val="0"/>
              <w:snapToGrid w:val="0"/>
              <w:spacing w:before="0" w:beforeAutospacing="0" w:after="0" w:afterAutospacing="0" w:line="360" w:lineRule="auto"/>
              <w:ind w:left="0" w:right="0" w:firstLine="480"/>
              <w:rPr>
                <w:rFonts w:hint="eastAsia" w:ascii="Times New Roman" w:hAnsi="Times New Roman" w:eastAsia="宋体" w:cs="Times New Roman"/>
                <w:color w:val="auto"/>
                <w:sz w:val="24"/>
                <w:lang w:val="en-US" w:eastAsia="zh-CN" w:bidi="ar"/>
              </w:rPr>
            </w:pPr>
            <w:r>
              <w:rPr>
                <w:rFonts w:hint="eastAsia" w:ascii="Times New Roman" w:hAnsi="Times New Roman" w:eastAsia="宋体" w:cs="Times New Roman"/>
                <w:color w:val="auto"/>
                <w:sz w:val="24"/>
                <w:lang w:val="en-US" w:eastAsia="zh-CN" w:bidi="ar"/>
              </w:rPr>
              <w:t>①为了控制投料口粉尘的产生及排放，</w:t>
            </w:r>
            <w:r>
              <w:rPr>
                <w:rFonts w:hint="eastAsia" w:cs="Times New Roman"/>
                <w:color w:val="auto"/>
                <w:sz w:val="24"/>
                <w:lang w:val="en-US" w:eastAsia="zh-CN" w:bidi="ar"/>
              </w:rPr>
              <w:t>设置</w:t>
            </w:r>
            <w:r>
              <w:rPr>
                <w:rFonts w:hint="eastAsia" w:ascii="Times New Roman" w:hAnsi="Times New Roman" w:eastAsia="宋体" w:cs="Times New Roman"/>
                <w:color w:val="auto"/>
                <w:sz w:val="24"/>
                <w:lang w:val="en-US" w:eastAsia="zh-CN" w:bidi="ar"/>
              </w:rPr>
              <w:t>一个专门的投料间，投料间为三面封闭，顶部封闭，投料口设置于中间，在投料口上方设置抽风口</w:t>
            </w:r>
            <w:r>
              <w:rPr>
                <w:rFonts w:hint="eastAsia" w:cs="Times New Roman"/>
                <w:color w:val="auto"/>
                <w:sz w:val="24"/>
                <w:lang w:val="en-US" w:eastAsia="zh-CN" w:bidi="ar"/>
              </w:rPr>
              <w:t>，产生的粉尘集气罩收集后进入布袋除尘系统</w:t>
            </w:r>
            <w:r>
              <w:rPr>
                <w:rFonts w:hint="eastAsia" w:ascii="Times New Roman" w:hAnsi="Times New Roman" w:eastAsia="宋体" w:cs="Times New Roman"/>
                <w:color w:val="auto"/>
                <w:sz w:val="24"/>
                <w:lang w:val="en-US" w:eastAsia="zh-CN" w:bidi="ar"/>
              </w:rPr>
              <w:t>处理后</w:t>
            </w:r>
            <w:r>
              <w:rPr>
                <w:rFonts w:hint="eastAsia" w:cs="Times New Roman"/>
                <w:color w:val="auto"/>
                <w:sz w:val="24"/>
                <w:lang w:val="en-US" w:eastAsia="zh-CN" w:bidi="ar"/>
              </w:rPr>
              <w:t>在车间</w:t>
            </w:r>
            <w:r>
              <w:rPr>
                <w:rFonts w:hint="eastAsia" w:ascii="Times New Roman" w:hAnsi="Times New Roman" w:eastAsia="宋体" w:cs="Times New Roman"/>
                <w:color w:val="auto"/>
                <w:sz w:val="24"/>
                <w:lang w:val="en-US" w:eastAsia="zh-CN" w:bidi="ar"/>
              </w:rPr>
              <w:t>无组织排放，无组织</w:t>
            </w:r>
            <w:r>
              <w:rPr>
                <w:rFonts w:hint="eastAsia" w:cs="Times New Roman"/>
                <w:color w:val="auto"/>
                <w:sz w:val="24"/>
                <w:lang w:val="en-US" w:eastAsia="zh-CN" w:bidi="ar"/>
              </w:rPr>
              <w:t>粉尘排放量对</w:t>
            </w:r>
            <w:r>
              <w:rPr>
                <w:rFonts w:hint="eastAsia" w:ascii="Times New Roman" w:hAnsi="Times New Roman" w:eastAsia="宋体" w:cs="Times New Roman"/>
                <w:color w:val="auto"/>
                <w:sz w:val="24"/>
                <w:lang w:val="en-US" w:eastAsia="zh-CN" w:bidi="ar"/>
              </w:rPr>
              <w:t>周围环境有一定的影响。</w:t>
            </w:r>
          </w:p>
          <w:p w14:paraId="758D8169">
            <w:pPr>
              <w:keepNext w:val="0"/>
              <w:keepLines w:val="0"/>
              <w:suppressLineNumbers w:val="0"/>
              <w:snapToGrid w:val="0"/>
              <w:spacing w:before="0" w:beforeAutospacing="0" w:after="0" w:afterAutospacing="0" w:line="360" w:lineRule="auto"/>
              <w:ind w:left="0" w:right="0" w:firstLine="480"/>
              <w:rPr>
                <w:rFonts w:hint="eastAsia" w:ascii="Times New Roman" w:hAnsi="Times New Roman" w:eastAsia="宋体" w:cs="Times New Roman"/>
                <w:color w:val="auto"/>
                <w:sz w:val="24"/>
                <w:lang w:val="en-US" w:eastAsia="zh-CN" w:bidi="ar"/>
              </w:rPr>
            </w:pPr>
            <w:r>
              <w:rPr>
                <w:rFonts w:hint="eastAsia" w:ascii="Times New Roman" w:hAnsi="Times New Roman" w:eastAsia="宋体" w:cs="Times New Roman"/>
                <w:color w:val="auto"/>
                <w:sz w:val="24"/>
                <w:lang w:val="en-US" w:eastAsia="zh-CN" w:bidi="ar"/>
              </w:rPr>
              <w:t>②砂壁产品生产线的砂壁投料间料口上方产生的粉尘抽至一套布袋除尘装置进行处理后无组织排放，</w:t>
            </w:r>
            <w:r>
              <w:rPr>
                <w:rFonts w:hint="eastAsia" w:cs="Times New Roman"/>
                <w:color w:val="auto"/>
                <w:sz w:val="24"/>
                <w:lang w:val="en-US" w:eastAsia="zh-CN" w:bidi="ar"/>
              </w:rPr>
              <w:t>对</w:t>
            </w:r>
            <w:r>
              <w:rPr>
                <w:rFonts w:hint="eastAsia" w:ascii="Times New Roman" w:hAnsi="Times New Roman" w:eastAsia="宋体" w:cs="Times New Roman"/>
                <w:color w:val="auto"/>
                <w:sz w:val="24"/>
                <w:lang w:val="en-US" w:eastAsia="zh-CN" w:bidi="ar"/>
              </w:rPr>
              <w:t>周围环境有一定的影响。</w:t>
            </w:r>
          </w:p>
          <w:p w14:paraId="2EE8A6C7">
            <w:pPr>
              <w:keepNext w:val="0"/>
              <w:keepLines w:val="0"/>
              <w:suppressLineNumbers w:val="0"/>
              <w:snapToGrid w:val="0"/>
              <w:spacing w:before="0" w:beforeAutospacing="0" w:after="0" w:afterAutospacing="0" w:line="360" w:lineRule="auto"/>
              <w:ind w:left="0" w:right="0" w:firstLine="480"/>
              <w:rPr>
                <w:rFonts w:hint="default" w:ascii="Times New Roman" w:hAnsi="Times New Roman" w:eastAsia="宋体" w:cs="Times New Roman"/>
                <w:color w:val="auto"/>
                <w:sz w:val="24"/>
                <w:lang w:val="en-US" w:eastAsia="zh-CN" w:bidi="ar"/>
              </w:rPr>
            </w:pPr>
            <w:r>
              <w:rPr>
                <w:rFonts w:hint="eastAsia" w:ascii="Times New Roman" w:hAnsi="Times New Roman" w:eastAsia="宋体" w:cs="Times New Roman"/>
                <w:color w:val="auto"/>
                <w:sz w:val="24"/>
                <w:lang w:val="en-US" w:eastAsia="zh-CN" w:bidi="ar"/>
              </w:rPr>
              <w:t>③腻子粉生产线的物料通过气流进行输送，产生的投料粉尘、混料粉尘</w:t>
            </w:r>
            <w:r>
              <w:rPr>
                <w:rFonts w:hint="eastAsia" w:cs="Times New Roman"/>
                <w:color w:val="auto"/>
                <w:sz w:val="24"/>
                <w:lang w:val="en-US" w:eastAsia="zh-CN" w:bidi="ar"/>
              </w:rPr>
              <w:t>采用集气罩收集后</w:t>
            </w:r>
            <w:r>
              <w:rPr>
                <w:rFonts w:hint="eastAsia" w:ascii="Times New Roman" w:hAnsi="Times New Roman" w:eastAsia="宋体" w:cs="Times New Roman"/>
                <w:color w:val="auto"/>
                <w:sz w:val="24"/>
                <w:lang w:val="en-US" w:eastAsia="zh-CN" w:bidi="ar"/>
              </w:rPr>
              <w:t>进入1套</w:t>
            </w:r>
            <w:r>
              <w:rPr>
                <w:rFonts w:hint="eastAsia" w:cs="Times New Roman"/>
                <w:color w:val="auto"/>
                <w:sz w:val="24"/>
                <w:lang w:val="en-US" w:eastAsia="zh-CN" w:bidi="ar"/>
              </w:rPr>
              <w:t>集中式滤筒除尘系统</w:t>
            </w:r>
            <w:r>
              <w:rPr>
                <w:rFonts w:hint="eastAsia" w:ascii="Times New Roman" w:hAnsi="Times New Roman" w:eastAsia="宋体" w:cs="Times New Roman"/>
                <w:color w:val="auto"/>
                <w:sz w:val="24"/>
                <w:lang w:val="en-US" w:eastAsia="zh-CN" w:bidi="ar"/>
              </w:rPr>
              <w:t>进行处理，2条腻子粉生产线共用</w:t>
            </w:r>
            <w:r>
              <w:rPr>
                <w:rFonts w:hint="eastAsia" w:cs="Times New Roman"/>
                <w:color w:val="auto"/>
                <w:sz w:val="24"/>
                <w:lang w:val="en-US" w:eastAsia="zh-CN" w:bidi="ar"/>
              </w:rPr>
              <w:t>1</w:t>
            </w:r>
            <w:r>
              <w:rPr>
                <w:rFonts w:hint="eastAsia" w:ascii="Times New Roman" w:hAnsi="Times New Roman" w:eastAsia="宋体" w:cs="Times New Roman"/>
                <w:color w:val="auto"/>
                <w:sz w:val="24"/>
                <w:lang w:val="en-US" w:eastAsia="zh-CN" w:bidi="ar"/>
              </w:rPr>
              <w:t>套布袋收尘装置，废气经处理后通过15m高的排气筒外排。</w:t>
            </w:r>
            <w:r>
              <w:rPr>
                <w:rFonts w:hint="eastAsia" w:cs="Times New Roman"/>
                <w:color w:val="auto"/>
                <w:sz w:val="24"/>
                <w:lang w:val="en-US" w:eastAsia="zh-CN" w:bidi="ar"/>
              </w:rPr>
              <w:t>包装口粉尘产生量较大，对厂区生产环境有一定的影响。</w:t>
            </w:r>
          </w:p>
          <w:p w14:paraId="59C6B7B1">
            <w:pPr>
              <w:keepNext w:val="0"/>
              <w:keepLines w:val="0"/>
              <w:suppressLineNumbers w:val="0"/>
              <w:snapToGrid w:val="0"/>
              <w:spacing w:before="0" w:beforeAutospacing="0" w:after="0" w:afterAutospacing="0" w:line="360" w:lineRule="auto"/>
              <w:ind w:left="0" w:right="0" w:firstLine="480"/>
              <w:rPr>
                <w:rFonts w:hint="eastAsia" w:ascii="Times New Roman" w:hAnsi="Times New Roman" w:eastAsia="宋体" w:cs="Times New Roman"/>
                <w:color w:val="auto"/>
                <w:sz w:val="24"/>
                <w:lang w:val="en-US" w:eastAsia="zh-CN" w:bidi="ar"/>
              </w:rPr>
            </w:pPr>
            <w:r>
              <w:rPr>
                <w:rFonts w:hint="eastAsia" w:cs="Times New Roman"/>
                <w:color w:val="auto"/>
                <w:sz w:val="24"/>
                <w:lang w:val="en-US" w:eastAsia="zh-CN" w:bidi="ar"/>
              </w:rPr>
              <w:t>④厂区内设置有6个粉料罐，在卸料至粉料罐时呼吸口会有粉尘扩散，呈无组织排放，对周围环境有一定的影响。</w:t>
            </w:r>
          </w:p>
          <w:p w14:paraId="593D347E">
            <w:pPr>
              <w:pStyle w:val="12"/>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firstLine="480" w:firstLineChars="200"/>
              <w:textAlignment w:val="auto"/>
              <w:rPr>
                <w:rFonts w:hint="default"/>
                <w:lang w:val="en-US" w:eastAsia="zh-CN"/>
              </w:rPr>
            </w:pPr>
            <w:r>
              <w:rPr>
                <w:rFonts w:hint="eastAsia" w:cs="Times New Roman"/>
                <w:color w:val="auto"/>
                <w:sz w:val="24"/>
                <w:lang w:val="en-US" w:eastAsia="zh-CN" w:bidi="ar"/>
              </w:rPr>
              <w:t>⑤VOC未收集处理，不符合《云南省重点行业挥发性有机物综合治理实施方案》中有关要求。</w:t>
            </w:r>
          </w:p>
          <w:p w14:paraId="28B6AAB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lang w:val="en-US" w:eastAsia="zh-CN" w:bidi="ar"/>
              </w:rPr>
            </w:pPr>
            <w:r>
              <w:rPr>
                <w:rFonts w:hint="eastAsia" w:cs="Times New Roman"/>
                <w:color w:val="auto"/>
                <w:sz w:val="24"/>
                <w:lang w:val="en-US" w:eastAsia="zh-CN" w:bidi="ar"/>
              </w:rPr>
              <w:t>⑥</w:t>
            </w:r>
            <w:r>
              <w:rPr>
                <w:rFonts w:hint="eastAsia" w:ascii="Times New Roman" w:hAnsi="Times New Roman" w:eastAsia="宋体" w:cs="Times New Roman"/>
                <w:color w:val="auto"/>
                <w:sz w:val="24"/>
                <w:lang w:val="en-US" w:eastAsia="zh-CN" w:bidi="ar"/>
              </w:rPr>
              <w:t>原项目运营期间产生的危险废物废机油、废润滑油、粘有机溶剂的材料均与一般固废混合堆放在一般固废间，存在较大的风险。</w:t>
            </w:r>
          </w:p>
          <w:p w14:paraId="29677C86">
            <w:pPr>
              <w:keepNext w:val="0"/>
              <w:keepLines w:val="0"/>
              <w:suppressLineNumbers w:val="0"/>
              <w:snapToGrid w:val="0"/>
              <w:spacing w:before="0" w:beforeAutospacing="0" w:after="0" w:afterAutospacing="0" w:line="360" w:lineRule="auto"/>
              <w:ind w:left="0" w:right="0" w:firstLine="480"/>
              <w:rPr>
                <w:rFonts w:hint="default"/>
                <w:b/>
                <w:bCs/>
                <w:color w:val="auto"/>
                <w:kern w:val="0"/>
                <w:sz w:val="24"/>
              </w:rPr>
            </w:pPr>
            <w:r>
              <w:rPr>
                <w:rFonts w:hint="default"/>
                <w:b/>
                <w:bCs/>
                <w:color w:val="auto"/>
                <w:kern w:val="0"/>
                <w:sz w:val="24"/>
              </w:rPr>
              <w:t>（2）“以新带老”措施</w:t>
            </w:r>
          </w:p>
          <w:p w14:paraId="76C3E8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lang w:val="en-US" w:eastAsia="zh-CN" w:bidi="ar"/>
              </w:rPr>
            </w:pPr>
            <w:r>
              <w:rPr>
                <w:rFonts w:hint="eastAsia" w:ascii="Times New Roman" w:hAnsi="Times New Roman" w:eastAsia="宋体" w:cs="Times New Roman"/>
                <w:color w:val="auto"/>
                <w:sz w:val="24"/>
                <w:lang w:val="en-US" w:eastAsia="zh-CN" w:bidi="ar"/>
              </w:rPr>
              <w:t>①</w:t>
            </w:r>
            <w:r>
              <w:rPr>
                <w:rFonts w:hint="eastAsia" w:cs="Times New Roman"/>
                <w:color w:val="auto"/>
                <w:sz w:val="24"/>
                <w:lang w:val="en-US" w:eastAsia="zh-CN" w:bidi="ar"/>
              </w:rPr>
              <w:t>为了提高厂区环境空气质量，</w:t>
            </w:r>
            <w:r>
              <w:rPr>
                <w:rFonts w:hint="eastAsia" w:ascii="Times New Roman" w:hAnsi="Times New Roman" w:eastAsia="宋体" w:cs="Times New Roman"/>
                <w:color w:val="auto"/>
                <w:sz w:val="24"/>
                <w:lang w:val="en-US" w:eastAsia="zh-CN" w:bidi="ar"/>
              </w:rPr>
              <w:t>本次以新代老环保措施提出：</w:t>
            </w:r>
            <w:r>
              <w:rPr>
                <w:rFonts w:hint="eastAsia" w:cs="Times New Roman"/>
                <w:color w:val="auto"/>
                <w:sz w:val="24"/>
                <w:lang w:val="en-US" w:eastAsia="zh-CN" w:bidi="ar"/>
              </w:rPr>
              <w:t>水性涂料</w:t>
            </w:r>
            <w:r>
              <w:rPr>
                <w:rFonts w:hint="eastAsia" w:ascii="Times New Roman" w:hAnsi="Times New Roman" w:eastAsia="宋体" w:cs="Times New Roman"/>
                <w:color w:val="auto"/>
                <w:sz w:val="24"/>
                <w:lang w:val="en-US" w:eastAsia="zh-CN" w:bidi="ar"/>
              </w:rPr>
              <w:t>生产线投料</w:t>
            </w:r>
            <w:r>
              <w:rPr>
                <w:rFonts w:hint="eastAsia" w:cs="Times New Roman"/>
                <w:color w:val="auto"/>
                <w:sz w:val="24"/>
                <w:lang w:val="en-US" w:eastAsia="zh-CN" w:bidi="ar"/>
              </w:rPr>
              <w:t>口、包装机口设置集气罩，产生的粉尘非甲烷总烃经1套“布袋除尘装置+UV光氧催化+活性炭吸附装置”</w:t>
            </w:r>
            <w:r>
              <w:rPr>
                <w:rFonts w:hint="eastAsia" w:ascii="Times New Roman" w:hAnsi="Times New Roman" w:eastAsia="宋体" w:cs="Times New Roman"/>
                <w:color w:val="auto"/>
                <w:sz w:val="24"/>
                <w:lang w:val="en-US" w:eastAsia="zh-CN" w:bidi="ar"/>
              </w:rPr>
              <w:t>经布袋除尘器处理后，</w:t>
            </w:r>
            <w:r>
              <w:rPr>
                <w:rFonts w:hint="eastAsia" w:cs="Times New Roman"/>
                <w:color w:val="auto"/>
                <w:sz w:val="24"/>
                <w:lang w:val="en-US" w:eastAsia="zh-CN" w:bidi="ar"/>
              </w:rPr>
              <w:t>通过</w:t>
            </w:r>
            <w:r>
              <w:rPr>
                <w:rFonts w:hint="eastAsia" w:ascii="Times New Roman" w:hAnsi="Times New Roman" w:eastAsia="宋体" w:cs="Times New Roman"/>
                <w:color w:val="auto"/>
                <w:sz w:val="24"/>
                <w:lang w:val="en-US" w:eastAsia="zh-CN" w:bidi="ar"/>
              </w:rPr>
              <w:t>15m排气筒排放（DA002），</w:t>
            </w:r>
            <w:r>
              <w:rPr>
                <w:rFonts w:hint="eastAsia" w:cs="Times New Roman"/>
                <w:color w:val="auto"/>
                <w:sz w:val="24"/>
                <w:lang w:val="en-US" w:eastAsia="zh-CN" w:bidi="ar"/>
              </w:rPr>
              <w:t>废气</w:t>
            </w:r>
            <w:r>
              <w:rPr>
                <w:rFonts w:hint="eastAsia" w:ascii="Times New Roman" w:hAnsi="Times New Roman" w:eastAsia="宋体" w:cs="Times New Roman"/>
                <w:color w:val="auto"/>
                <w:sz w:val="24"/>
                <w:lang w:val="en-US" w:eastAsia="zh-CN" w:bidi="ar"/>
              </w:rPr>
              <w:t>无组织变为有组织排放</w:t>
            </w:r>
            <w:r>
              <w:rPr>
                <w:rFonts w:hint="eastAsia" w:cs="Times New Roman"/>
                <w:color w:val="auto"/>
                <w:sz w:val="24"/>
                <w:lang w:val="en-US" w:eastAsia="zh-CN" w:bidi="ar"/>
              </w:rPr>
              <w:t>；</w:t>
            </w:r>
            <w:r>
              <w:rPr>
                <w:rFonts w:hint="eastAsia" w:ascii="Times New Roman" w:hAnsi="Times New Roman" w:eastAsia="宋体" w:cs="Times New Roman"/>
                <w:color w:val="auto"/>
                <w:sz w:val="24"/>
                <w:lang w:val="en-US" w:eastAsia="zh-CN" w:bidi="ar"/>
              </w:rPr>
              <w:t xml:space="preserve">  </w:t>
            </w:r>
          </w:p>
          <w:p w14:paraId="468781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lang w:val="en-US" w:eastAsia="zh-CN" w:bidi="ar"/>
              </w:rPr>
            </w:pPr>
            <w:r>
              <w:rPr>
                <w:rFonts w:hint="eastAsia" w:cs="Times New Roman"/>
                <w:color w:val="auto"/>
                <w:sz w:val="24"/>
                <w:lang w:val="en-US" w:eastAsia="zh-CN" w:bidi="ar"/>
              </w:rPr>
              <w:t>②为了提高厂区环境空气质量，</w:t>
            </w:r>
            <w:r>
              <w:rPr>
                <w:rFonts w:hint="eastAsia" w:ascii="Times New Roman" w:hAnsi="Times New Roman" w:eastAsia="宋体" w:cs="Times New Roman"/>
                <w:color w:val="auto"/>
                <w:sz w:val="24"/>
                <w:lang w:val="en-US" w:eastAsia="zh-CN" w:bidi="ar"/>
              </w:rPr>
              <w:t>本次以新代老环保措施提出：</w:t>
            </w:r>
            <w:r>
              <w:rPr>
                <w:rFonts w:hint="eastAsia" w:cs="Times New Roman"/>
                <w:color w:val="auto"/>
                <w:sz w:val="24"/>
                <w:lang w:val="en-US" w:eastAsia="zh-CN" w:bidi="ar"/>
              </w:rPr>
              <w:t>厂区</w:t>
            </w:r>
            <w:r>
              <w:rPr>
                <w:rFonts w:hint="eastAsia" w:ascii="Times New Roman" w:hAnsi="Times New Roman" w:eastAsia="宋体" w:cs="Times New Roman"/>
                <w:color w:val="auto"/>
                <w:sz w:val="24"/>
                <w:lang w:val="en-US" w:eastAsia="zh-CN" w:bidi="ar"/>
              </w:rPr>
              <w:t>粉料</w:t>
            </w:r>
            <w:r>
              <w:rPr>
                <w:rFonts w:hint="eastAsia" w:cs="Times New Roman"/>
                <w:color w:val="auto"/>
                <w:sz w:val="24"/>
                <w:lang w:val="en-US" w:eastAsia="zh-CN" w:bidi="ar"/>
              </w:rPr>
              <w:t>存储罐顶部设置</w:t>
            </w:r>
            <w:r>
              <w:rPr>
                <w:rFonts w:hint="eastAsia" w:ascii="Times New Roman" w:hAnsi="Times New Roman" w:eastAsia="宋体" w:cs="Times New Roman"/>
                <w:color w:val="auto"/>
                <w:sz w:val="24"/>
                <w:lang w:val="en-US" w:eastAsia="zh-CN" w:bidi="ar"/>
              </w:rPr>
              <w:t>脉冲布袋除尘</w:t>
            </w:r>
            <w:r>
              <w:rPr>
                <w:rFonts w:hint="eastAsia" w:cs="Times New Roman"/>
                <w:color w:val="auto"/>
                <w:sz w:val="24"/>
                <w:lang w:val="en-US" w:eastAsia="zh-CN" w:bidi="ar"/>
              </w:rPr>
              <w:t>装置</w:t>
            </w:r>
            <w:r>
              <w:rPr>
                <w:rFonts w:hint="eastAsia" w:ascii="Times New Roman" w:hAnsi="Times New Roman" w:eastAsia="宋体" w:cs="Times New Roman"/>
                <w:color w:val="auto"/>
                <w:sz w:val="24"/>
                <w:lang w:val="en-US" w:eastAsia="zh-CN" w:bidi="ar"/>
              </w:rPr>
              <w:t>除尘；</w:t>
            </w:r>
          </w:p>
          <w:p w14:paraId="511CC2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rPr>
                <w:rFonts w:hint="eastAsia" w:cs="Times New Roman"/>
                <w:color w:val="auto"/>
                <w:sz w:val="24"/>
                <w:lang w:val="en-US" w:eastAsia="zh-CN" w:bidi="ar"/>
              </w:rPr>
            </w:pPr>
            <w:r>
              <w:rPr>
                <w:rFonts w:hint="eastAsia" w:cs="Times New Roman"/>
                <w:color w:val="auto"/>
                <w:sz w:val="24"/>
                <w:lang w:val="en-US" w:eastAsia="zh-CN" w:bidi="ar"/>
              </w:rPr>
              <w:t>③腻子粉</w:t>
            </w:r>
            <w:r>
              <w:rPr>
                <w:rFonts w:hint="eastAsia" w:ascii="Times New Roman" w:hAnsi="Times New Roman" w:eastAsia="宋体" w:cs="Times New Roman"/>
                <w:color w:val="auto"/>
                <w:sz w:val="24"/>
                <w:lang w:val="en-US" w:eastAsia="zh-CN" w:bidi="ar"/>
              </w:rPr>
              <w:t>包装</w:t>
            </w:r>
            <w:r>
              <w:rPr>
                <w:rFonts w:hint="eastAsia" w:cs="Times New Roman"/>
                <w:color w:val="auto"/>
                <w:sz w:val="24"/>
                <w:lang w:val="en-US" w:eastAsia="zh-CN" w:bidi="ar"/>
              </w:rPr>
              <w:t>口产生的</w:t>
            </w:r>
            <w:r>
              <w:rPr>
                <w:rFonts w:hint="eastAsia" w:ascii="Times New Roman" w:hAnsi="Times New Roman" w:eastAsia="宋体" w:cs="Times New Roman"/>
                <w:color w:val="auto"/>
                <w:sz w:val="24"/>
                <w:lang w:val="en-US" w:eastAsia="zh-CN" w:bidi="ar"/>
              </w:rPr>
              <w:t>粉尘采用2台旋风除尘处理后无组织排放</w:t>
            </w:r>
            <w:r>
              <w:rPr>
                <w:rFonts w:hint="eastAsia" w:cs="Times New Roman"/>
                <w:color w:val="auto"/>
                <w:sz w:val="24"/>
                <w:lang w:val="en-US" w:eastAsia="zh-CN" w:bidi="ar"/>
              </w:rPr>
              <w:t>；</w:t>
            </w:r>
          </w:p>
          <w:p w14:paraId="66AB7D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rPr>
                <w:rFonts w:hint="eastAsia" w:cs="Times New Roman"/>
                <w:color w:val="auto"/>
                <w:sz w:val="24"/>
                <w:lang w:val="en-US" w:eastAsia="zh-CN" w:bidi="ar"/>
              </w:rPr>
            </w:pPr>
            <w:r>
              <w:rPr>
                <w:rFonts w:hint="eastAsia" w:cs="Times New Roman"/>
                <w:color w:val="auto"/>
                <w:sz w:val="24"/>
                <w:lang w:val="en-US" w:eastAsia="zh-CN" w:bidi="ar"/>
              </w:rPr>
              <w:t>④</w:t>
            </w:r>
            <w:r>
              <w:rPr>
                <w:rFonts w:hint="eastAsia" w:ascii="Times New Roman" w:hAnsi="Times New Roman" w:eastAsia="宋体" w:cs="Times New Roman"/>
                <w:color w:val="auto"/>
                <w:sz w:val="24"/>
                <w:lang w:val="en-US" w:eastAsia="zh-CN" w:bidi="ar"/>
              </w:rPr>
              <w:t>本次以新代老环保措施提出：在</w:t>
            </w:r>
            <w:r>
              <w:rPr>
                <w:rFonts w:hint="eastAsia" w:cs="Times New Roman"/>
                <w:color w:val="auto"/>
                <w:sz w:val="24"/>
                <w:lang w:val="en-US" w:eastAsia="zh-CN" w:bidi="ar"/>
              </w:rPr>
              <w:t>甲</w:t>
            </w:r>
            <w:r>
              <w:rPr>
                <w:rFonts w:hint="eastAsia" w:ascii="Times New Roman" w:hAnsi="Times New Roman" w:eastAsia="宋体" w:cs="Times New Roman"/>
                <w:color w:val="auto"/>
                <w:sz w:val="24"/>
                <w:lang w:val="en-US" w:eastAsia="zh-CN" w:bidi="ar"/>
              </w:rPr>
              <w:t>类仓库</w:t>
            </w:r>
            <w:r>
              <w:rPr>
                <w:rFonts w:hint="eastAsia" w:cs="Times New Roman"/>
                <w:color w:val="auto"/>
                <w:sz w:val="24"/>
                <w:lang w:val="en-US" w:eastAsia="zh-CN" w:bidi="ar"/>
              </w:rPr>
              <w:t>西侧</w:t>
            </w:r>
            <w:r>
              <w:rPr>
                <w:rFonts w:hint="eastAsia" w:ascii="Times New Roman" w:hAnsi="Times New Roman" w:eastAsia="宋体" w:cs="Times New Roman"/>
                <w:color w:val="auto"/>
                <w:sz w:val="24"/>
                <w:lang w:val="en-US" w:eastAsia="zh-CN" w:bidi="ar"/>
              </w:rPr>
              <w:t>隔出1间面积为15m</w:t>
            </w:r>
            <w:r>
              <w:rPr>
                <w:rFonts w:hint="eastAsia" w:ascii="Times New Roman" w:hAnsi="Times New Roman" w:eastAsia="宋体" w:cs="Times New Roman"/>
                <w:color w:val="auto"/>
                <w:sz w:val="24"/>
                <w:vertAlign w:val="superscript"/>
                <w:lang w:val="en-US" w:eastAsia="zh-CN" w:bidi="ar"/>
              </w:rPr>
              <w:t>2</w:t>
            </w:r>
            <w:r>
              <w:rPr>
                <w:rFonts w:hint="eastAsia" w:ascii="Times New Roman" w:hAnsi="Times New Roman" w:eastAsia="宋体" w:cs="Times New Roman"/>
                <w:color w:val="auto"/>
                <w:sz w:val="24"/>
                <w:lang w:val="en-US" w:eastAsia="zh-CN" w:bidi="ar"/>
              </w:rPr>
              <w:t>的危废暂存间，严格按照《危险废物贮存污染控制标准》（GB18597-2001）及其修改单要求中相关要求规范设置。</w:t>
            </w:r>
            <w:r>
              <w:rPr>
                <w:rFonts w:hint="eastAsia" w:cs="Times New Roman"/>
                <w:color w:val="auto"/>
                <w:sz w:val="24"/>
                <w:lang w:val="en-US" w:eastAsia="zh-CN" w:bidi="ar"/>
              </w:rPr>
              <w:t xml:space="preserve">    </w:t>
            </w:r>
          </w:p>
          <w:p w14:paraId="4273EA8F">
            <w:pPr>
              <w:pStyle w:val="19"/>
              <w:keepNext w:val="0"/>
              <w:keepLines w:val="0"/>
              <w:suppressLineNumbers w:val="0"/>
              <w:spacing w:before="0" w:beforeAutospacing="0" w:afterAutospacing="0"/>
              <w:ind w:right="0"/>
              <w:rPr>
                <w:rFonts w:hint="eastAsia" w:cs="Times New Roman"/>
                <w:color w:val="auto"/>
                <w:sz w:val="24"/>
                <w:lang w:val="en-US" w:eastAsia="zh-CN" w:bidi="ar"/>
              </w:rPr>
            </w:pPr>
          </w:p>
          <w:p w14:paraId="361279D7">
            <w:pPr>
              <w:pStyle w:val="20"/>
              <w:keepNext w:val="0"/>
              <w:keepLines w:val="0"/>
              <w:suppressLineNumbers w:val="0"/>
              <w:spacing w:beforeAutospacing="0" w:afterAutospacing="0"/>
              <w:ind w:left="0"/>
              <w:rPr>
                <w:rFonts w:hint="eastAsia" w:cs="Times New Roman"/>
                <w:color w:val="auto"/>
                <w:sz w:val="24"/>
                <w:lang w:val="en-US" w:eastAsia="zh-CN" w:bidi="ar"/>
              </w:rPr>
            </w:pPr>
          </w:p>
          <w:p w14:paraId="137803B6">
            <w:pPr>
              <w:keepNext w:val="0"/>
              <w:keepLines w:val="0"/>
              <w:suppressLineNumbers w:val="0"/>
              <w:spacing w:before="0" w:beforeAutospacing="0" w:after="0" w:afterAutospacing="0"/>
              <w:ind w:left="0" w:right="0"/>
              <w:rPr>
                <w:rFonts w:hint="eastAsia" w:cs="Times New Roman"/>
                <w:color w:val="auto"/>
                <w:sz w:val="24"/>
                <w:lang w:val="en-US" w:eastAsia="zh-CN" w:bidi="ar"/>
              </w:rPr>
            </w:pPr>
          </w:p>
          <w:p w14:paraId="67186164">
            <w:pPr>
              <w:pStyle w:val="19"/>
              <w:keepNext w:val="0"/>
              <w:keepLines w:val="0"/>
              <w:suppressLineNumbers w:val="0"/>
              <w:spacing w:before="0" w:beforeAutospacing="0" w:afterAutospacing="0"/>
              <w:ind w:right="0"/>
              <w:rPr>
                <w:rFonts w:hint="eastAsia" w:cs="Times New Roman"/>
                <w:color w:val="auto"/>
                <w:sz w:val="24"/>
                <w:lang w:val="en-US" w:eastAsia="zh-CN" w:bidi="ar"/>
              </w:rPr>
            </w:pPr>
          </w:p>
          <w:p w14:paraId="0BA07050">
            <w:pPr>
              <w:pStyle w:val="20"/>
              <w:keepNext w:val="0"/>
              <w:keepLines w:val="0"/>
              <w:suppressLineNumbers w:val="0"/>
              <w:spacing w:beforeAutospacing="0" w:afterAutospacing="0"/>
              <w:ind w:left="0"/>
              <w:rPr>
                <w:rFonts w:hint="eastAsia" w:cs="Times New Roman"/>
                <w:color w:val="auto"/>
                <w:sz w:val="24"/>
                <w:lang w:val="en-US" w:eastAsia="zh-CN" w:bidi="ar"/>
              </w:rPr>
            </w:pPr>
          </w:p>
          <w:p w14:paraId="2110C13E">
            <w:pPr>
              <w:keepNext w:val="0"/>
              <w:keepLines w:val="0"/>
              <w:suppressLineNumbers w:val="0"/>
              <w:spacing w:before="0" w:beforeAutospacing="0" w:after="0" w:afterAutospacing="0"/>
              <w:ind w:left="0" w:right="0"/>
              <w:rPr>
                <w:rFonts w:hint="eastAsia" w:cs="Times New Roman"/>
                <w:color w:val="auto"/>
                <w:sz w:val="24"/>
                <w:lang w:val="en-US" w:eastAsia="zh-CN" w:bidi="ar"/>
              </w:rPr>
            </w:pPr>
          </w:p>
          <w:p w14:paraId="14675582">
            <w:pPr>
              <w:pStyle w:val="19"/>
              <w:keepNext w:val="0"/>
              <w:keepLines w:val="0"/>
              <w:suppressLineNumbers w:val="0"/>
              <w:spacing w:before="0" w:beforeAutospacing="0" w:afterAutospacing="0"/>
              <w:ind w:right="0"/>
              <w:rPr>
                <w:rFonts w:hint="eastAsia" w:cs="Times New Roman"/>
                <w:color w:val="auto"/>
                <w:sz w:val="24"/>
                <w:lang w:val="en-US" w:eastAsia="zh-CN" w:bidi="ar"/>
              </w:rPr>
            </w:pPr>
          </w:p>
          <w:p w14:paraId="12ACDCA5">
            <w:pPr>
              <w:pStyle w:val="20"/>
              <w:keepNext w:val="0"/>
              <w:keepLines w:val="0"/>
              <w:suppressLineNumbers w:val="0"/>
              <w:spacing w:beforeAutospacing="0" w:afterAutospacing="0"/>
              <w:ind w:left="0"/>
              <w:rPr>
                <w:rFonts w:hint="eastAsia" w:cs="Times New Roman"/>
                <w:color w:val="auto"/>
                <w:sz w:val="24"/>
                <w:lang w:val="en-US" w:eastAsia="zh-CN" w:bidi="ar"/>
              </w:rPr>
            </w:pPr>
          </w:p>
          <w:p w14:paraId="05B73817">
            <w:pPr>
              <w:keepNext w:val="0"/>
              <w:keepLines w:val="0"/>
              <w:suppressLineNumbers w:val="0"/>
              <w:spacing w:before="0" w:beforeAutospacing="0" w:after="0" w:afterAutospacing="0"/>
              <w:ind w:left="0" w:right="0"/>
              <w:rPr>
                <w:rFonts w:hint="eastAsia" w:cs="Times New Roman"/>
                <w:color w:val="auto"/>
                <w:sz w:val="24"/>
                <w:lang w:val="en-US" w:eastAsia="zh-CN" w:bidi="ar"/>
              </w:rPr>
            </w:pPr>
          </w:p>
          <w:p w14:paraId="23077184">
            <w:pPr>
              <w:pStyle w:val="19"/>
              <w:keepNext w:val="0"/>
              <w:keepLines w:val="0"/>
              <w:suppressLineNumbers w:val="0"/>
              <w:spacing w:before="0" w:beforeAutospacing="0" w:afterAutospacing="0"/>
              <w:ind w:right="0"/>
              <w:rPr>
                <w:rFonts w:hint="eastAsia" w:cs="Times New Roman"/>
                <w:color w:val="auto"/>
                <w:sz w:val="24"/>
                <w:lang w:val="en-US" w:eastAsia="zh-CN" w:bidi="ar"/>
              </w:rPr>
            </w:pPr>
          </w:p>
          <w:p w14:paraId="149C1CB0">
            <w:pPr>
              <w:pStyle w:val="20"/>
              <w:keepNext w:val="0"/>
              <w:keepLines w:val="0"/>
              <w:suppressLineNumbers w:val="0"/>
              <w:spacing w:beforeAutospacing="0" w:afterAutospacing="0"/>
              <w:ind w:left="0"/>
              <w:rPr>
                <w:rFonts w:hint="eastAsia" w:cs="Times New Roman"/>
                <w:color w:val="auto"/>
                <w:sz w:val="24"/>
                <w:lang w:val="en-US" w:eastAsia="zh-CN" w:bidi="ar"/>
              </w:rPr>
            </w:pPr>
          </w:p>
          <w:p w14:paraId="50F152DD">
            <w:pPr>
              <w:pStyle w:val="20"/>
              <w:keepNext w:val="0"/>
              <w:keepLines w:val="0"/>
              <w:suppressLineNumbers w:val="0"/>
              <w:spacing w:beforeAutospacing="0" w:afterAutospacing="0"/>
              <w:ind w:left="0"/>
              <w:rPr>
                <w:rFonts w:hint="eastAsia" w:cs="Times New Roman"/>
                <w:color w:val="auto"/>
                <w:sz w:val="24"/>
                <w:lang w:val="en-US" w:eastAsia="zh-CN" w:bidi="ar"/>
              </w:rPr>
            </w:pPr>
          </w:p>
          <w:p w14:paraId="164B67D7">
            <w:pPr>
              <w:keepNext w:val="0"/>
              <w:keepLines w:val="0"/>
              <w:suppressLineNumbers w:val="0"/>
              <w:spacing w:before="0" w:beforeAutospacing="0" w:after="0" w:afterAutospacing="0"/>
              <w:ind w:left="0" w:right="0"/>
              <w:rPr>
                <w:rFonts w:hint="eastAsia" w:cs="Times New Roman"/>
                <w:color w:val="auto"/>
                <w:sz w:val="24"/>
                <w:lang w:val="en-US" w:eastAsia="zh-CN" w:bidi="ar"/>
              </w:rPr>
            </w:pPr>
          </w:p>
          <w:p w14:paraId="73ECA6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rPr>
                <w:rFonts w:hint="eastAsia" w:ascii="Times New Roman" w:hAnsi="Times New Roman" w:eastAsia="宋体" w:cs="Times New Roman"/>
                <w:color w:val="auto"/>
                <w:sz w:val="24"/>
                <w:lang w:val="en-US" w:eastAsia="zh-CN" w:bidi="ar"/>
              </w:rPr>
            </w:pPr>
          </w:p>
          <w:p w14:paraId="707D3F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rPr>
                <w:rFonts w:hint="default" w:ascii="Times New Roman" w:hAnsi="Times New Roman" w:eastAsia="宋体" w:cs="Times New Roman"/>
                <w:bCs/>
                <w:color w:val="auto"/>
                <w:szCs w:val="21"/>
                <w:lang w:val="en-US" w:eastAsia="zh-CN"/>
              </w:rPr>
            </w:pPr>
          </w:p>
        </w:tc>
      </w:tr>
    </w:tbl>
    <w:p w14:paraId="2C630D95">
      <w:pPr>
        <w:pStyle w:val="26"/>
        <w:jc w:val="center"/>
        <w:rPr>
          <w:rFonts w:hint="default" w:ascii="Times New Roman" w:hAnsi="Times New Roman" w:eastAsia="宋体" w:cs="Times New Roman"/>
          <w:snapToGrid w:val="0"/>
          <w:color w:val="auto"/>
          <w:sz w:val="36"/>
          <w:szCs w:val="36"/>
        </w:rPr>
        <w:sectPr>
          <w:pgSz w:w="11906" w:h="16838"/>
          <w:pgMar w:top="1701" w:right="1531" w:bottom="1701" w:left="1531" w:header="851" w:footer="851" w:gutter="0"/>
          <w:pgNumType w:fmt="decimal"/>
          <w:cols w:space="720" w:num="1"/>
          <w:docGrid w:linePitch="312" w:charSpace="0"/>
        </w:sectPr>
      </w:pPr>
    </w:p>
    <w:p w14:paraId="37DD33E0">
      <w:pPr>
        <w:pStyle w:val="26"/>
        <w:keepNext w:val="0"/>
        <w:keepLines w:val="0"/>
        <w:pageBreakBefore w:val="0"/>
        <w:widowControl/>
        <w:kinsoku/>
        <w:wordWrap/>
        <w:overflowPunct/>
        <w:topLinePunct w:val="0"/>
        <w:autoSpaceDE/>
        <w:autoSpaceDN/>
        <w:bidi w:val="0"/>
        <w:adjustRightInd/>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rPr>
      </w:pPr>
      <w:bookmarkStart w:id="9" w:name="_Toc30321"/>
      <w:r>
        <w:rPr>
          <w:rFonts w:hint="default" w:ascii="Times New Roman" w:hAnsi="Times New Roman" w:eastAsia="宋体" w:cs="Times New Roman"/>
          <w:b/>
          <w:bCs/>
          <w:snapToGrid w:val="0"/>
          <w:color w:val="auto"/>
          <w:sz w:val="30"/>
          <w:szCs w:val="30"/>
        </w:rPr>
        <w:t>三、区域环境质量现状、环境保护目标及评价标准</w:t>
      </w:r>
      <w:bookmarkEnd w:id="9"/>
    </w:p>
    <w:tbl>
      <w:tblPr>
        <w:tblStyle w:val="28"/>
        <w:tblW w:w="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8632"/>
      </w:tblGrid>
      <w:tr w14:paraId="5CD9BC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0" w:type="dxa"/>
            <w:noWrap w:val="0"/>
            <w:vAlign w:val="center"/>
          </w:tcPr>
          <w:p w14:paraId="7CCB013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区域</w:t>
            </w:r>
          </w:p>
          <w:p w14:paraId="27F1BBA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环境</w:t>
            </w:r>
          </w:p>
          <w:p w14:paraId="5798159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质量</w:t>
            </w:r>
          </w:p>
          <w:p w14:paraId="5243C4A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现状</w:t>
            </w:r>
          </w:p>
        </w:tc>
        <w:tc>
          <w:tcPr>
            <w:tcW w:w="8190" w:type="dxa"/>
            <w:noWrap w:val="0"/>
            <w:vAlign w:val="center"/>
          </w:tcPr>
          <w:p w14:paraId="2DB58DE8">
            <w:pPr>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环境空气质量</w:t>
            </w:r>
            <w:r>
              <w:rPr>
                <w:rFonts w:hint="default" w:ascii="Times New Roman" w:hAnsi="Times New Roman" w:eastAsia="宋体" w:cs="Times New Roman"/>
                <w:b/>
                <w:bCs/>
                <w:color w:val="auto"/>
                <w:kern w:val="0"/>
                <w:sz w:val="24"/>
                <w:szCs w:val="24"/>
                <w:lang w:eastAsia="zh-CN"/>
              </w:rPr>
              <w:t>现状</w:t>
            </w:r>
          </w:p>
          <w:p w14:paraId="2B8A37DD">
            <w:pPr>
              <w:pStyle w:val="92"/>
              <w:keepNext w:val="0"/>
              <w:keepLines w:val="0"/>
              <w:suppressLineNumbers w:val="0"/>
              <w:spacing w:before="0" w:beforeAutospacing="0" w:after="0" w:afterAutospacing="0"/>
              <w:ind w:left="0" w:right="0" w:firstLine="48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（1）基本污染物</w:t>
            </w:r>
          </w:p>
          <w:p w14:paraId="09CDE5A6">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项目位于</w:t>
            </w:r>
            <w:r>
              <w:rPr>
                <w:rFonts w:hint="eastAsia" w:ascii="Times New Roman" w:hAnsi="Times New Roman" w:eastAsia="宋体" w:cs="Times New Roman"/>
                <w:color w:val="auto"/>
                <w:sz w:val="24"/>
                <w:szCs w:val="22"/>
                <w:highlight w:val="none"/>
                <w:lang w:val="en-US" w:eastAsia="zh-CN"/>
              </w:rPr>
              <w:t>白石岩—大白坡片区</w:t>
            </w:r>
            <w:r>
              <w:rPr>
                <w:rFonts w:hint="eastAsia" w:cs="Times New Roman"/>
                <w:color w:val="auto"/>
                <w:sz w:val="24"/>
                <w:szCs w:val="22"/>
                <w:highlight w:val="none"/>
                <w:lang w:val="en-US" w:eastAsia="zh-CN"/>
              </w:rPr>
              <w:t>哨箐</w:t>
            </w:r>
            <w:r>
              <w:rPr>
                <w:rFonts w:hint="eastAsia" w:ascii="Times New Roman" w:hAnsi="Times New Roman" w:eastAsia="宋体" w:cs="Times New Roman"/>
                <w:color w:val="auto"/>
                <w:sz w:val="24"/>
                <w:szCs w:val="22"/>
                <w:highlight w:val="none"/>
                <w:lang w:val="en-US" w:eastAsia="zh-CN"/>
              </w:rPr>
              <w:t>组团</w:t>
            </w:r>
            <w:r>
              <w:rPr>
                <w:rFonts w:hint="default" w:ascii="Times New Roman" w:hAnsi="Times New Roman" w:cs="Times New Roman"/>
                <w:color w:val="auto"/>
                <w:sz w:val="24"/>
                <w:szCs w:val="22"/>
                <w:highlight w:val="none"/>
              </w:rPr>
              <w:t>，根据环</w:t>
            </w:r>
            <w:r>
              <w:rPr>
                <w:rFonts w:hint="default" w:ascii="Times New Roman" w:hAnsi="Times New Roman" w:cs="Times New Roman"/>
                <w:color w:val="auto"/>
                <w:sz w:val="24"/>
                <w:highlight w:val="none"/>
              </w:rPr>
              <w:t>境空气质量功能区划分原则及项目周围环境情况</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项目区</w:t>
            </w:r>
            <w:r>
              <w:rPr>
                <w:rFonts w:hint="default" w:ascii="Times New Roman" w:hAnsi="Times New Roman" w:cs="Times New Roman"/>
                <w:color w:val="auto"/>
                <w:sz w:val="24"/>
                <w:highlight w:val="none"/>
              </w:rPr>
              <w:t>属于《环境空气质量标准》（GB3095-2012）二类功能区，执行《环境空气质量标准》（GB3095-2012）二级标准。</w:t>
            </w:r>
          </w:p>
          <w:p w14:paraId="75F4BC0D">
            <w:pPr>
              <w:keepNext w:val="0"/>
              <w:keepLines w:val="0"/>
              <w:suppressLineNumbers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lang w:val="en-US" w:eastAsia="zh-CN"/>
              </w:rPr>
              <w:t>202</w:t>
            </w:r>
            <w:r>
              <w:rPr>
                <w:rFonts w:hint="eastAsia" w:ascii="Times New Roman" w:hAnsi="Times New Roman" w:eastAsia="宋体" w:cs="Times New Roman"/>
                <w:color w:val="auto"/>
                <w:sz w:val="24"/>
                <w:szCs w:val="24"/>
                <w:highlight w:val="none"/>
                <w:lang w:val="en-US" w:eastAsia="zh-CN"/>
              </w:rPr>
              <w:t>1年度昆明市生态环境状况公报》：2021年，各县（市）区环境空气质量总体保持良好。与2020年相比，安宁市、禄劝县环境空气综合污染指数有所下降，东川区、石林县、嵩明县、富民县、宜良县、寻甸县和阳宗海风景名胜区环境空气综合污染指数有所上升。</w:t>
            </w:r>
          </w:p>
          <w:p w14:paraId="6B939D21">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sz w:val="24"/>
                <w:szCs w:val="24"/>
                <w:highlight w:val="none"/>
                <w:lang w:val="en-US" w:eastAsia="zh-CN"/>
              </w:rPr>
              <w:t>因此，</w:t>
            </w:r>
            <w:r>
              <w:rPr>
                <w:rFonts w:hint="default" w:ascii="Times New Roman" w:hAnsi="Times New Roman" w:eastAsia="宋体" w:cs="Times New Roman"/>
                <w:color w:val="auto"/>
                <w:kern w:val="0"/>
                <w:sz w:val="24"/>
                <w:highlight w:val="none"/>
              </w:rPr>
              <w:t>项目选址区属于环境空气质量达标区。</w:t>
            </w:r>
          </w:p>
          <w:p w14:paraId="46A5513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eastAsia="zh-CN"/>
              </w:rPr>
              <w:t>）其它污染物</w:t>
            </w:r>
          </w:p>
          <w:p w14:paraId="6C18113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根据项目工程分析，本项目的特征污染物主要为颗粒物</w:t>
            </w:r>
            <w:r>
              <w:rPr>
                <w:rFonts w:hint="eastAsia"/>
                <w:color w:val="auto"/>
                <w:sz w:val="24"/>
                <w:szCs w:val="24"/>
                <w:highlight w:val="none"/>
                <w:lang w:eastAsia="zh-CN"/>
              </w:rPr>
              <w:t>、</w:t>
            </w:r>
            <w:r>
              <w:rPr>
                <w:rFonts w:hint="default" w:ascii="Times New Roman" w:hAnsi="Times New Roman"/>
                <w:color w:val="auto"/>
                <w:sz w:val="24"/>
                <w:szCs w:val="24"/>
                <w:highlight w:val="none"/>
              </w:rPr>
              <w:t>挥发性有机物（</w:t>
            </w:r>
            <w:r>
              <w:rPr>
                <w:rFonts w:hint="eastAsia"/>
                <w:color w:val="auto"/>
                <w:sz w:val="24"/>
                <w:szCs w:val="24"/>
                <w:highlight w:val="none"/>
                <w:lang w:val="en-US" w:eastAsia="zh-CN"/>
              </w:rPr>
              <w:t>以</w:t>
            </w:r>
            <w:r>
              <w:rPr>
                <w:rFonts w:hint="default" w:ascii="Times New Roman" w:hAnsi="Times New Roman"/>
                <w:color w:val="auto"/>
                <w:sz w:val="24"/>
                <w:szCs w:val="24"/>
                <w:highlight w:val="none"/>
              </w:rPr>
              <w:t>非甲烷总烃</w:t>
            </w:r>
            <w:r>
              <w:rPr>
                <w:rFonts w:hint="eastAsia"/>
                <w:color w:val="auto"/>
                <w:sz w:val="24"/>
                <w:szCs w:val="24"/>
                <w:highlight w:val="none"/>
                <w:lang w:val="en-US" w:eastAsia="zh-CN"/>
              </w:rPr>
              <w:t>计</w:t>
            </w:r>
            <w:r>
              <w:rPr>
                <w:rFonts w:hint="default" w:ascii="Times New Roman" w:hAnsi="Times New Roman"/>
                <w:color w:val="auto"/>
                <w:sz w:val="24"/>
                <w:szCs w:val="24"/>
                <w:highlight w:val="none"/>
              </w:rPr>
              <w:t>）。根据《建设项目环境影响报告表编制技术指南（污染影响类）》中“1.大气环境。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w:t>
            </w:r>
          </w:p>
          <w:p w14:paraId="64428C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eastAsia" w:ascii="Times New Roman" w:hAnsi="Times New Roman"/>
                <w:color w:val="auto"/>
                <w:sz w:val="24"/>
                <w:szCs w:val="24"/>
                <w:lang w:val="en-US" w:eastAsia="zh-CN"/>
              </w:rPr>
              <w:t>根据调查，《</w:t>
            </w:r>
            <w:r>
              <w:rPr>
                <w:rFonts w:hint="eastAsia" w:ascii="Times New Roman" w:hAnsi="Times New Roman" w:cs="Times New Roman"/>
                <w:color w:val="auto"/>
                <w:sz w:val="24"/>
                <w:szCs w:val="24"/>
                <w:highlight w:val="none"/>
                <w:lang w:val="en-US" w:eastAsia="zh-CN"/>
              </w:rPr>
              <w:t>昆明恩茂工贸有限责任公司固液分离设备专用配套件斜板、斜管类生产线项目</w:t>
            </w:r>
            <w:r>
              <w:rPr>
                <w:rFonts w:hint="eastAsia" w:ascii="Times New Roman" w:hAnsi="Times New Roman"/>
                <w:color w:val="auto"/>
                <w:sz w:val="24"/>
                <w:szCs w:val="24"/>
                <w:lang w:val="en-US" w:eastAsia="zh-CN"/>
              </w:rPr>
              <w:t>环境影响报告表》编制时委托</w:t>
            </w:r>
            <w:r>
              <w:rPr>
                <w:rFonts w:hint="default" w:ascii="Times New Roman" w:hAnsi="Times New Roman"/>
                <w:color w:val="auto"/>
                <w:sz w:val="24"/>
                <w:szCs w:val="24"/>
              </w:rPr>
              <w:t>云南长源检测技术有限公司于202</w:t>
            </w:r>
            <w:r>
              <w:rPr>
                <w:rFonts w:hint="eastAsia" w:ascii="Times New Roman" w:hAnsi="Times New Roman"/>
                <w:color w:val="auto"/>
                <w:sz w:val="24"/>
                <w:szCs w:val="24"/>
                <w:lang w:val="en-US" w:eastAsia="zh-CN"/>
              </w:rPr>
              <w:t>2</w:t>
            </w:r>
            <w:r>
              <w:rPr>
                <w:rFonts w:hint="default" w:ascii="Times New Roman" w:hAnsi="Times New Roman"/>
                <w:color w:val="auto"/>
                <w:sz w:val="24"/>
                <w:szCs w:val="24"/>
              </w:rPr>
              <w:t>年</w:t>
            </w:r>
            <w:r>
              <w:rPr>
                <w:rFonts w:hint="eastAsia" w:ascii="Times New Roman" w:hAnsi="Times New Roman"/>
                <w:color w:val="auto"/>
                <w:sz w:val="24"/>
                <w:szCs w:val="24"/>
                <w:lang w:val="en-US" w:eastAsia="zh-CN"/>
              </w:rPr>
              <w:t>05</w:t>
            </w:r>
            <w:r>
              <w:rPr>
                <w:rFonts w:hint="default" w:ascii="Times New Roman" w:hAnsi="Times New Roman"/>
                <w:color w:val="auto"/>
                <w:sz w:val="24"/>
                <w:szCs w:val="24"/>
              </w:rPr>
              <w:t>月</w:t>
            </w:r>
            <w:r>
              <w:rPr>
                <w:rFonts w:hint="eastAsia" w:ascii="Times New Roman" w:hAnsi="Times New Roman"/>
                <w:color w:val="auto"/>
                <w:sz w:val="24"/>
                <w:szCs w:val="24"/>
                <w:lang w:val="en-US" w:eastAsia="zh-CN"/>
              </w:rPr>
              <w:t>11</w:t>
            </w:r>
            <w:r>
              <w:rPr>
                <w:rFonts w:hint="default" w:ascii="Times New Roman" w:hAnsi="Times New Roman"/>
                <w:color w:val="auto"/>
                <w:sz w:val="24"/>
                <w:szCs w:val="24"/>
              </w:rPr>
              <w:t>日至</w:t>
            </w:r>
            <w:r>
              <w:rPr>
                <w:rFonts w:hint="eastAsia" w:ascii="Times New Roman" w:hAnsi="Times New Roman"/>
                <w:color w:val="auto"/>
                <w:sz w:val="24"/>
                <w:szCs w:val="24"/>
                <w:lang w:val="en-US" w:eastAsia="zh-CN"/>
              </w:rPr>
              <w:t>05</w:t>
            </w:r>
            <w:r>
              <w:rPr>
                <w:rFonts w:hint="default" w:ascii="Times New Roman" w:hAnsi="Times New Roman"/>
                <w:color w:val="auto"/>
                <w:sz w:val="24"/>
                <w:szCs w:val="24"/>
              </w:rPr>
              <w:t>月</w:t>
            </w:r>
            <w:r>
              <w:rPr>
                <w:rFonts w:hint="eastAsia" w:ascii="Times New Roman" w:hAnsi="Times New Roman"/>
                <w:color w:val="auto"/>
                <w:sz w:val="24"/>
                <w:szCs w:val="24"/>
                <w:lang w:val="en-US" w:eastAsia="zh-CN"/>
              </w:rPr>
              <w:t>13</w:t>
            </w:r>
            <w:r>
              <w:rPr>
                <w:rFonts w:hint="default" w:ascii="Times New Roman" w:hAnsi="Times New Roman"/>
                <w:color w:val="auto"/>
                <w:sz w:val="24"/>
                <w:szCs w:val="24"/>
              </w:rPr>
              <w:t>日对项目所在区域大气环境质量现状进行</w:t>
            </w:r>
            <w:r>
              <w:rPr>
                <w:rFonts w:hint="eastAsia" w:ascii="Times New Roman" w:hAnsi="Times New Roman"/>
                <w:color w:val="auto"/>
                <w:sz w:val="24"/>
                <w:szCs w:val="24"/>
                <w:lang w:val="en-US" w:eastAsia="zh-CN"/>
              </w:rPr>
              <w:t>过</w:t>
            </w:r>
            <w:r>
              <w:rPr>
                <w:rFonts w:hint="default" w:ascii="Times New Roman" w:hAnsi="Times New Roman"/>
                <w:color w:val="auto"/>
                <w:sz w:val="24"/>
                <w:szCs w:val="24"/>
              </w:rPr>
              <w:t>现状监测</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大气环境监测点位</w:t>
            </w:r>
            <w:r>
              <w:rPr>
                <w:rFonts w:hint="eastAsia" w:ascii="Times New Roman"/>
                <w:color w:val="auto"/>
                <w:sz w:val="24"/>
                <w:szCs w:val="24"/>
              </w:rPr>
              <w:t>为昆明恩茂工贸有限责任公司厂址下风向东北面123m处的</w:t>
            </w:r>
            <w:r>
              <w:rPr>
                <w:rFonts w:hint="eastAsia" w:ascii="Arial" w:hAnsi="Arial" w:cs="Arial"/>
                <w:color w:val="auto"/>
                <w:sz w:val="24"/>
                <w:szCs w:val="24"/>
              </w:rPr>
              <w:t>哨箐村散户</w:t>
            </w:r>
            <w:r>
              <w:rPr>
                <w:rFonts w:hint="eastAsia" w:ascii="Times New Roman"/>
                <w:color w:val="auto"/>
                <w:sz w:val="24"/>
                <w:szCs w:val="24"/>
              </w:rPr>
              <w:t>，位于本项目</w:t>
            </w:r>
            <w:r>
              <w:rPr>
                <w:rFonts w:hint="eastAsia" w:ascii="Times New Roman"/>
                <w:color w:val="auto"/>
                <w:sz w:val="24"/>
                <w:szCs w:val="24"/>
                <w:lang w:eastAsia="zh-CN"/>
              </w:rPr>
              <w:t>东南</w:t>
            </w:r>
            <w:r>
              <w:rPr>
                <w:rFonts w:hint="eastAsia" w:ascii="Times New Roman"/>
                <w:color w:val="auto"/>
                <w:sz w:val="24"/>
                <w:szCs w:val="24"/>
              </w:rPr>
              <w:t>面</w:t>
            </w:r>
            <w:r>
              <w:rPr>
                <w:rFonts w:hint="eastAsia" w:ascii="Times New Roman"/>
                <w:color w:val="auto"/>
                <w:sz w:val="24"/>
                <w:szCs w:val="24"/>
                <w:lang w:val="en-US" w:eastAsia="zh-CN"/>
              </w:rPr>
              <w:t>570</w:t>
            </w:r>
            <w:r>
              <w:rPr>
                <w:rFonts w:hint="eastAsia" w:ascii="Times New Roman"/>
                <w:color w:val="auto"/>
                <w:sz w:val="24"/>
                <w:szCs w:val="24"/>
              </w:rPr>
              <w:t>m处</w:t>
            </w:r>
            <w:r>
              <w:rPr>
                <w:rFonts w:hint="eastAsia" w:ascii="Times New Roman"/>
                <w:color w:val="auto"/>
                <w:sz w:val="24"/>
                <w:szCs w:val="24"/>
                <w:lang w:eastAsia="zh-CN"/>
              </w:rPr>
              <w:t>。</w:t>
            </w:r>
            <w:r>
              <w:rPr>
                <w:rFonts w:hint="default" w:ascii="Times New Roman" w:hAnsi="Times New Roman"/>
                <w:color w:val="auto"/>
                <w:sz w:val="24"/>
                <w:szCs w:val="24"/>
              </w:rPr>
              <w:t>根据《建设项目环境影响报告表编制技术指南（污染影响类）》</w:t>
            </w:r>
            <w:r>
              <w:rPr>
                <w:rFonts w:hint="eastAsia" w:ascii="Times New Roman" w:hAnsi="Times New Roman"/>
                <w:color w:val="auto"/>
                <w:sz w:val="24"/>
                <w:szCs w:val="24"/>
                <w:lang w:val="en-US" w:eastAsia="zh-CN"/>
              </w:rPr>
              <w:t>的相关要求，本项目</w:t>
            </w:r>
            <w:r>
              <w:rPr>
                <w:rFonts w:hint="default" w:ascii="Times New Roman" w:hAnsi="Times New Roman" w:cs="Times New Roman"/>
                <w:color w:val="auto"/>
                <w:sz w:val="24"/>
                <w:szCs w:val="24"/>
              </w:rPr>
              <w:t>引用</w:t>
            </w:r>
            <w:r>
              <w:rPr>
                <w:rFonts w:hint="eastAsia" w:ascii="Times New Roman" w:hAnsi="Times New Roman"/>
                <w:color w:val="auto"/>
                <w:sz w:val="24"/>
                <w:szCs w:val="24"/>
                <w:lang w:val="en-US" w:eastAsia="zh-CN"/>
              </w:rPr>
              <w:t>《</w:t>
            </w:r>
            <w:r>
              <w:rPr>
                <w:rFonts w:hint="eastAsia" w:ascii="Times New Roman" w:hAnsi="Times New Roman" w:cs="Times New Roman"/>
                <w:color w:val="auto"/>
                <w:sz w:val="24"/>
                <w:szCs w:val="24"/>
                <w:highlight w:val="none"/>
                <w:lang w:val="en-US" w:eastAsia="zh-CN"/>
              </w:rPr>
              <w:t>昆明恩茂工贸有限责任公司固液分离设备专用配套件斜板、斜管类生产线项目</w:t>
            </w:r>
            <w:r>
              <w:rPr>
                <w:rFonts w:hint="eastAsia" w:ascii="Times New Roman" w:hAnsi="Times New Roman"/>
                <w:color w:val="auto"/>
                <w:sz w:val="24"/>
                <w:szCs w:val="24"/>
                <w:lang w:val="en-US" w:eastAsia="zh-CN"/>
              </w:rPr>
              <w:t>环境影响报告表》</w:t>
            </w:r>
            <w:r>
              <w:rPr>
                <w:rFonts w:hint="default" w:ascii="Times New Roman" w:hAnsi="Times New Roman" w:cs="Times New Roman"/>
                <w:color w:val="auto"/>
                <w:sz w:val="24"/>
                <w:szCs w:val="24"/>
              </w:rPr>
              <w:t>中环境质量现状调查的监测数据可行，</w:t>
            </w:r>
            <w:r>
              <w:rPr>
                <w:rFonts w:hint="eastAsia" w:ascii="Times New Roman" w:hAnsi="Times New Roman" w:cs="Times New Roman"/>
                <w:color w:val="auto"/>
                <w:sz w:val="24"/>
                <w:szCs w:val="24"/>
                <w:lang w:val="en-US" w:eastAsia="zh-CN"/>
              </w:rPr>
              <w:t>引用</w:t>
            </w:r>
            <w:r>
              <w:rPr>
                <w:rFonts w:hint="default" w:ascii="Times New Roman" w:hAnsi="Times New Roman" w:cs="Times New Roman"/>
                <w:color w:val="auto"/>
                <w:sz w:val="24"/>
                <w:szCs w:val="24"/>
              </w:rPr>
              <w:t>监测结果见表3-</w:t>
            </w:r>
            <w:r>
              <w:rPr>
                <w:rFonts w:hint="eastAsia" w:cs="Times New Roman"/>
                <w:color w:val="auto"/>
                <w:sz w:val="24"/>
                <w:szCs w:val="24"/>
                <w:lang w:val="en-US" w:eastAsia="zh-CN"/>
              </w:rPr>
              <w:t>1</w:t>
            </w:r>
            <w:r>
              <w:rPr>
                <w:rFonts w:hint="default" w:ascii="Times New Roman" w:hAnsi="Times New Roman" w:cs="Times New Roman"/>
                <w:color w:val="auto"/>
                <w:sz w:val="24"/>
                <w:szCs w:val="24"/>
              </w:rPr>
              <w:t>。</w:t>
            </w:r>
          </w:p>
          <w:p w14:paraId="1A38D00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olor w:val="auto"/>
              </w:rPr>
            </w:pPr>
          </w:p>
          <w:p w14:paraId="2694BB91">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b/>
                <w:color w:val="auto"/>
                <w:szCs w:val="24"/>
                <w:vertAlign w:val="superscript"/>
              </w:rPr>
            </w:pPr>
            <w:r>
              <w:rPr>
                <w:rFonts w:hint="default" w:ascii="Times New Roman" w:hAnsi="Times New Roman"/>
                <w:b/>
                <w:color w:val="auto"/>
                <w:szCs w:val="24"/>
              </w:rPr>
              <w:t>表3-</w:t>
            </w:r>
            <w:r>
              <w:rPr>
                <w:rFonts w:hint="eastAsia"/>
                <w:b/>
                <w:color w:val="auto"/>
                <w:szCs w:val="24"/>
                <w:lang w:val="en-US" w:eastAsia="zh-CN"/>
              </w:rPr>
              <w:t>1</w:t>
            </w:r>
            <w:r>
              <w:rPr>
                <w:rFonts w:hint="default" w:ascii="Times New Roman" w:hAnsi="Times New Roman"/>
                <w:b/>
                <w:color w:val="auto"/>
                <w:szCs w:val="24"/>
              </w:rPr>
              <w:t xml:space="preserve">   </w:t>
            </w:r>
            <w:r>
              <w:rPr>
                <w:rFonts w:hint="eastAsia" w:ascii="Times New Roman" w:hAnsi="Times New Roman"/>
                <w:b/>
                <w:color w:val="auto"/>
                <w:szCs w:val="24"/>
                <w:lang w:val="en-US" w:eastAsia="zh-CN"/>
              </w:rPr>
              <w:t>引用</w:t>
            </w:r>
            <w:r>
              <w:rPr>
                <w:rFonts w:hint="default" w:ascii="Times New Roman" w:hAnsi="Times New Roman"/>
                <w:b/>
                <w:color w:val="auto"/>
                <w:szCs w:val="24"/>
              </w:rPr>
              <w:t>监测点环境空气质量现状评价结果    单位：mg/m</w:t>
            </w:r>
            <w:r>
              <w:rPr>
                <w:rFonts w:hint="default" w:ascii="Times New Roman" w:hAnsi="Times New Roman"/>
                <w:b/>
                <w:color w:val="auto"/>
                <w:szCs w:val="24"/>
                <w:vertAlign w:val="superscript"/>
              </w:rPr>
              <w:t>3</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997"/>
              <w:gridCol w:w="1317"/>
              <w:gridCol w:w="1317"/>
              <w:gridCol w:w="1012"/>
              <w:gridCol w:w="812"/>
              <w:gridCol w:w="1030"/>
              <w:gridCol w:w="1188"/>
              <w:gridCol w:w="728"/>
            </w:tblGrid>
            <w:tr w14:paraId="2063E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88" w:hRule="atLeast"/>
                <w:jc w:val="center"/>
              </w:trPr>
              <w:tc>
                <w:tcPr>
                  <w:tcW w:w="655" w:type="pct"/>
                  <w:vMerge w:val="restart"/>
                  <w:noWrap w:val="0"/>
                  <w:vAlign w:val="center"/>
                </w:tcPr>
                <w:p w14:paraId="2A94652C">
                  <w:pPr>
                    <w:keepNext w:val="0"/>
                    <w:keepLines w:val="0"/>
                    <w:suppressLineNumbers w:val="0"/>
                    <w:tabs>
                      <w:tab w:val="left" w:pos="180"/>
                    </w:tabs>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监测点位</w:t>
                  </w:r>
                </w:p>
              </w:tc>
              <w:tc>
                <w:tcPr>
                  <w:tcW w:w="1285" w:type="pct"/>
                  <w:gridSpan w:val="2"/>
                  <w:noWrap w:val="0"/>
                  <w:vAlign w:val="center"/>
                </w:tcPr>
                <w:p w14:paraId="20DCEED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地理位置</w:t>
                  </w:r>
                </w:p>
              </w:tc>
              <w:tc>
                <w:tcPr>
                  <w:tcW w:w="664" w:type="pct"/>
                  <w:vMerge w:val="restart"/>
                  <w:noWrap w:val="0"/>
                  <w:vAlign w:val="center"/>
                </w:tcPr>
                <w:p w14:paraId="00BAD1A0">
                  <w:pPr>
                    <w:keepNext w:val="0"/>
                    <w:keepLines w:val="0"/>
                    <w:suppressLineNumbers w:val="0"/>
                    <w:tabs>
                      <w:tab w:val="left" w:pos="180"/>
                    </w:tabs>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545" w:type="pct"/>
                  <w:vMerge w:val="restart"/>
                  <w:noWrap w:val="0"/>
                  <w:vAlign w:val="center"/>
                </w:tcPr>
                <w:p w14:paraId="5517B8E8">
                  <w:pPr>
                    <w:keepNext w:val="0"/>
                    <w:keepLines w:val="0"/>
                    <w:suppressLineNumbers w:val="0"/>
                    <w:tabs>
                      <w:tab w:val="left" w:pos="180"/>
                    </w:tabs>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平均时间</w:t>
                  </w:r>
                </w:p>
              </w:tc>
              <w:tc>
                <w:tcPr>
                  <w:tcW w:w="586" w:type="pct"/>
                  <w:vMerge w:val="restart"/>
                  <w:noWrap w:val="0"/>
                  <w:vAlign w:val="center"/>
                </w:tcPr>
                <w:p w14:paraId="44FF418A">
                  <w:pPr>
                    <w:keepNext w:val="0"/>
                    <w:keepLines w:val="0"/>
                    <w:suppressLineNumbers w:val="0"/>
                    <w:tabs>
                      <w:tab w:val="left" w:pos="180"/>
                    </w:tabs>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标准值/（μg/m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768" w:type="pct"/>
                  <w:vMerge w:val="restart"/>
                  <w:noWrap w:val="0"/>
                  <w:vAlign w:val="center"/>
                </w:tcPr>
                <w:p w14:paraId="73165090">
                  <w:pPr>
                    <w:keepNext w:val="0"/>
                    <w:keepLines w:val="0"/>
                    <w:suppressLineNumbers w:val="0"/>
                    <w:tabs>
                      <w:tab w:val="left" w:pos="180"/>
                    </w:tabs>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监测浓度范围/（μg/m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494" w:type="pct"/>
                  <w:vMerge w:val="restart"/>
                  <w:noWrap w:val="0"/>
                  <w:vAlign w:val="center"/>
                </w:tcPr>
                <w:p w14:paraId="473C5920">
                  <w:pPr>
                    <w:keepNext w:val="0"/>
                    <w:keepLines w:val="0"/>
                    <w:suppressLineNumbers w:val="0"/>
                    <w:tabs>
                      <w:tab w:val="left" w:pos="180"/>
                    </w:tabs>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达标情况</w:t>
                  </w:r>
                </w:p>
              </w:tc>
            </w:tr>
            <w:tr w14:paraId="3F9E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09" w:hRule="atLeast"/>
                <w:jc w:val="center"/>
              </w:trPr>
              <w:tc>
                <w:tcPr>
                  <w:tcW w:w="655" w:type="pct"/>
                  <w:vMerge w:val="continue"/>
                  <w:noWrap w:val="0"/>
                  <w:vAlign w:val="center"/>
                </w:tcPr>
                <w:p w14:paraId="65986677">
                  <w:pPr>
                    <w:keepNext w:val="0"/>
                    <w:keepLines w:val="0"/>
                    <w:suppressLineNumbers w:val="0"/>
                    <w:tabs>
                      <w:tab w:val="left" w:pos="180"/>
                    </w:tabs>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645" w:type="pct"/>
                  <w:noWrap w:val="0"/>
                  <w:vAlign w:val="center"/>
                </w:tcPr>
                <w:p w14:paraId="45ACC35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经度</w:t>
                  </w:r>
                </w:p>
              </w:tc>
              <w:tc>
                <w:tcPr>
                  <w:tcW w:w="640" w:type="pct"/>
                  <w:noWrap w:val="0"/>
                  <w:vAlign w:val="center"/>
                </w:tcPr>
                <w:p w14:paraId="7B6794E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纬度</w:t>
                  </w:r>
                </w:p>
              </w:tc>
              <w:tc>
                <w:tcPr>
                  <w:tcW w:w="664" w:type="pct"/>
                  <w:vMerge w:val="continue"/>
                  <w:noWrap w:val="0"/>
                  <w:vAlign w:val="center"/>
                </w:tcPr>
                <w:p w14:paraId="25B7130C">
                  <w:pPr>
                    <w:keepNext w:val="0"/>
                    <w:keepLines w:val="0"/>
                    <w:suppressLineNumbers w:val="0"/>
                    <w:tabs>
                      <w:tab w:val="left" w:pos="180"/>
                    </w:tabs>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545" w:type="pct"/>
                  <w:vMerge w:val="continue"/>
                  <w:noWrap w:val="0"/>
                  <w:vAlign w:val="center"/>
                </w:tcPr>
                <w:p w14:paraId="1F2AD26F">
                  <w:pPr>
                    <w:keepNext w:val="0"/>
                    <w:keepLines w:val="0"/>
                    <w:suppressLineNumbers w:val="0"/>
                    <w:tabs>
                      <w:tab w:val="left" w:pos="180"/>
                    </w:tabs>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586" w:type="pct"/>
                  <w:vMerge w:val="continue"/>
                  <w:noWrap w:val="0"/>
                  <w:vAlign w:val="center"/>
                </w:tcPr>
                <w:p w14:paraId="47BBCEFF">
                  <w:pPr>
                    <w:keepNext w:val="0"/>
                    <w:keepLines w:val="0"/>
                    <w:suppressLineNumbers w:val="0"/>
                    <w:tabs>
                      <w:tab w:val="left" w:pos="180"/>
                    </w:tabs>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68" w:type="pct"/>
                  <w:vMerge w:val="continue"/>
                  <w:noWrap w:val="0"/>
                  <w:vAlign w:val="center"/>
                </w:tcPr>
                <w:p w14:paraId="5CF89814">
                  <w:pPr>
                    <w:keepNext w:val="0"/>
                    <w:keepLines w:val="0"/>
                    <w:suppressLineNumbers w:val="0"/>
                    <w:tabs>
                      <w:tab w:val="left" w:pos="180"/>
                    </w:tabs>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494" w:type="pct"/>
                  <w:vMerge w:val="continue"/>
                  <w:noWrap w:val="0"/>
                  <w:vAlign w:val="center"/>
                </w:tcPr>
                <w:p w14:paraId="2C6F49DE">
                  <w:pPr>
                    <w:keepNext w:val="0"/>
                    <w:keepLines w:val="0"/>
                    <w:suppressLineNumbers w:val="0"/>
                    <w:tabs>
                      <w:tab w:val="left" w:pos="180"/>
                    </w:tabs>
                    <w:spacing w:before="0" w:beforeAutospacing="0" w:after="0" w:afterAutospacing="0"/>
                    <w:ind w:left="0" w:right="0"/>
                    <w:jc w:val="center"/>
                    <w:rPr>
                      <w:rFonts w:hint="default" w:ascii="Times New Roman" w:hAnsi="Times New Roman" w:cs="Times New Roman"/>
                      <w:color w:val="auto"/>
                      <w:sz w:val="21"/>
                      <w:szCs w:val="21"/>
                      <w:highlight w:val="none"/>
                    </w:rPr>
                  </w:pPr>
                </w:p>
              </w:tc>
            </w:tr>
            <w:tr w14:paraId="0673D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82" w:hRule="atLeast"/>
                <w:jc w:val="center"/>
              </w:trPr>
              <w:tc>
                <w:tcPr>
                  <w:tcW w:w="655" w:type="pct"/>
                  <w:vMerge w:val="restart"/>
                  <w:noWrap w:val="0"/>
                  <w:vAlign w:val="center"/>
                </w:tcPr>
                <w:p w14:paraId="292946C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哨箐村散户</w:t>
                  </w:r>
                </w:p>
              </w:tc>
              <w:tc>
                <w:tcPr>
                  <w:tcW w:w="645" w:type="pct"/>
                  <w:vMerge w:val="restart"/>
                  <w:noWrap w:val="0"/>
                  <w:vAlign w:val="center"/>
                </w:tcPr>
                <w:p w14:paraId="6848459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28</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0.453</w:t>
                  </w:r>
                  <w:r>
                    <w:rPr>
                      <w:rFonts w:hint="default" w:ascii="Times New Roman" w:hAnsi="Times New Roman" w:cs="Times New Roman"/>
                      <w:color w:val="auto"/>
                      <w:sz w:val="21"/>
                      <w:szCs w:val="21"/>
                      <w:highlight w:val="none"/>
                      <w:lang w:val="en-US" w:eastAsia="zh-CN"/>
                    </w:rPr>
                    <w:t>″</w:t>
                  </w:r>
                </w:p>
              </w:tc>
              <w:tc>
                <w:tcPr>
                  <w:tcW w:w="640" w:type="pct"/>
                  <w:vMerge w:val="restart"/>
                  <w:noWrap w:val="0"/>
                  <w:vAlign w:val="center"/>
                </w:tcPr>
                <w:p w14:paraId="569D651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55.922</w:t>
                  </w:r>
                  <w:r>
                    <w:rPr>
                      <w:rFonts w:hint="default" w:ascii="Times New Roman" w:hAnsi="Times New Roman" w:cs="Times New Roman"/>
                      <w:color w:val="auto"/>
                      <w:sz w:val="21"/>
                      <w:szCs w:val="21"/>
                      <w:highlight w:val="none"/>
                      <w:lang w:val="en-US" w:eastAsia="zh-CN"/>
                    </w:rPr>
                    <w:t>″</w:t>
                  </w:r>
                </w:p>
              </w:tc>
              <w:tc>
                <w:tcPr>
                  <w:tcW w:w="664" w:type="pct"/>
                  <w:noWrap w:val="0"/>
                  <w:vAlign w:val="center"/>
                </w:tcPr>
                <w:p w14:paraId="7F3D9CF1">
                  <w:pPr>
                    <w:keepNext w:val="0"/>
                    <w:keepLines w:val="0"/>
                    <w:suppressLineNumbers w:val="0"/>
                    <w:tabs>
                      <w:tab w:val="left" w:pos="180"/>
                    </w:tabs>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TSP</w:t>
                  </w:r>
                </w:p>
              </w:tc>
              <w:tc>
                <w:tcPr>
                  <w:tcW w:w="545" w:type="pct"/>
                  <w:noWrap w:val="0"/>
                  <w:vAlign w:val="center"/>
                </w:tcPr>
                <w:p w14:paraId="68F011F9">
                  <w:pPr>
                    <w:keepNext w:val="0"/>
                    <w:keepLines w:val="0"/>
                    <w:suppressLineNumbers w:val="0"/>
                    <w:tabs>
                      <w:tab w:val="left" w:pos="180"/>
                    </w:tabs>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日均</w:t>
                  </w:r>
                </w:p>
              </w:tc>
              <w:tc>
                <w:tcPr>
                  <w:tcW w:w="586" w:type="pct"/>
                  <w:noWrap w:val="0"/>
                  <w:vAlign w:val="center"/>
                </w:tcPr>
                <w:p w14:paraId="50FDCF86">
                  <w:pPr>
                    <w:keepNext w:val="0"/>
                    <w:keepLines w:val="0"/>
                    <w:suppressLineNumbers w:val="0"/>
                    <w:tabs>
                      <w:tab w:val="left" w:pos="180"/>
                    </w:tabs>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300</w:t>
                  </w:r>
                </w:p>
              </w:tc>
              <w:tc>
                <w:tcPr>
                  <w:tcW w:w="768" w:type="pct"/>
                  <w:noWrap w:val="0"/>
                  <w:vAlign w:val="center"/>
                </w:tcPr>
                <w:p w14:paraId="2F1B31DE">
                  <w:pPr>
                    <w:keepNext w:val="0"/>
                    <w:keepLines w:val="0"/>
                    <w:suppressLineNumbers w:val="0"/>
                    <w:tabs>
                      <w:tab w:val="left" w:pos="180"/>
                    </w:tabs>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94</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106</w:t>
                  </w:r>
                </w:p>
              </w:tc>
              <w:tc>
                <w:tcPr>
                  <w:tcW w:w="494" w:type="pct"/>
                  <w:noWrap w:val="0"/>
                  <w:vAlign w:val="center"/>
                </w:tcPr>
                <w:p w14:paraId="5ED1B0DD">
                  <w:pPr>
                    <w:keepNext w:val="0"/>
                    <w:keepLines w:val="0"/>
                    <w:suppressLineNumbers w:val="0"/>
                    <w:tabs>
                      <w:tab w:val="left" w:pos="180"/>
                    </w:tabs>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达标</w:t>
                  </w:r>
                </w:p>
              </w:tc>
            </w:tr>
            <w:tr w14:paraId="18DB3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49" w:hRule="atLeast"/>
                <w:jc w:val="center"/>
              </w:trPr>
              <w:tc>
                <w:tcPr>
                  <w:tcW w:w="655" w:type="pct"/>
                  <w:vMerge w:val="continue"/>
                  <w:noWrap w:val="0"/>
                  <w:vAlign w:val="center"/>
                </w:tcPr>
                <w:p w14:paraId="366A3FEC">
                  <w:pPr>
                    <w:keepNext w:val="0"/>
                    <w:keepLines w:val="0"/>
                    <w:suppressLineNumbers w:val="0"/>
                    <w:tabs>
                      <w:tab w:val="left" w:pos="180"/>
                    </w:tabs>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645" w:type="pct"/>
                  <w:vMerge w:val="continue"/>
                  <w:noWrap w:val="0"/>
                  <w:vAlign w:val="center"/>
                </w:tcPr>
                <w:p w14:paraId="40B6FA78">
                  <w:pPr>
                    <w:keepNext w:val="0"/>
                    <w:keepLines w:val="0"/>
                    <w:suppressLineNumbers w:val="0"/>
                    <w:tabs>
                      <w:tab w:val="left" w:pos="180"/>
                    </w:tabs>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640" w:type="pct"/>
                  <w:vMerge w:val="continue"/>
                  <w:noWrap w:val="0"/>
                  <w:vAlign w:val="center"/>
                </w:tcPr>
                <w:p w14:paraId="2AFBAACE">
                  <w:pPr>
                    <w:keepNext w:val="0"/>
                    <w:keepLines w:val="0"/>
                    <w:suppressLineNumbers w:val="0"/>
                    <w:tabs>
                      <w:tab w:val="left" w:pos="180"/>
                    </w:tabs>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664" w:type="pct"/>
                  <w:noWrap w:val="0"/>
                  <w:vAlign w:val="center"/>
                </w:tcPr>
                <w:p w14:paraId="6B95AAC0">
                  <w:pPr>
                    <w:keepNext w:val="0"/>
                    <w:keepLines w:val="0"/>
                    <w:suppressLineNumbers w:val="0"/>
                    <w:tabs>
                      <w:tab w:val="left" w:pos="180"/>
                    </w:tabs>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非甲烷总烃</w:t>
                  </w:r>
                </w:p>
              </w:tc>
              <w:tc>
                <w:tcPr>
                  <w:tcW w:w="545" w:type="pct"/>
                  <w:noWrap w:val="0"/>
                  <w:vAlign w:val="center"/>
                </w:tcPr>
                <w:p w14:paraId="2D3FDF5C">
                  <w:pPr>
                    <w:keepNext w:val="0"/>
                    <w:keepLines w:val="0"/>
                    <w:suppressLineNumbers w:val="0"/>
                    <w:tabs>
                      <w:tab w:val="left" w:pos="180"/>
                    </w:tabs>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小时</w:t>
                  </w:r>
                </w:p>
              </w:tc>
              <w:tc>
                <w:tcPr>
                  <w:tcW w:w="586" w:type="pct"/>
                  <w:noWrap w:val="0"/>
                  <w:vAlign w:val="center"/>
                </w:tcPr>
                <w:p w14:paraId="6F44A786">
                  <w:pPr>
                    <w:keepNext w:val="0"/>
                    <w:keepLines w:val="0"/>
                    <w:suppressLineNumbers w:val="0"/>
                    <w:tabs>
                      <w:tab w:val="left" w:pos="180"/>
                    </w:tabs>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2000</w:t>
                  </w:r>
                </w:p>
              </w:tc>
              <w:tc>
                <w:tcPr>
                  <w:tcW w:w="768" w:type="pct"/>
                  <w:noWrap w:val="0"/>
                  <w:vAlign w:val="center"/>
                </w:tcPr>
                <w:p w14:paraId="0CF016B3">
                  <w:pPr>
                    <w:keepNext w:val="0"/>
                    <w:keepLines w:val="0"/>
                    <w:suppressLineNumbers w:val="0"/>
                    <w:tabs>
                      <w:tab w:val="left" w:pos="180"/>
                    </w:tabs>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190</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460</w:t>
                  </w:r>
                </w:p>
              </w:tc>
              <w:tc>
                <w:tcPr>
                  <w:tcW w:w="494" w:type="pct"/>
                  <w:noWrap w:val="0"/>
                  <w:vAlign w:val="center"/>
                </w:tcPr>
                <w:p w14:paraId="23C1C214">
                  <w:pPr>
                    <w:keepNext w:val="0"/>
                    <w:keepLines w:val="0"/>
                    <w:suppressLineNumbers w:val="0"/>
                    <w:tabs>
                      <w:tab w:val="left" w:pos="180"/>
                    </w:tabs>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14:paraId="5CE113BE">
            <w:pPr>
              <w:keepNext w:val="0"/>
              <w:keepLines w:val="0"/>
              <w:suppressLineNumbers w:val="0"/>
              <w:spacing w:before="0" w:beforeAutospacing="0" w:after="0" w:afterAutospacing="0" w:line="360" w:lineRule="auto"/>
              <w:ind w:left="0" w:right="0" w:firstLine="480"/>
              <w:rPr>
                <w:rFonts w:hint="default" w:ascii="Times New Roman" w:hAnsi="Times New Roman"/>
                <w:color w:val="auto"/>
                <w:szCs w:val="24"/>
              </w:rPr>
            </w:pPr>
            <w:r>
              <w:rPr>
                <w:rFonts w:hint="default" w:ascii="Times New Roman" w:hAnsi="Times New Roman" w:eastAsia="宋体" w:cs="Times New Roman"/>
                <w:color w:val="auto"/>
                <w:sz w:val="24"/>
                <w:szCs w:val="24"/>
                <w:highlight w:val="none"/>
                <w:lang w:val="en-US" w:eastAsia="zh-CN"/>
              </w:rPr>
              <w:t>根据</w:t>
            </w:r>
            <w:r>
              <w:rPr>
                <w:rFonts w:hint="eastAsia" w:cs="Times New Roman"/>
                <w:color w:val="auto"/>
                <w:sz w:val="24"/>
                <w:szCs w:val="24"/>
                <w:highlight w:val="none"/>
                <w:lang w:val="en-US" w:eastAsia="zh-CN"/>
              </w:rPr>
              <w:t>引用的</w:t>
            </w:r>
            <w:r>
              <w:rPr>
                <w:rFonts w:hint="default" w:ascii="Times New Roman" w:hAnsi="Times New Roman" w:eastAsia="宋体" w:cs="Times New Roman"/>
                <w:color w:val="auto"/>
                <w:sz w:val="24"/>
                <w:szCs w:val="24"/>
                <w:highlight w:val="none"/>
                <w:lang w:val="en-US" w:eastAsia="zh-CN"/>
              </w:rPr>
              <w:t>监测</w:t>
            </w:r>
            <w:r>
              <w:rPr>
                <w:rFonts w:hint="eastAsia" w:cs="Times New Roman"/>
                <w:color w:val="auto"/>
                <w:sz w:val="24"/>
                <w:szCs w:val="24"/>
                <w:highlight w:val="none"/>
                <w:lang w:val="en-US" w:eastAsia="zh-CN"/>
              </w:rPr>
              <w:t>数据</w:t>
            </w:r>
            <w:r>
              <w:rPr>
                <w:rFonts w:hint="default" w:ascii="Times New Roman" w:hAnsi="Times New Roman" w:eastAsia="宋体" w:cs="Times New Roman"/>
                <w:color w:val="auto"/>
                <w:sz w:val="24"/>
                <w:szCs w:val="24"/>
                <w:highlight w:val="none"/>
                <w:lang w:val="en-US" w:eastAsia="zh-CN"/>
              </w:rPr>
              <w:t>，监测点</w:t>
            </w:r>
            <w:r>
              <w:rPr>
                <w:rFonts w:hint="eastAsia" w:ascii="Times New Roman" w:hAnsi="Times New Roman" w:eastAsia="宋体" w:cs="Times New Roman"/>
                <w:color w:val="auto"/>
                <w:sz w:val="24"/>
                <w:szCs w:val="24"/>
                <w:highlight w:val="none"/>
                <w:lang w:val="en-US" w:eastAsia="zh-CN"/>
              </w:rPr>
              <w:t>哨箐村散户</w:t>
            </w:r>
            <w:r>
              <w:rPr>
                <w:rFonts w:hint="default" w:ascii="Times New Roman" w:hAnsi="Times New Roman" w:eastAsia="宋体" w:cs="Times New Roman"/>
                <w:color w:val="auto"/>
                <w:sz w:val="24"/>
                <w:szCs w:val="24"/>
                <w:highlight w:val="none"/>
              </w:rPr>
              <w:t>的</w:t>
            </w:r>
            <w:r>
              <w:rPr>
                <w:rFonts w:hint="eastAsia" w:ascii="Times New Roman" w:hAnsi="Times New Roman" w:eastAsia="宋体" w:cs="Times New Roman"/>
                <w:color w:val="auto"/>
                <w:sz w:val="24"/>
                <w:szCs w:val="24"/>
                <w:highlight w:val="none"/>
                <w:lang w:val="en-US" w:eastAsia="zh-CN"/>
              </w:rPr>
              <w:t>非甲烷总烃</w:t>
            </w:r>
            <w:r>
              <w:rPr>
                <w:rFonts w:hint="default" w:ascii="Times New Roman" w:hAnsi="Times New Roman" w:eastAsia="宋体" w:cs="Times New Roman"/>
                <w:color w:val="auto"/>
                <w:sz w:val="24"/>
                <w:szCs w:val="24"/>
                <w:highlight w:val="none"/>
              </w:rPr>
              <w:t>小时</w:t>
            </w:r>
            <w:r>
              <w:rPr>
                <w:rFonts w:hint="eastAsia" w:ascii="Times New Roman" w:hAnsi="Times New Roman" w:eastAsia="宋体" w:cs="Times New Roman"/>
                <w:color w:val="auto"/>
                <w:sz w:val="24"/>
                <w:szCs w:val="24"/>
                <w:highlight w:val="none"/>
                <w:lang w:val="en-US" w:eastAsia="zh-CN"/>
              </w:rPr>
              <w:t>最大</w:t>
            </w:r>
            <w:r>
              <w:rPr>
                <w:rFonts w:hint="default" w:ascii="Times New Roman" w:hAnsi="Times New Roman" w:eastAsia="宋体" w:cs="Times New Roman"/>
                <w:color w:val="auto"/>
                <w:sz w:val="24"/>
                <w:szCs w:val="24"/>
                <w:highlight w:val="none"/>
              </w:rPr>
              <w:t>浓度现状监测值可满足</w:t>
            </w:r>
            <w:r>
              <w:rPr>
                <w:rFonts w:hint="eastAsia" w:ascii="Times New Roman" w:hAnsi="Times New Roman" w:eastAsia="宋体" w:cs="Times New Roman"/>
                <w:color w:val="auto"/>
                <w:sz w:val="24"/>
                <w:szCs w:val="24"/>
                <w:highlight w:val="none"/>
                <w:lang w:val="en-US" w:eastAsia="zh-CN"/>
              </w:rPr>
              <w:t>《大气污染物综合排放标准详解》的限值要求；TSP最大日均浓度</w:t>
            </w:r>
            <w:r>
              <w:rPr>
                <w:rFonts w:hint="default" w:ascii="Times New Roman" w:hAnsi="Times New Roman" w:eastAsia="宋体" w:cs="Times New Roman"/>
                <w:color w:val="auto"/>
                <w:sz w:val="24"/>
                <w:szCs w:val="24"/>
                <w:highlight w:val="none"/>
              </w:rPr>
              <w:t>现状监测值</w:t>
            </w:r>
            <w:r>
              <w:rPr>
                <w:rFonts w:hint="eastAsia" w:ascii="Times New Roman" w:hAnsi="Times New Roman" w:eastAsia="宋体" w:cs="Times New Roman"/>
                <w:color w:val="auto"/>
                <w:sz w:val="24"/>
                <w:szCs w:val="24"/>
                <w:highlight w:val="none"/>
                <w:lang w:val="en-US" w:eastAsia="zh-CN"/>
              </w:rPr>
              <w:t>可满足《环境空气质量标准》（GB3095-2012）的限值要求。</w:t>
            </w:r>
          </w:p>
          <w:p w14:paraId="66FEA659">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地表水环境质量状况</w:t>
            </w:r>
          </w:p>
          <w:p w14:paraId="3A06B14F">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olor w:val="auto"/>
                <w:sz w:val="24"/>
                <w:szCs w:val="24"/>
                <w:highlight w:val="none"/>
              </w:rPr>
            </w:pPr>
            <w:r>
              <w:rPr>
                <w:rFonts w:hint="eastAsia" w:ascii="Times New Roman" w:hAnsi="Times New Roman"/>
                <w:color w:val="auto"/>
                <w:sz w:val="24"/>
                <w:szCs w:val="24"/>
                <w:highlight w:val="none"/>
                <w:lang w:eastAsia="zh-CN"/>
              </w:rPr>
              <w:t>项目区附近的主要地表水体为螳螂川，</w:t>
            </w:r>
            <w:r>
              <w:rPr>
                <w:rFonts w:hint="default" w:ascii="Times New Roman" w:hAnsi="Times New Roman"/>
                <w:color w:val="auto"/>
                <w:sz w:val="24"/>
                <w:szCs w:val="24"/>
                <w:highlight w:val="none"/>
              </w:rPr>
              <w:t>螳螂川属长江流域金沙江水系支流，根据《云南省水功能区划》（2014年修订），项目所涉及螳螂川河段为“富民大桥—普渡河桥”河段</w:t>
            </w:r>
            <w:r>
              <w:rPr>
                <w:rFonts w:hint="eastAsia" w:ascii="Times New Roman" w:hAnsi="Times New Roman" w:eastAsia="宋体"/>
                <w:color w:val="auto"/>
                <w:sz w:val="24"/>
                <w:szCs w:val="24"/>
                <w:highlight w:val="none"/>
                <w:lang w:eastAsia="zh-CN"/>
              </w:rPr>
              <w:t>（</w:t>
            </w:r>
            <w:r>
              <w:rPr>
                <w:rFonts w:hint="default"/>
                <w:color w:val="auto"/>
                <w:sz w:val="24"/>
                <w:szCs w:val="24"/>
                <w:highlight w:val="none"/>
              </w:rPr>
              <w:t>普渡河富民</w:t>
            </w:r>
            <w:r>
              <w:rPr>
                <w:rFonts w:hint="default" w:ascii="Times New Roman" w:hAnsi="Times New Roman" w:eastAsia="Times New Roman"/>
                <w:color w:val="auto"/>
                <w:sz w:val="24"/>
                <w:szCs w:val="24"/>
                <w:highlight w:val="none"/>
              </w:rPr>
              <w:t>-</w:t>
            </w:r>
            <w:r>
              <w:rPr>
                <w:rFonts w:hint="default"/>
                <w:color w:val="auto"/>
                <w:sz w:val="24"/>
                <w:szCs w:val="24"/>
                <w:highlight w:val="none"/>
              </w:rPr>
              <w:t>禄劝保留区</w:t>
            </w:r>
            <w:r>
              <w:rPr>
                <w:rFonts w:hint="eastAsia" w:ascii="Times New Roman" w:hAnsi="Times New Roman" w:eastAsia="宋体"/>
                <w:color w:val="auto"/>
                <w:sz w:val="24"/>
                <w:szCs w:val="24"/>
                <w:highlight w:val="none"/>
                <w:lang w:eastAsia="zh-CN"/>
              </w:rPr>
              <w:t>）</w:t>
            </w:r>
            <w:r>
              <w:rPr>
                <w:rFonts w:hint="default" w:ascii="Times New Roman" w:hAnsi="Times New Roman"/>
                <w:color w:val="auto"/>
                <w:sz w:val="24"/>
                <w:szCs w:val="24"/>
                <w:highlight w:val="none"/>
              </w:rPr>
              <w:t>，水质保护目标为《地表水环境质量标准》（GB3838-2002）</w:t>
            </w:r>
            <w:r>
              <w:rPr>
                <w:rFonts w:hint="eastAsia" w:hAnsi="宋体" w:cs="宋体"/>
                <w:color w:val="auto"/>
                <w:sz w:val="24"/>
                <w:szCs w:val="24"/>
                <w:highlight w:val="none"/>
              </w:rPr>
              <w:t>Ⅳ</w:t>
            </w:r>
            <w:r>
              <w:rPr>
                <w:rFonts w:hint="default" w:ascii="Times New Roman" w:hAnsi="Times New Roman"/>
                <w:color w:val="auto"/>
                <w:sz w:val="24"/>
                <w:szCs w:val="24"/>
                <w:highlight w:val="none"/>
              </w:rPr>
              <w:t>类水体。</w:t>
            </w:r>
          </w:p>
          <w:p w14:paraId="56DB35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cs="Times New Roman"/>
                <w:color w:val="auto"/>
                <w:sz w:val="24"/>
                <w:szCs w:val="24"/>
                <w:highlight w:val="none"/>
                <w:lang w:val="en-US" w:eastAsia="zh-CN"/>
              </w:rPr>
              <w:t>螳螂川水环境质量现状评价，引用《云南富民产业园区总体规划修编（2022-2035年）环境影响报告书》编制时</w:t>
            </w:r>
            <w:r>
              <w:rPr>
                <w:rFonts w:hint="default" w:ascii="Times New Roman" w:hAnsi="Times New Roman" w:cs="Times New Roman"/>
                <w:color w:val="000000" w:themeColor="text1"/>
                <w:sz w:val="24"/>
                <w14:textFill>
                  <w14:solidFill>
                    <w14:schemeClr w14:val="tx1"/>
                  </w14:solidFill>
                </w14:textFill>
              </w:rPr>
              <w:t>云南泰义检测技术有限公司2022年11月25日~2022年11月27日对</w:t>
            </w:r>
            <w:r>
              <w:rPr>
                <w:rFonts w:hint="eastAsia" w:ascii="Times New Roman" w:hAnsi="Times New Roman" w:cs="Times New Roman"/>
                <w:color w:val="000000" w:themeColor="text1"/>
                <w:sz w:val="24"/>
                <w:lang w:val="en-US" w:eastAsia="zh-CN"/>
                <w14:textFill>
                  <w14:solidFill>
                    <w14:schemeClr w14:val="tx1"/>
                  </w14:solidFill>
                </w14:textFill>
              </w:rPr>
              <w:t>螳螂川环保产业组团</w:t>
            </w:r>
            <w:r>
              <w:rPr>
                <w:rFonts w:hint="default" w:ascii="Times New Roman" w:hAnsi="Times New Roman" w:cs="Times New Roman"/>
                <w:color w:val="000000" w:themeColor="text1"/>
                <w:sz w:val="24"/>
                <w14:textFill>
                  <w14:solidFill>
                    <w14:schemeClr w14:val="tx1"/>
                  </w14:solidFill>
                </w14:textFill>
              </w:rPr>
              <w:t>污水厂排口上游</w:t>
            </w:r>
            <w:r>
              <w:rPr>
                <w:rFonts w:hint="eastAsia" w:ascii="Times New Roman" w:hAnsi="Times New Roman" w:cs="Times New Roman"/>
                <w:color w:val="000000" w:themeColor="text1"/>
                <w:sz w:val="24"/>
                <w:lang w:val="en-US" w:eastAsia="zh-CN"/>
                <w14:textFill>
                  <w14:solidFill>
                    <w14:schemeClr w14:val="tx1"/>
                  </w14:solidFill>
                </w14:textFill>
              </w:rPr>
              <w:t>500m（本项目下游300m）的现状监测检测数据，监测情况见下表。</w:t>
            </w:r>
          </w:p>
          <w:p w14:paraId="42C0C495">
            <w:pPr>
              <w:pStyle w:val="2"/>
              <w:keepNext w:val="0"/>
              <w:keepLines w:val="0"/>
              <w:suppressLineNumbers w:val="0"/>
              <w:spacing w:before="0" w:beforeAutospacing="0" w:after="0" w:afterAutospacing="0"/>
              <w:ind w:left="0" w:right="0"/>
              <w:jc w:val="center"/>
              <w:rPr>
                <w:rFonts w:hint="default"/>
                <w:b/>
                <w:bCs/>
                <w:sz w:val="21"/>
                <w:szCs w:val="21"/>
                <w:lang w:val="en-US" w:eastAsia="zh-CN"/>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表3-2 项目区下游300m螳螂川水质监测数据一览表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858"/>
              <w:gridCol w:w="976"/>
              <w:gridCol w:w="1170"/>
              <w:gridCol w:w="1155"/>
              <w:gridCol w:w="1121"/>
              <w:gridCol w:w="1121"/>
              <w:gridCol w:w="1121"/>
            </w:tblGrid>
            <w:tr w14:paraId="63504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941" w:type="pct"/>
                  <w:gridSpan w:val="2"/>
                  <w:vAlign w:val="center"/>
                </w:tcPr>
                <w:p w14:paraId="7284AB11">
                  <w:pPr>
                    <w:keepNext w:val="0"/>
                    <w:keepLines w:val="0"/>
                    <w:suppressLineNumbers w:val="0"/>
                    <w:spacing w:before="0" w:beforeAutospacing="0" w:after="0" w:afterAutospacing="0"/>
                    <w:ind w:left="0" w:right="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分析项目</w:t>
                  </w:r>
                </w:p>
              </w:tc>
              <w:tc>
                <w:tcPr>
                  <w:tcW w:w="596" w:type="pct"/>
                  <w:vAlign w:val="center"/>
                </w:tcPr>
                <w:p w14:paraId="7FBCE136">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宋体" w:hAnsi="宋体" w:eastAsia="宋体" w:cs="宋体"/>
                      <w:b/>
                      <w:color w:val="000000" w:themeColor="text1"/>
                      <w:szCs w:val="16"/>
                      <w14:textFill>
                        <w14:solidFill>
                          <w14:schemeClr w14:val="tx1"/>
                        </w14:solidFill>
                      </w14:textFill>
                    </w:rPr>
                    <w:t>Ⅳ</w:t>
                  </w:r>
                  <w:r>
                    <w:rPr>
                      <w:rFonts w:hint="default" w:ascii="Times New Roman" w:hAnsi="Times New Roman" w:cs="Times New Roman"/>
                      <w:b/>
                      <w:color w:val="000000" w:themeColor="text1"/>
                      <w:szCs w:val="16"/>
                      <w14:textFill>
                        <w14:solidFill>
                          <w14:schemeClr w14:val="tx1"/>
                        </w14:solidFill>
                      </w14:textFill>
                    </w:rPr>
                    <w:t>类</w:t>
                  </w:r>
                  <w:r>
                    <w:rPr>
                      <w:rFonts w:hint="default" w:ascii="Times New Roman" w:hAnsi="Times New Roman" w:cs="Times New Roman"/>
                      <w:b/>
                      <w:bCs/>
                      <w:color w:val="000000" w:themeColor="text1"/>
                      <w:szCs w:val="21"/>
                      <w14:textFill>
                        <w14:solidFill>
                          <w14:schemeClr w14:val="tx1"/>
                        </w14:solidFill>
                      </w14:textFill>
                    </w:rPr>
                    <w:t>标准值</w:t>
                  </w:r>
                </w:p>
              </w:tc>
              <w:tc>
                <w:tcPr>
                  <w:tcW w:w="711" w:type="pct"/>
                  <w:vAlign w:val="center"/>
                </w:tcPr>
                <w:p w14:paraId="720F3CB4">
                  <w:pPr>
                    <w:keepNext w:val="0"/>
                    <w:keepLines w:val="0"/>
                    <w:suppressLineNumbers w:val="0"/>
                    <w:spacing w:before="0" w:beforeAutospacing="0" w:after="0" w:afterAutospacing="0"/>
                    <w:ind w:left="0" w:right="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采样时间</w:t>
                  </w:r>
                </w:p>
              </w:tc>
              <w:tc>
                <w:tcPr>
                  <w:tcW w:w="702" w:type="pct"/>
                  <w:vAlign w:val="center"/>
                </w:tcPr>
                <w:p w14:paraId="6EC7CDA2">
                  <w:pPr>
                    <w:keepNext w:val="0"/>
                    <w:keepLines w:val="0"/>
                    <w:suppressLineNumbers w:val="0"/>
                    <w:spacing w:before="0" w:beforeAutospacing="0" w:after="0" w:afterAutospacing="0"/>
                    <w:ind w:left="0" w:right="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检测结果</w:t>
                  </w:r>
                </w:p>
              </w:tc>
              <w:tc>
                <w:tcPr>
                  <w:tcW w:w="682" w:type="pct"/>
                  <w:vAlign w:val="center"/>
                </w:tcPr>
                <w:p w14:paraId="4E7F918D">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标准指数</w:t>
                  </w:r>
                </w:p>
              </w:tc>
              <w:tc>
                <w:tcPr>
                  <w:tcW w:w="682" w:type="pct"/>
                  <w:vAlign w:val="center"/>
                </w:tcPr>
                <w:p w14:paraId="3850064A">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超标倍数</w:t>
                  </w:r>
                </w:p>
              </w:tc>
              <w:tc>
                <w:tcPr>
                  <w:tcW w:w="682" w:type="pct"/>
                  <w:vAlign w:val="center"/>
                </w:tcPr>
                <w:p w14:paraId="659822C8">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达标分析</w:t>
                  </w:r>
                </w:p>
              </w:tc>
            </w:tr>
            <w:tr w14:paraId="51CB0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5DC4F22B">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pH</w:t>
                  </w:r>
                </w:p>
              </w:tc>
              <w:tc>
                <w:tcPr>
                  <w:tcW w:w="402" w:type="pct"/>
                  <w:vMerge w:val="restart"/>
                  <w:vAlign w:val="center"/>
                </w:tcPr>
                <w:p w14:paraId="2BCA634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无量纲</w:t>
                  </w:r>
                </w:p>
              </w:tc>
              <w:tc>
                <w:tcPr>
                  <w:tcW w:w="596" w:type="pct"/>
                  <w:vMerge w:val="restart"/>
                  <w:vAlign w:val="center"/>
                </w:tcPr>
                <w:p w14:paraId="2A29CB7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6~9</w:t>
                  </w:r>
                </w:p>
              </w:tc>
              <w:tc>
                <w:tcPr>
                  <w:tcW w:w="711" w:type="pct"/>
                  <w:vAlign w:val="center"/>
                </w:tcPr>
                <w:p w14:paraId="4BE0344D">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0970201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7.24</w:t>
                  </w:r>
                </w:p>
              </w:tc>
              <w:tc>
                <w:tcPr>
                  <w:tcW w:w="682" w:type="pct"/>
                  <w:vAlign w:val="center"/>
                </w:tcPr>
                <w:p w14:paraId="3221885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0.12</w:t>
                  </w:r>
                </w:p>
              </w:tc>
              <w:tc>
                <w:tcPr>
                  <w:tcW w:w="682" w:type="pct"/>
                  <w:vAlign w:val="center"/>
                </w:tcPr>
                <w:p w14:paraId="6A9BD90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320C9DC7">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50EBA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7725842C">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281A7F31">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678B4EE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30A8BC97">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62526DD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7.27</w:t>
                  </w:r>
                </w:p>
              </w:tc>
              <w:tc>
                <w:tcPr>
                  <w:tcW w:w="682" w:type="pct"/>
                  <w:vAlign w:val="center"/>
                </w:tcPr>
                <w:p w14:paraId="4711CE8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0.14</w:t>
                  </w:r>
                </w:p>
              </w:tc>
              <w:tc>
                <w:tcPr>
                  <w:tcW w:w="682" w:type="pct"/>
                  <w:vAlign w:val="center"/>
                </w:tcPr>
                <w:p w14:paraId="770F872A">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3086CE5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03A5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42663F79">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14EAFAE2">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70E4405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7ADB6D44">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1A1E962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7.21</w:t>
                  </w:r>
                </w:p>
              </w:tc>
              <w:tc>
                <w:tcPr>
                  <w:tcW w:w="682" w:type="pct"/>
                  <w:vAlign w:val="center"/>
                </w:tcPr>
                <w:p w14:paraId="388A2FC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0.105</w:t>
                  </w:r>
                </w:p>
              </w:tc>
              <w:tc>
                <w:tcPr>
                  <w:tcW w:w="682" w:type="pct"/>
                  <w:vAlign w:val="center"/>
                </w:tcPr>
                <w:p w14:paraId="6266B6F0">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68B56DB2">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03755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0BBA4C8F">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水温</w:t>
                  </w:r>
                </w:p>
              </w:tc>
              <w:tc>
                <w:tcPr>
                  <w:tcW w:w="402" w:type="pct"/>
                  <w:vMerge w:val="restart"/>
                  <w:vAlign w:val="center"/>
                </w:tcPr>
                <w:p w14:paraId="4DE2AE1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c>
                <w:tcPr>
                  <w:tcW w:w="596" w:type="pct"/>
                  <w:vMerge w:val="restart"/>
                  <w:vAlign w:val="center"/>
                </w:tcPr>
                <w:p w14:paraId="60E029E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11" w:type="pct"/>
                  <w:vAlign w:val="center"/>
                </w:tcPr>
                <w:p w14:paraId="57DE4F41">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10691D8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20.4</w:t>
                  </w:r>
                </w:p>
              </w:tc>
              <w:tc>
                <w:tcPr>
                  <w:tcW w:w="682" w:type="pct"/>
                  <w:vAlign w:val="center"/>
                </w:tcPr>
                <w:p w14:paraId="00449FDA">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04EA74F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55F8E93B">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r>
            <w:tr w14:paraId="194E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0B49BF4B">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2722699E">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3C07E5F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034294D1">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3FFDFFD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19.7</w:t>
                  </w:r>
                </w:p>
              </w:tc>
              <w:tc>
                <w:tcPr>
                  <w:tcW w:w="682" w:type="pct"/>
                  <w:vAlign w:val="center"/>
                </w:tcPr>
                <w:p w14:paraId="5FA538C1">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7EE7FB6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7C112DA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r>
            <w:tr w14:paraId="06C76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4B42B282">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37640B9B">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08A7FA3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3569E2BD">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721A432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19</w:t>
                  </w:r>
                </w:p>
              </w:tc>
              <w:tc>
                <w:tcPr>
                  <w:tcW w:w="682" w:type="pct"/>
                  <w:vAlign w:val="center"/>
                </w:tcPr>
                <w:p w14:paraId="4421B427">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55045D8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7168A9A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r>
            <w:tr w14:paraId="48915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4BCFB1C1">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溶解氧</w:t>
                  </w:r>
                </w:p>
              </w:tc>
              <w:tc>
                <w:tcPr>
                  <w:tcW w:w="402" w:type="pct"/>
                  <w:vMerge w:val="restart"/>
                  <w:vAlign w:val="center"/>
                </w:tcPr>
                <w:p w14:paraId="00E49D9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4AB69FC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w:t>
                  </w:r>
                </w:p>
              </w:tc>
              <w:tc>
                <w:tcPr>
                  <w:tcW w:w="711" w:type="pct"/>
                  <w:vAlign w:val="center"/>
                </w:tcPr>
                <w:p w14:paraId="3B9F591A">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7F9E4D7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6.3</w:t>
                  </w:r>
                </w:p>
              </w:tc>
              <w:tc>
                <w:tcPr>
                  <w:tcW w:w="682" w:type="pct"/>
                  <w:vAlign w:val="center"/>
                </w:tcPr>
                <w:p w14:paraId="09FD4BA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0.48</w:t>
                  </w:r>
                </w:p>
              </w:tc>
              <w:tc>
                <w:tcPr>
                  <w:tcW w:w="682" w:type="pct"/>
                  <w:vAlign w:val="center"/>
                </w:tcPr>
                <w:p w14:paraId="674A363B">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p>
              </w:tc>
              <w:tc>
                <w:tcPr>
                  <w:tcW w:w="682" w:type="pct"/>
                  <w:vAlign w:val="center"/>
                </w:tcPr>
                <w:p w14:paraId="31B58CAE">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1DE8E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7DCA1D34">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7F82F9CA">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13276CA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552010B5">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203B6F1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6.1</w:t>
                  </w:r>
                </w:p>
              </w:tc>
              <w:tc>
                <w:tcPr>
                  <w:tcW w:w="682" w:type="pct"/>
                  <w:vAlign w:val="center"/>
                </w:tcPr>
                <w:p w14:paraId="18281AD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0.49</w:t>
                  </w:r>
                </w:p>
              </w:tc>
              <w:tc>
                <w:tcPr>
                  <w:tcW w:w="682" w:type="pct"/>
                  <w:vAlign w:val="center"/>
                </w:tcPr>
                <w:p w14:paraId="35219DEA">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p>
              </w:tc>
              <w:tc>
                <w:tcPr>
                  <w:tcW w:w="682" w:type="pct"/>
                  <w:vAlign w:val="center"/>
                </w:tcPr>
                <w:p w14:paraId="3CB5F79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05E2F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36A49ED3">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7BF7870C">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4D51043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5BF999B6">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5E82F43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6.1</w:t>
                  </w:r>
                </w:p>
              </w:tc>
              <w:tc>
                <w:tcPr>
                  <w:tcW w:w="682" w:type="pct"/>
                  <w:vAlign w:val="center"/>
                </w:tcPr>
                <w:p w14:paraId="57E6C666">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0.49</w:t>
                  </w:r>
                </w:p>
              </w:tc>
              <w:tc>
                <w:tcPr>
                  <w:tcW w:w="682" w:type="pct"/>
                  <w:vAlign w:val="center"/>
                </w:tcPr>
                <w:p w14:paraId="2B023999">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p>
              </w:tc>
              <w:tc>
                <w:tcPr>
                  <w:tcW w:w="682" w:type="pct"/>
                  <w:vAlign w:val="center"/>
                </w:tcPr>
                <w:p w14:paraId="0CA2A90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324E1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3096AA80">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高锰酸盐指数</w:t>
                  </w:r>
                </w:p>
              </w:tc>
              <w:tc>
                <w:tcPr>
                  <w:tcW w:w="402" w:type="pct"/>
                  <w:vMerge w:val="restart"/>
                  <w:vAlign w:val="center"/>
                </w:tcPr>
                <w:p w14:paraId="290E133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0CE43C9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711" w:type="pct"/>
                  <w:vAlign w:val="center"/>
                </w:tcPr>
                <w:p w14:paraId="1BEB7025">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664D0F3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1.8</w:t>
                  </w:r>
                </w:p>
              </w:tc>
              <w:tc>
                <w:tcPr>
                  <w:tcW w:w="682" w:type="pct"/>
                  <w:vAlign w:val="center"/>
                </w:tcPr>
                <w:p w14:paraId="6620BD1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0.18</w:t>
                  </w:r>
                </w:p>
              </w:tc>
              <w:tc>
                <w:tcPr>
                  <w:tcW w:w="682" w:type="pct"/>
                  <w:vAlign w:val="center"/>
                </w:tcPr>
                <w:p w14:paraId="2485AFB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3BFD0C7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5246D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142C66B9">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0042ED83">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1E96528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14036477">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2F53511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1.8</w:t>
                  </w:r>
                </w:p>
              </w:tc>
              <w:tc>
                <w:tcPr>
                  <w:tcW w:w="682" w:type="pct"/>
                  <w:vAlign w:val="center"/>
                </w:tcPr>
                <w:p w14:paraId="085FB5A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0.18</w:t>
                  </w:r>
                </w:p>
              </w:tc>
              <w:tc>
                <w:tcPr>
                  <w:tcW w:w="682" w:type="pct"/>
                  <w:vAlign w:val="center"/>
                </w:tcPr>
                <w:p w14:paraId="3AEDC2F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5232FC35">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2B944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32AE7446">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45A0C8EF">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2B5C55B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545606E7">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39EB4C4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1.8</w:t>
                  </w:r>
                </w:p>
              </w:tc>
              <w:tc>
                <w:tcPr>
                  <w:tcW w:w="682" w:type="pct"/>
                  <w:vAlign w:val="center"/>
                </w:tcPr>
                <w:p w14:paraId="04E0BAB2">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0.18</w:t>
                  </w:r>
                </w:p>
              </w:tc>
              <w:tc>
                <w:tcPr>
                  <w:tcW w:w="682" w:type="pct"/>
                  <w:vAlign w:val="center"/>
                </w:tcPr>
                <w:p w14:paraId="472559E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34B539A0">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69653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32022CC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化学需氧量</w:t>
                  </w:r>
                </w:p>
              </w:tc>
              <w:tc>
                <w:tcPr>
                  <w:tcW w:w="402" w:type="pct"/>
                  <w:vMerge w:val="restart"/>
                  <w:vAlign w:val="center"/>
                </w:tcPr>
                <w:p w14:paraId="0AD7DF86">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32F8623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≤30</w:t>
                  </w:r>
                </w:p>
              </w:tc>
              <w:tc>
                <w:tcPr>
                  <w:tcW w:w="711" w:type="pct"/>
                  <w:vAlign w:val="center"/>
                </w:tcPr>
                <w:p w14:paraId="2F8643EF">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74DBBF6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34</w:t>
                  </w:r>
                </w:p>
              </w:tc>
              <w:tc>
                <w:tcPr>
                  <w:tcW w:w="682" w:type="pct"/>
                  <w:vAlign w:val="center"/>
                </w:tcPr>
                <w:p w14:paraId="5D9628D2">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1.13 </w:t>
                  </w:r>
                </w:p>
              </w:tc>
              <w:tc>
                <w:tcPr>
                  <w:tcW w:w="682" w:type="pct"/>
                  <w:vAlign w:val="center"/>
                </w:tcPr>
                <w:p w14:paraId="0EABCA4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0.13 </w:t>
                  </w:r>
                </w:p>
              </w:tc>
              <w:tc>
                <w:tcPr>
                  <w:tcW w:w="682" w:type="pct"/>
                  <w:vAlign w:val="center"/>
                </w:tcPr>
                <w:p w14:paraId="6A7534A7">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lang w:bidi="ar"/>
                      <w14:textFill>
                        <w14:solidFill>
                          <w14:schemeClr w14:val="tx1"/>
                        </w14:solidFill>
                      </w14:textFill>
                    </w:rPr>
                    <w:t>超标</w:t>
                  </w:r>
                </w:p>
              </w:tc>
            </w:tr>
            <w:tr w14:paraId="50674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7F67CEA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402" w:type="pct"/>
                  <w:vMerge w:val="continue"/>
                  <w:vAlign w:val="center"/>
                </w:tcPr>
                <w:p w14:paraId="22FC13F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596" w:type="pct"/>
                  <w:vMerge w:val="continue"/>
                  <w:vAlign w:val="center"/>
                </w:tcPr>
                <w:p w14:paraId="525A781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7EB020E9">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3FFDA7D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34</w:t>
                  </w:r>
                </w:p>
              </w:tc>
              <w:tc>
                <w:tcPr>
                  <w:tcW w:w="682" w:type="pct"/>
                  <w:vAlign w:val="center"/>
                </w:tcPr>
                <w:p w14:paraId="1C83182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1.13 </w:t>
                  </w:r>
                </w:p>
              </w:tc>
              <w:tc>
                <w:tcPr>
                  <w:tcW w:w="682" w:type="pct"/>
                  <w:vAlign w:val="center"/>
                </w:tcPr>
                <w:p w14:paraId="1D723E50">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0.13 </w:t>
                  </w:r>
                </w:p>
              </w:tc>
              <w:tc>
                <w:tcPr>
                  <w:tcW w:w="682" w:type="pct"/>
                  <w:vAlign w:val="center"/>
                </w:tcPr>
                <w:p w14:paraId="1474E7F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lang w:bidi="ar"/>
                      <w14:textFill>
                        <w14:solidFill>
                          <w14:schemeClr w14:val="tx1"/>
                        </w14:solidFill>
                      </w14:textFill>
                    </w:rPr>
                    <w:t>超标</w:t>
                  </w:r>
                </w:p>
              </w:tc>
            </w:tr>
            <w:tr w14:paraId="39C76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0E9658C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402" w:type="pct"/>
                  <w:vMerge w:val="continue"/>
                  <w:vAlign w:val="center"/>
                </w:tcPr>
                <w:p w14:paraId="1626AF6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596" w:type="pct"/>
                  <w:vMerge w:val="continue"/>
                  <w:vAlign w:val="center"/>
                </w:tcPr>
                <w:p w14:paraId="60C24E3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22E79170">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7D49FE6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33</w:t>
                  </w:r>
                </w:p>
              </w:tc>
              <w:tc>
                <w:tcPr>
                  <w:tcW w:w="682" w:type="pct"/>
                  <w:vAlign w:val="center"/>
                </w:tcPr>
                <w:p w14:paraId="6E58B367">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1.10 </w:t>
                  </w:r>
                </w:p>
              </w:tc>
              <w:tc>
                <w:tcPr>
                  <w:tcW w:w="682" w:type="pct"/>
                  <w:vAlign w:val="center"/>
                </w:tcPr>
                <w:p w14:paraId="344C2D30">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0.10 </w:t>
                  </w:r>
                </w:p>
              </w:tc>
              <w:tc>
                <w:tcPr>
                  <w:tcW w:w="682" w:type="pct"/>
                  <w:vAlign w:val="center"/>
                </w:tcPr>
                <w:p w14:paraId="17D950F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lang w:bidi="ar"/>
                      <w14:textFill>
                        <w14:solidFill>
                          <w14:schemeClr w14:val="tx1"/>
                        </w14:solidFill>
                      </w14:textFill>
                    </w:rPr>
                    <w:t>超标</w:t>
                  </w:r>
                </w:p>
              </w:tc>
            </w:tr>
            <w:tr w14:paraId="1A3C9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110D147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五日生化需氧量</w:t>
                  </w:r>
                </w:p>
              </w:tc>
              <w:tc>
                <w:tcPr>
                  <w:tcW w:w="402" w:type="pct"/>
                  <w:vMerge w:val="restart"/>
                  <w:vAlign w:val="center"/>
                </w:tcPr>
                <w:p w14:paraId="01165D67">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3BBA27D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w:t>
                  </w:r>
                </w:p>
              </w:tc>
              <w:tc>
                <w:tcPr>
                  <w:tcW w:w="711" w:type="pct"/>
                  <w:vAlign w:val="center"/>
                </w:tcPr>
                <w:p w14:paraId="490B9AD5">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5C6C7C9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10.4</w:t>
                  </w:r>
                </w:p>
              </w:tc>
              <w:tc>
                <w:tcPr>
                  <w:tcW w:w="682" w:type="pct"/>
                  <w:vAlign w:val="center"/>
                </w:tcPr>
                <w:p w14:paraId="42B7F86A">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1.73 </w:t>
                  </w:r>
                </w:p>
              </w:tc>
              <w:tc>
                <w:tcPr>
                  <w:tcW w:w="682" w:type="pct"/>
                  <w:vAlign w:val="center"/>
                </w:tcPr>
                <w:p w14:paraId="6C168C50">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0.73 </w:t>
                  </w:r>
                </w:p>
              </w:tc>
              <w:tc>
                <w:tcPr>
                  <w:tcW w:w="682" w:type="pct"/>
                  <w:vAlign w:val="center"/>
                </w:tcPr>
                <w:p w14:paraId="7AFE17A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lang w:bidi="ar"/>
                      <w14:textFill>
                        <w14:solidFill>
                          <w14:schemeClr w14:val="tx1"/>
                        </w14:solidFill>
                      </w14:textFill>
                    </w:rPr>
                    <w:t>超标</w:t>
                  </w:r>
                </w:p>
              </w:tc>
            </w:tr>
            <w:tr w14:paraId="18158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3C9C9B9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402" w:type="pct"/>
                  <w:vMerge w:val="continue"/>
                  <w:vAlign w:val="center"/>
                </w:tcPr>
                <w:p w14:paraId="610029A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596" w:type="pct"/>
                  <w:vMerge w:val="continue"/>
                  <w:vAlign w:val="center"/>
                </w:tcPr>
                <w:p w14:paraId="475090A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7BEE9F44">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6EEC60F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10.8</w:t>
                  </w:r>
                </w:p>
              </w:tc>
              <w:tc>
                <w:tcPr>
                  <w:tcW w:w="682" w:type="pct"/>
                  <w:vAlign w:val="center"/>
                </w:tcPr>
                <w:p w14:paraId="38818B8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1.80 </w:t>
                  </w:r>
                </w:p>
              </w:tc>
              <w:tc>
                <w:tcPr>
                  <w:tcW w:w="682" w:type="pct"/>
                  <w:vAlign w:val="center"/>
                </w:tcPr>
                <w:p w14:paraId="40388E5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0.80 </w:t>
                  </w:r>
                </w:p>
              </w:tc>
              <w:tc>
                <w:tcPr>
                  <w:tcW w:w="682" w:type="pct"/>
                  <w:vAlign w:val="center"/>
                </w:tcPr>
                <w:p w14:paraId="35D17CD9">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lang w:bidi="ar"/>
                      <w14:textFill>
                        <w14:solidFill>
                          <w14:schemeClr w14:val="tx1"/>
                        </w14:solidFill>
                      </w14:textFill>
                    </w:rPr>
                    <w:t>超标</w:t>
                  </w:r>
                </w:p>
              </w:tc>
            </w:tr>
            <w:tr w14:paraId="629CC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43F4C8D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402" w:type="pct"/>
                  <w:vMerge w:val="continue"/>
                  <w:vAlign w:val="center"/>
                </w:tcPr>
                <w:p w14:paraId="3C246DB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596" w:type="pct"/>
                  <w:vMerge w:val="continue"/>
                  <w:vAlign w:val="center"/>
                </w:tcPr>
                <w:p w14:paraId="5527FBB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6F682F15">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568E610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10.3</w:t>
                  </w:r>
                </w:p>
              </w:tc>
              <w:tc>
                <w:tcPr>
                  <w:tcW w:w="682" w:type="pct"/>
                  <w:vAlign w:val="center"/>
                </w:tcPr>
                <w:p w14:paraId="6B23AB11">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1.72 </w:t>
                  </w:r>
                </w:p>
              </w:tc>
              <w:tc>
                <w:tcPr>
                  <w:tcW w:w="682" w:type="pct"/>
                  <w:vAlign w:val="center"/>
                </w:tcPr>
                <w:p w14:paraId="6B00F18B">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0.72 </w:t>
                  </w:r>
                </w:p>
              </w:tc>
              <w:tc>
                <w:tcPr>
                  <w:tcW w:w="682" w:type="pct"/>
                  <w:vAlign w:val="center"/>
                </w:tcPr>
                <w:p w14:paraId="64F019B5">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lang w:bidi="ar"/>
                      <w14:textFill>
                        <w14:solidFill>
                          <w14:schemeClr w14:val="tx1"/>
                        </w14:solidFill>
                      </w14:textFill>
                    </w:rPr>
                    <w:t>超标</w:t>
                  </w:r>
                </w:p>
              </w:tc>
            </w:tr>
            <w:tr w14:paraId="23DF1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4AF4AF9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氨氮</w:t>
                  </w:r>
                </w:p>
              </w:tc>
              <w:tc>
                <w:tcPr>
                  <w:tcW w:w="402" w:type="pct"/>
                  <w:vMerge w:val="restart"/>
                  <w:vAlign w:val="center"/>
                </w:tcPr>
                <w:p w14:paraId="6C1374F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46DBFE5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≤1.5</w:t>
                  </w:r>
                </w:p>
              </w:tc>
              <w:tc>
                <w:tcPr>
                  <w:tcW w:w="711" w:type="pct"/>
                  <w:vAlign w:val="center"/>
                </w:tcPr>
                <w:p w14:paraId="52D530F0">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1015A7F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0.126</w:t>
                  </w:r>
                </w:p>
              </w:tc>
              <w:tc>
                <w:tcPr>
                  <w:tcW w:w="682" w:type="pct"/>
                  <w:vAlign w:val="center"/>
                </w:tcPr>
                <w:p w14:paraId="3576BAB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0.08 </w:t>
                  </w:r>
                </w:p>
              </w:tc>
              <w:tc>
                <w:tcPr>
                  <w:tcW w:w="682" w:type="pct"/>
                  <w:vAlign w:val="center"/>
                </w:tcPr>
                <w:p w14:paraId="6DF319EA">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4FDC458A">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2C94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2B075C1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402" w:type="pct"/>
                  <w:vMerge w:val="continue"/>
                  <w:vAlign w:val="center"/>
                </w:tcPr>
                <w:p w14:paraId="1B657A5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596" w:type="pct"/>
                  <w:vMerge w:val="continue"/>
                  <w:vAlign w:val="center"/>
                </w:tcPr>
                <w:p w14:paraId="602B3C5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24B185B8">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29B64FD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0.137</w:t>
                  </w:r>
                </w:p>
              </w:tc>
              <w:tc>
                <w:tcPr>
                  <w:tcW w:w="682" w:type="pct"/>
                  <w:vAlign w:val="center"/>
                </w:tcPr>
                <w:p w14:paraId="588E6B5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0.09 </w:t>
                  </w:r>
                </w:p>
              </w:tc>
              <w:tc>
                <w:tcPr>
                  <w:tcW w:w="682" w:type="pct"/>
                  <w:vAlign w:val="center"/>
                </w:tcPr>
                <w:p w14:paraId="500F6AD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08A16292">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308D6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314911A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402" w:type="pct"/>
                  <w:vMerge w:val="continue"/>
                  <w:vAlign w:val="center"/>
                </w:tcPr>
                <w:p w14:paraId="396722C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596" w:type="pct"/>
                  <w:vMerge w:val="continue"/>
                  <w:vAlign w:val="center"/>
                </w:tcPr>
                <w:p w14:paraId="1147480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5AC3AA07">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03B8C12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0.113</w:t>
                  </w:r>
                </w:p>
              </w:tc>
              <w:tc>
                <w:tcPr>
                  <w:tcW w:w="682" w:type="pct"/>
                  <w:vAlign w:val="center"/>
                </w:tcPr>
                <w:p w14:paraId="406ED00B">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0.08 </w:t>
                  </w:r>
                </w:p>
              </w:tc>
              <w:tc>
                <w:tcPr>
                  <w:tcW w:w="682" w:type="pct"/>
                  <w:vAlign w:val="center"/>
                </w:tcPr>
                <w:p w14:paraId="6DB1DDA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1331928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12BB9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1B9511A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总磷</w:t>
                  </w:r>
                </w:p>
              </w:tc>
              <w:tc>
                <w:tcPr>
                  <w:tcW w:w="402" w:type="pct"/>
                  <w:vMerge w:val="restart"/>
                  <w:vAlign w:val="center"/>
                </w:tcPr>
                <w:p w14:paraId="24ADA81C">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3EFD2EF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≤0.3</w:t>
                  </w:r>
                </w:p>
              </w:tc>
              <w:tc>
                <w:tcPr>
                  <w:tcW w:w="711" w:type="pct"/>
                  <w:vAlign w:val="center"/>
                </w:tcPr>
                <w:p w14:paraId="3589B9E3">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3A2CC4E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0.38</w:t>
                  </w:r>
                </w:p>
              </w:tc>
              <w:tc>
                <w:tcPr>
                  <w:tcW w:w="682" w:type="pct"/>
                  <w:vAlign w:val="center"/>
                </w:tcPr>
                <w:p w14:paraId="343A966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1.27 </w:t>
                  </w:r>
                </w:p>
              </w:tc>
              <w:tc>
                <w:tcPr>
                  <w:tcW w:w="682" w:type="pct"/>
                  <w:vAlign w:val="center"/>
                </w:tcPr>
                <w:p w14:paraId="5B221F2E">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0.27 </w:t>
                  </w:r>
                </w:p>
              </w:tc>
              <w:tc>
                <w:tcPr>
                  <w:tcW w:w="682" w:type="pct"/>
                  <w:vAlign w:val="center"/>
                </w:tcPr>
                <w:p w14:paraId="1A40A405">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lang w:bidi="ar"/>
                      <w14:textFill>
                        <w14:solidFill>
                          <w14:schemeClr w14:val="tx1"/>
                        </w14:solidFill>
                      </w14:textFill>
                    </w:rPr>
                    <w:t>超标</w:t>
                  </w:r>
                </w:p>
              </w:tc>
            </w:tr>
            <w:tr w14:paraId="1E1AF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08B35BD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402" w:type="pct"/>
                  <w:vMerge w:val="continue"/>
                  <w:vAlign w:val="center"/>
                </w:tcPr>
                <w:p w14:paraId="1F7B4E3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596" w:type="pct"/>
                  <w:vMerge w:val="continue"/>
                  <w:vAlign w:val="center"/>
                </w:tcPr>
                <w:p w14:paraId="7B54AE3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10B52CD2">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3267DEA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0.35</w:t>
                  </w:r>
                </w:p>
              </w:tc>
              <w:tc>
                <w:tcPr>
                  <w:tcW w:w="682" w:type="pct"/>
                  <w:vAlign w:val="center"/>
                </w:tcPr>
                <w:p w14:paraId="1D175BBE">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1.17 </w:t>
                  </w:r>
                </w:p>
              </w:tc>
              <w:tc>
                <w:tcPr>
                  <w:tcW w:w="682" w:type="pct"/>
                  <w:vAlign w:val="center"/>
                </w:tcPr>
                <w:p w14:paraId="35221DD0">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0.17 </w:t>
                  </w:r>
                </w:p>
              </w:tc>
              <w:tc>
                <w:tcPr>
                  <w:tcW w:w="682" w:type="pct"/>
                  <w:vAlign w:val="center"/>
                </w:tcPr>
                <w:p w14:paraId="43069759">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lang w:bidi="ar"/>
                      <w14:textFill>
                        <w14:solidFill>
                          <w14:schemeClr w14:val="tx1"/>
                        </w14:solidFill>
                      </w14:textFill>
                    </w:rPr>
                    <w:t>超标</w:t>
                  </w:r>
                </w:p>
              </w:tc>
            </w:tr>
            <w:tr w14:paraId="6D322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5975943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402" w:type="pct"/>
                  <w:vMerge w:val="continue"/>
                  <w:vAlign w:val="center"/>
                </w:tcPr>
                <w:p w14:paraId="05C69E9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596" w:type="pct"/>
                  <w:vMerge w:val="continue"/>
                  <w:vAlign w:val="center"/>
                </w:tcPr>
                <w:p w14:paraId="52CB793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6324BE05">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549C872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0.36</w:t>
                  </w:r>
                </w:p>
              </w:tc>
              <w:tc>
                <w:tcPr>
                  <w:tcW w:w="682" w:type="pct"/>
                  <w:vAlign w:val="center"/>
                </w:tcPr>
                <w:p w14:paraId="019E02E9">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1.20 </w:t>
                  </w:r>
                </w:p>
              </w:tc>
              <w:tc>
                <w:tcPr>
                  <w:tcW w:w="682" w:type="pct"/>
                  <w:vAlign w:val="center"/>
                </w:tcPr>
                <w:p w14:paraId="2FEEBE2E">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0.20 </w:t>
                  </w:r>
                </w:p>
              </w:tc>
              <w:tc>
                <w:tcPr>
                  <w:tcW w:w="682" w:type="pct"/>
                  <w:vAlign w:val="center"/>
                </w:tcPr>
                <w:p w14:paraId="49FBB21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kern w:val="0"/>
                      <w:szCs w:val="21"/>
                      <w:lang w:bidi="ar"/>
                      <w14:textFill>
                        <w14:solidFill>
                          <w14:schemeClr w14:val="tx1"/>
                        </w14:solidFill>
                      </w14:textFill>
                    </w:rPr>
                    <w:t>超标</w:t>
                  </w:r>
                </w:p>
              </w:tc>
            </w:tr>
            <w:tr w14:paraId="6E0A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66791F7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总氮</w:t>
                  </w:r>
                </w:p>
              </w:tc>
              <w:tc>
                <w:tcPr>
                  <w:tcW w:w="402" w:type="pct"/>
                  <w:vMerge w:val="restart"/>
                  <w:vAlign w:val="center"/>
                </w:tcPr>
                <w:p w14:paraId="2E0478E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212E43E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711" w:type="pct"/>
                  <w:vAlign w:val="center"/>
                </w:tcPr>
                <w:p w14:paraId="180A19ED">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7DC2EB0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0.881</w:t>
                  </w:r>
                </w:p>
              </w:tc>
              <w:tc>
                <w:tcPr>
                  <w:tcW w:w="682" w:type="pct"/>
                  <w:vAlign w:val="center"/>
                </w:tcPr>
                <w:p w14:paraId="4EA5924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0.59 </w:t>
                  </w:r>
                </w:p>
              </w:tc>
              <w:tc>
                <w:tcPr>
                  <w:tcW w:w="682" w:type="pct"/>
                  <w:vAlign w:val="center"/>
                </w:tcPr>
                <w:p w14:paraId="75258876">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4B537E7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59D60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42D3F82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402" w:type="pct"/>
                  <w:vMerge w:val="continue"/>
                  <w:vAlign w:val="center"/>
                </w:tcPr>
                <w:p w14:paraId="4902CBF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596" w:type="pct"/>
                  <w:vMerge w:val="continue"/>
                  <w:vAlign w:val="center"/>
                </w:tcPr>
                <w:p w14:paraId="45D307B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63506C8A">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06CBC11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0.891</w:t>
                  </w:r>
                </w:p>
              </w:tc>
              <w:tc>
                <w:tcPr>
                  <w:tcW w:w="682" w:type="pct"/>
                  <w:vAlign w:val="center"/>
                </w:tcPr>
                <w:p w14:paraId="5DB1B052">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0.59 </w:t>
                  </w:r>
                </w:p>
              </w:tc>
              <w:tc>
                <w:tcPr>
                  <w:tcW w:w="682" w:type="pct"/>
                  <w:vAlign w:val="center"/>
                </w:tcPr>
                <w:p w14:paraId="0B930D8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0583570A">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3CA93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58DB8F1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402" w:type="pct"/>
                  <w:vMerge w:val="continue"/>
                  <w:vAlign w:val="center"/>
                </w:tcPr>
                <w:p w14:paraId="0ED5DBD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14:textFill>
                        <w14:solidFill>
                          <w14:schemeClr w14:val="tx1"/>
                        </w14:solidFill>
                      </w14:textFill>
                    </w:rPr>
                  </w:pPr>
                </w:p>
              </w:tc>
              <w:tc>
                <w:tcPr>
                  <w:tcW w:w="596" w:type="pct"/>
                  <w:vMerge w:val="continue"/>
                  <w:vAlign w:val="center"/>
                </w:tcPr>
                <w:p w14:paraId="2E42D30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3AF65940">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37E178B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0.853</w:t>
                  </w:r>
                </w:p>
              </w:tc>
              <w:tc>
                <w:tcPr>
                  <w:tcW w:w="682" w:type="pct"/>
                  <w:vAlign w:val="center"/>
                </w:tcPr>
                <w:p w14:paraId="13631B01">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 xml:space="preserve">0.57 </w:t>
                  </w:r>
                </w:p>
              </w:tc>
              <w:tc>
                <w:tcPr>
                  <w:tcW w:w="682" w:type="pct"/>
                  <w:vAlign w:val="center"/>
                </w:tcPr>
                <w:p w14:paraId="197BBE8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3DB0945F">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0C214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52DBEBE6">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铜</w:t>
                  </w:r>
                </w:p>
              </w:tc>
              <w:tc>
                <w:tcPr>
                  <w:tcW w:w="402" w:type="pct"/>
                  <w:vMerge w:val="restart"/>
                  <w:vAlign w:val="center"/>
                </w:tcPr>
                <w:p w14:paraId="4FB2403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6DCFC1B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711" w:type="pct"/>
                  <w:vAlign w:val="center"/>
                </w:tcPr>
                <w:p w14:paraId="71C774F0">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5814F26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0.05L</w:t>
                  </w:r>
                </w:p>
              </w:tc>
              <w:tc>
                <w:tcPr>
                  <w:tcW w:w="682" w:type="pct"/>
                  <w:vAlign w:val="center"/>
                </w:tcPr>
                <w:p w14:paraId="2021C9A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65945B2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31D9B819">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492DB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79802DA7">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666A24C6">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441E8AD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10B2994F">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117080B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0.05L</w:t>
                  </w:r>
                </w:p>
              </w:tc>
              <w:tc>
                <w:tcPr>
                  <w:tcW w:w="682" w:type="pct"/>
                  <w:vAlign w:val="center"/>
                </w:tcPr>
                <w:p w14:paraId="29FF1D9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33E7AE0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6577F3DF">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15878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19A1CAF7">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201494E9">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6F48F55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5ED94818">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2BB8569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0.05L</w:t>
                  </w:r>
                </w:p>
              </w:tc>
              <w:tc>
                <w:tcPr>
                  <w:tcW w:w="682" w:type="pct"/>
                  <w:vAlign w:val="center"/>
                </w:tcPr>
                <w:p w14:paraId="06F8DB31">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45A11765">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0A5072C7">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58306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376812E0">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锌</w:t>
                  </w:r>
                </w:p>
              </w:tc>
              <w:tc>
                <w:tcPr>
                  <w:tcW w:w="402" w:type="pct"/>
                  <w:vMerge w:val="restart"/>
                  <w:vAlign w:val="center"/>
                </w:tcPr>
                <w:p w14:paraId="3132753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68DF815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w:t>
                  </w:r>
                </w:p>
              </w:tc>
              <w:tc>
                <w:tcPr>
                  <w:tcW w:w="711" w:type="pct"/>
                  <w:vAlign w:val="center"/>
                </w:tcPr>
                <w:p w14:paraId="3B2FA624">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48666EF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0.05L</w:t>
                  </w:r>
                </w:p>
              </w:tc>
              <w:tc>
                <w:tcPr>
                  <w:tcW w:w="682" w:type="pct"/>
                  <w:vAlign w:val="center"/>
                </w:tcPr>
                <w:p w14:paraId="685059EB">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1699206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7CF62439">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1C067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794A1912">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509DB247">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11E7FAA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34890041">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2BEA2D3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0.05L</w:t>
                  </w:r>
                </w:p>
              </w:tc>
              <w:tc>
                <w:tcPr>
                  <w:tcW w:w="682" w:type="pct"/>
                  <w:vAlign w:val="center"/>
                </w:tcPr>
                <w:p w14:paraId="224013C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61C2B7D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1A1A982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74175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60CC5FB0">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47D5B8B8">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2891C53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3FC29FCA">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48272FA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0.05L</w:t>
                  </w:r>
                </w:p>
              </w:tc>
              <w:tc>
                <w:tcPr>
                  <w:tcW w:w="682" w:type="pct"/>
                  <w:vAlign w:val="center"/>
                </w:tcPr>
                <w:p w14:paraId="46D07760">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6A14777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5FBA74F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4E66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666D0245">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氟化物</w:t>
                  </w:r>
                </w:p>
              </w:tc>
              <w:tc>
                <w:tcPr>
                  <w:tcW w:w="402" w:type="pct"/>
                  <w:vMerge w:val="restart"/>
                  <w:vAlign w:val="center"/>
                </w:tcPr>
                <w:p w14:paraId="5ED6CBF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19E9E97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711" w:type="pct"/>
                  <w:vAlign w:val="center"/>
                </w:tcPr>
                <w:p w14:paraId="0F500BBF">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630A841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0.09</w:t>
                  </w:r>
                </w:p>
              </w:tc>
              <w:tc>
                <w:tcPr>
                  <w:tcW w:w="682" w:type="pct"/>
                  <w:vAlign w:val="center"/>
                </w:tcPr>
                <w:p w14:paraId="261E498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0.05</w:t>
                  </w:r>
                </w:p>
              </w:tc>
              <w:tc>
                <w:tcPr>
                  <w:tcW w:w="682" w:type="pct"/>
                  <w:vAlign w:val="center"/>
                </w:tcPr>
                <w:p w14:paraId="6948651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2DEC44C5">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707E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2F6A6E9D">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730E8AB0">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7FE9E07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2DE803BD">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1E06DAD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0.08</w:t>
                  </w:r>
                </w:p>
              </w:tc>
              <w:tc>
                <w:tcPr>
                  <w:tcW w:w="682" w:type="pct"/>
                  <w:vAlign w:val="center"/>
                </w:tcPr>
                <w:p w14:paraId="5ED803D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0.05</w:t>
                  </w:r>
                </w:p>
              </w:tc>
              <w:tc>
                <w:tcPr>
                  <w:tcW w:w="682" w:type="pct"/>
                  <w:vAlign w:val="center"/>
                </w:tcPr>
                <w:p w14:paraId="05C95F69">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229B34CA">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616D5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31431600">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4156617E">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71C5407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0A2D774E">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4730A91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0.11</w:t>
                  </w:r>
                </w:p>
              </w:tc>
              <w:tc>
                <w:tcPr>
                  <w:tcW w:w="682" w:type="pct"/>
                  <w:vAlign w:val="center"/>
                </w:tcPr>
                <w:p w14:paraId="0F74A78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0.07</w:t>
                  </w:r>
                </w:p>
              </w:tc>
              <w:tc>
                <w:tcPr>
                  <w:tcW w:w="682" w:type="pct"/>
                  <w:vAlign w:val="center"/>
                </w:tcPr>
                <w:p w14:paraId="49CC8662">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18B2AE5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57EC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49969D29">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硒</w:t>
                  </w:r>
                </w:p>
              </w:tc>
              <w:tc>
                <w:tcPr>
                  <w:tcW w:w="402" w:type="pct"/>
                  <w:vMerge w:val="restart"/>
                  <w:vAlign w:val="center"/>
                </w:tcPr>
                <w:p w14:paraId="37805E05">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μg/L</w:t>
                  </w:r>
                </w:p>
              </w:tc>
              <w:tc>
                <w:tcPr>
                  <w:tcW w:w="596" w:type="pct"/>
                  <w:vMerge w:val="restart"/>
                  <w:vAlign w:val="center"/>
                </w:tcPr>
                <w:p w14:paraId="79A4626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≤0.02</w:t>
                  </w:r>
                </w:p>
              </w:tc>
              <w:tc>
                <w:tcPr>
                  <w:tcW w:w="711" w:type="pct"/>
                  <w:vAlign w:val="center"/>
                </w:tcPr>
                <w:p w14:paraId="3087D711">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63819F0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0.4L</w:t>
                  </w:r>
                </w:p>
              </w:tc>
              <w:tc>
                <w:tcPr>
                  <w:tcW w:w="682" w:type="pct"/>
                  <w:vAlign w:val="center"/>
                </w:tcPr>
                <w:p w14:paraId="271AAD09">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469BD116">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04BA629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48D3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2FFC468F">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5FECB019">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7BE0C18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64D28262">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21011FB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0.4L</w:t>
                  </w:r>
                </w:p>
              </w:tc>
              <w:tc>
                <w:tcPr>
                  <w:tcW w:w="682" w:type="pct"/>
                  <w:vAlign w:val="center"/>
                </w:tcPr>
                <w:p w14:paraId="4995D16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4C1CD9A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6B2710BE">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4E805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2F85351E">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539FF482">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36474DF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3E112D27">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73C658B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0.4L</w:t>
                  </w:r>
                </w:p>
              </w:tc>
              <w:tc>
                <w:tcPr>
                  <w:tcW w:w="682" w:type="pct"/>
                  <w:vAlign w:val="center"/>
                </w:tcPr>
                <w:p w14:paraId="6ED19C31">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52B3399B">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1A30107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168E4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22789690">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砷</w:t>
                  </w:r>
                </w:p>
              </w:tc>
              <w:tc>
                <w:tcPr>
                  <w:tcW w:w="402" w:type="pct"/>
                  <w:vMerge w:val="restart"/>
                  <w:vAlign w:val="center"/>
                </w:tcPr>
                <w:p w14:paraId="631650D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μg/L</w:t>
                  </w:r>
                </w:p>
              </w:tc>
              <w:tc>
                <w:tcPr>
                  <w:tcW w:w="596" w:type="pct"/>
                  <w:vMerge w:val="restart"/>
                  <w:vAlign w:val="center"/>
                </w:tcPr>
                <w:p w14:paraId="42520FA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w:t>
                  </w:r>
                </w:p>
              </w:tc>
              <w:tc>
                <w:tcPr>
                  <w:tcW w:w="711" w:type="pct"/>
                  <w:vAlign w:val="center"/>
                </w:tcPr>
                <w:p w14:paraId="428EADDC">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6ACD0F8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0.3L</w:t>
                  </w:r>
                </w:p>
              </w:tc>
              <w:tc>
                <w:tcPr>
                  <w:tcW w:w="682" w:type="pct"/>
                  <w:vAlign w:val="center"/>
                </w:tcPr>
                <w:p w14:paraId="162A8F7F">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543DDEC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2B08BEF6">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6D4E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77BCE0EE">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77B26597">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0FE684A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27C57981">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549A98E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0.3L</w:t>
                  </w:r>
                </w:p>
              </w:tc>
              <w:tc>
                <w:tcPr>
                  <w:tcW w:w="682" w:type="pct"/>
                  <w:vAlign w:val="center"/>
                </w:tcPr>
                <w:p w14:paraId="0558541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1C7CE282">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134C5C80">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189BB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00FB20FF">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6E0609F7">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744AC14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2FAA4CDD">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38DF338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0.3L</w:t>
                  </w:r>
                </w:p>
              </w:tc>
              <w:tc>
                <w:tcPr>
                  <w:tcW w:w="682" w:type="pct"/>
                  <w:vAlign w:val="center"/>
                </w:tcPr>
                <w:p w14:paraId="1B461490">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358FCB7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17AB34E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55FED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4AB768ED">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汞</w:t>
                  </w:r>
                </w:p>
              </w:tc>
              <w:tc>
                <w:tcPr>
                  <w:tcW w:w="402" w:type="pct"/>
                  <w:vMerge w:val="restart"/>
                  <w:vAlign w:val="center"/>
                </w:tcPr>
                <w:p w14:paraId="0DC9E5F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μg/L</w:t>
                  </w:r>
                </w:p>
              </w:tc>
              <w:tc>
                <w:tcPr>
                  <w:tcW w:w="596" w:type="pct"/>
                  <w:vMerge w:val="restart"/>
                  <w:vAlign w:val="center"/>
                </w:tcPr>
                <w:p w14:paraId="53A2F41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≤0.001</w:t>
                  </w:r>
                </w:p>
              </w:tc>
              <w:tc>
                <w:tcPr>
                  <w:tcW w:w="711" w:type="pct"/>
                  <w:vAlign w:val="center"/>
                </w:tcPr>
                <w:p w14:paraId="73BBF26D">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53DFBB4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0.04L</w:t>
                  </w:r>
                </w:p>
              </w:tc>
              <w:tc>
                <w:tcPr>
                  <w:tcW w:w="682" w:type="pct"/>
                  <w:vAlign w:val="center"/>
                </w:tcPr>
                <w:p w14:paraId="777E231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22554F22">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1F544B8E">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3912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2B517E5D">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686AF3F9">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30E549C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3F4BC4F7">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585B3C7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0.04L</w:t>
                  </w:r>
                </w:p>
              </w:tc>
              <w:tc>
                <w:tcPr>
                  <w:tcW w:w="682" w:type="pct"/>
                  <w:vAlign w:val="center"/>
                </w:tcPr>
                <w:p w14:paraId="434821F7">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49EF7799">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03E013B0">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6390B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4055B762">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1EEF75B3">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5CB486E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45FB8FB9">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1566CA1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0.04L</w:t>
                  </w:r>
                </w:p>
              </w:tc>
              <w:tc>
                <w:tcPr>
                  <w:tcW w:w="682" w:type="pct"/>
                  <w:vAlign w:val="center"/>
                </w:tcPr>
                <w:p w14:paraId="7C20FE7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7FE26A8F">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0EABBE4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06FD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36DF473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铅</w:t>
                  </w:r>
                </w:p>
              </w:tc>
              <w:tc>
                <w:tcPr>
                  <w:tcW w:w="402" w:type="pct"/>
                  <w:vMerge w:val="restart"/>
                  <w:vAlign w:val="center"/>
                </w:tcPr>
                <w:p w14:paraId="3DD99D1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μg/L</w:t>
                  </w:r>
                </w:p>
              </w:tc>
              <w:tc>
                <w:tcPr>
                  <w:tcW w:w="596" w:type="pct"/>
                  <w:vMerge w:val="restart"/>
                  <w:vAlign w:val="center"/>
                </w:tcPr>
                <w:p w14:paraId="68D5729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≤0.05</w:t>
                  </w:r>
                </w:p>
              </w:tc>
              <w:tc>
                <w:tcPr>
                  <w:tcW w:w="711" w:type="pct"/>
                  <w:vAlign w:val="center"/>
                </w:tcPr>
                <w:p w14:paraId="31D2DBD1">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12722CE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0.1L</w:t>
                  </w:r>
                </w:p>
              </w:tc>
              <w:tc>
                <w:tcPr>
                  <w:tcW w:w="682" w:type="pct"/>
                  <w:vAlign w:val="center"/>
                </w:tcPr>
                <w:p w14:paraId="1E959C0A">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404629FE">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03FCA655">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6D10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3648294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p>
              </w:tc>
              <w:tc>
                <w:tcPr>
                  <w:tcW w:w="402" w:type="pct"/>
                  <w:vMerge w:val="continue"/>
                  <w:vAlign w:val="center"/>
                </w:tcPr>
                <w:p w14:paraId="4802A7E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p>
              </w:tc>
              <w:tc>
                <w:tcPr>
                  <w:tcW w:w="596" w:type="pct"/>
                  <w:vMerge w:val="continue"/>
                  <w:vAlign w:val="center"/>
                </w:tcPr>
                <w:p w14:paraId="19D7705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63596B0B">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39D0035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0.1L</w:t>
                  </w:r>
                </w:p>
              </w:tc>
              <w:tc>
                <w:tcPr>
                  <w:tcW w:w="682" w:type="pct"/>
                  <w:vAlign w:val="center"/>
                </w:tcPr>
                <w:p w14:paraId="7E6CF8BE">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3036B4E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14323025">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24B55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3009D34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p>
              </w:tc>
              <w:tc>
                <w:tcPr>
                  <w:tcW w:w="402" w:type="pct"/>
                  <w:vMerge w:val="continue"/>
                  <w:vAlign w:val="center"/>
                </w:tcPr>
                <w:p w14:paraId="0C0974E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0"/>
                      <w:szCs w:val="21"/>
                      <w:lang w:bidi="ar"/>
                      <w14:textFill>
                        <w14:solidFill>
                          <w14:schemeClr w14:val="tx1"/>
                        </w14:solidFill>
                      </w14:textFill>
                    </w:rPr>
                  </w:pPr>
                </w:p>
              </w:tc>
              <w:tc>
                <w:tcPr>
                  <w:tcW w:w="596" w:type="pct"/>
                  <w:vMerge w:val="continue"/>
                  <w:vAlign w:val="center"/>
                </w:tcPr>
                <w:p w14:paraId="00D461C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45114300">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0EE75A3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0.1L</w:t>
                  </w:r>
                </w:p>
              </w:tc>
              <w:tc>
                <w:tcPr>
                  <w:tcW w:w="682" w:type="pct"/>
                  <w:vAlign w:val="center"/>
                </w:tcPr>
                <w:p w14:paraId="69550A6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7D9F679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2C284227">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14D7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26A1965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镉</w:t>
                  </w:r>
                </w:p>
              </w:tc>
              <w:tc>
                <w:tcPr>
                  <w:tcW w:w="402" w:type="pct"/>
                  <w:vMerge w:val="restart"/>
                  <w:vAlign w:val="center"/>
                </w:tcPr>
                <w:p w14:paraId="282ED1B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μg/L</w:t>
                  </w:r>
                </w:p>
              </w:tc>
              <w:tc>
                <w:tcPr>
                  <w:tcW w:w="596" w:type="pct"/>
                  <w:vMerge w:val="restart"/>
                  <w:vAlign w:val="center"/>
                </w:tcPr>
                <w:p w14:paraId="2CDD1A1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≤0.005</w:t>
                  </w:r>
                </w:p>
              </w:tc>
              <w:tc>
                <w:tcPr>
                  <w:tcW w:w="711" w:type="pct"/>
                  <w:vAlign w:val="center"/>
                </w:tcPr>
                <w:p w14:paraId="4085F09A">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046A233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1.0L</w:t>
                  </w:r>
                </w:p>
              </w:tc>
              <w:tc>
                <w:tcPr>
                  <w:tcW w:w="682" w:type="pct"/>
                  <w:vAlign w:val="center"/>
                </w:tcPr>
                <w:p w14:paraId="3B7087A9">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2C8A213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255DEA01">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6C632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5F25D22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30F9E90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4851A5A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7627B576">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6B7303A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1.0L</w:t>
                  </w:r>
                </w:p>
              </w:tc>
              <w:tc>
                <w:tcPr>
                  <w:tcW w:w="682" w:type="pct"/>
                  <w:vAlign w:val="center"/>
                </w:tcPr>
                <w:p w14:paraId="7E8D12B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382E0B10">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2E972527">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6D88B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6910FC8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50078D0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2AE5120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02AF56C6">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5BA454B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1.0L</w:t>
                  </w:r>
                </w:p>
              </w:tc>
              <w:tc>
                <w:tcPr>
                  <w:tcW w:w="682" w:type="pct"/>
                  <w:vAlign w:val="center"/>
                </w:tcPr>
                <w:p w14:paraId="0E7D975B">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4F6EA106">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3F1CEEA9">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1F41E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7AA82C7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六价铬</w:t>
                  </w:r>
                </w:p>
              </w:tc>
              <w:tc>
                <w:tcPr>
                  <w:tcW w:w="402" w:type="pct"/>
                  <w:vMerge w:val="restart"/>
                  <w:vAlign w:val="center"/>
                </w:tcPr>
                <w:p w14:paraId="256A763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1A73E85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≤0.05</w:t>
                  </w:r>
                </w:p>
              </w:tc>
              <w:tc>
                <w:tcPr>
                  <w:tcW w:w="711" w:type="pct"/>
                  <w:vAlign w:val="center"/>
                </w:tcPr>
                <w:p w14:paraId="0FD1FB01">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47F40F5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0.004L</w:t>
                  </w:r>
                </w:p>
              </w:tc>
              <w:tc>
                <w:tcPr>
                  <w:tcW w:w="682" w:type="pct"/>
                  <w:vAlign w:val="center"/>
                </w:tcPr>
                <w:p w14:paraId="4305F570">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13249A5F">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2E8E45D7">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45140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13669B8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71862C5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709ED2A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35679DA7">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3E30114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0.004L</w:t>
                  </w:r>
                </w:p>
              </w:tc>
              <w:tc>
                <w:tcPr>
                  <w:tcW w:w="682" w:type="pct"/>
                  <w:vAlign w:val="center"/>
                </w:tcPr>
                <w:p w14:paraId="1B05532E">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5C52329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1F5EA3A2">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2B826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2A5B15F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2B91F7D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5E8D79B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01283BC3">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7C6CEF4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0.004L</w:t>
                  </w:r>
                </w:p>
              </w:tc>
              <w:tc>
                <w:tcPr>
                  <w:tcW w:w="682" w:type="pct"/>
                  <w:vAlign w:val="center"/>
                </w:tcPr>
                <w:p w14:paraId="7FF9646A">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15854466">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1119332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6B631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763A2D9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氰化物</w:t>
                  </w:r>
                </w:p>
              </w:tc>
              <w:tc>
                <w:tcPr>
                  <w:tcW w:w="402" w:type="pct"/>
                  <w:vMerge w:val="restart"/>
                  <w:vAlign w:val="center"/>
                </w:tcPr>
                <w:p w14:paraId="7E74309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56E0DB2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≤0.2</w:t>
                  </w:r>
                </w:p>
              </w:tc>
              <w:tc>
                <w:tcPr>
                  <w:tcW w:w="711" w:type="pct"/>
                  <w:vAlign w:val="center"/>
                </w:tcPr>
                <w:p w14:paraId="73AA9A15">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0AC5309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0.004L</w:t>
                  </w:r>
                </w:p>
              </w:tc>
              <w:tc>
                <w:tcPr>
                  <w:tcW w:w="682" w:type="pct"/>
                  <w:vAlign w:val="center"/>
                </w:tcPr>
                <w:p w14:paraId="2C23F61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3A73C942">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46C02F9E">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1842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7989007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7E2BF5C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26F40D4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057EA862">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217BBB8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0.004L</w:t>
                  </w:r>
                </w:p>
              </w:tc>
              <w:tc>
                <w:tcPr>
                  <w:tcW w:w="682" w:type="pct"/>
                  <w:vAlign w:val="center"/>
                </w:tcPr>
                <w:p w14:paraId="5DFEF8C5">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0A48F10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534F9C57">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348AE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590F122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3242DE8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0ADECE1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11CD029C">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2B5C6DB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0.004L</w:t>
                  </w:r>
                </w:p>
              </w:tc>
              <w:tc>
                <w:tcPr>
                  <w:tcW w:w="682" w:type="pct"/>
                  <w:vAlign w:val="center"/>
                </w:tcPr>
                <w:p w14:paraId="3724575F">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1EFDF091">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3339AB2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7A63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4302885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挥发酚</w:t>
                  </w:r>
                </w:p>
              </w:tc>
              <w:tc>
                <w:tcPr>
                  <w:tcW w:w="402" w:type="pct"/>
                  <w:vMerge w:val="restart"/>
                  <w:vAlign w:val="center"/>
                </w:tcPr>
                <w:p w14:paraId="134D805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7643819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≤0.01</w:t>
                  </w:r>
                </w:p>
              </w:tc>
              <w:tc>
                <w:tcPr>
                  <w:tcW w:w="711" w:type="pct"/>
                  <w:vAlign w:val="center"/>
                </w:tcPr>
                <w:p w14:paraId="3557AB5D">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7E67F8B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0.0003L</w:t>
                  </w:r>
                </w:p>
              </w:tc>
              <w:tc>
                <w:tcPr>
                  <w:tcW w:w="682" w:type="pct"/>
                  <w:vAlign w:val="center"/>
                </w:tcPr>
                <w:p w14:paraId="6AFAB39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266E99B7">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4F21D91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593D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4971AE9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12729F7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520C030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60A86CCE">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0568AA0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0.0003L</w:t>
                  </w:r>
                </w:p>
              </w:tc>
              <w:tc>
                <w:tcPr>
                  <w:tcW w:w="682" w:type="pct"/>
                  <w:vAlign w:val="center"/>
                </w:tcPr>
                <w:p w14:paraId="2D9EEAA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47C3176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360FD75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7D70F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38118F1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3102DF2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3218894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1A47DDD3">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767FFBE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0.0003L</w:t>
                  </w:r>
                </w:p>
              </w:tc>
              <w:tc>
                <w:tcPr>
                  <w:tcW w:w="682" w:type="pct"/>
                  <w:vAlign w:val="center"/>
                </w:tcPr>
                <w:p w14:paraId="7FBB794F">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261605B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01AB351E">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27DEA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7990B413">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石油类</w:t>
                  </w:r>
                </w:p>
              </w:tc>
              <w:tc>
                <w:tcPr>
                  <w:tcW w:w="402" w:type="pct"/>
                  <w:vMerge w:val="restart"/>
                  <w:vAlign w:val="center"/>
                </w:tcPr>
                <w:p w14:paraId="21B7197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731FC6A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w:t>
                  </w:r>
                </w:p>
              </w:tc>
              <w:tc>
                <w:tcPr>
                  <w:tcW w:w="711" w:type="pct"/>
                  <w:vAlign w:val="center"/>
                </w:tcPr>
                <w:p w14:paraId="0B902B93">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0C03BF7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0.01L</w:t>
                  </w:r>
                </w:p>
              </w:tc>
              <w:tc>
                <w:tcPr>
                  <w:tcW w:w="682" w:type="pct"/>
                  <w:vAlign w:val="center"/>
                </w:tcPr>
                <w:p w14:paraId="3AC19C4F">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4EB9E121">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3115C40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1551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1B994423">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6AA56862">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7F59939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16A75CB1">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405F0A3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0.01L</w:t>
                  </w:r>
                </w:p>
              </w:tc>
              <w:tc>
                <w:tcPr>
                  <w:tcW w:w="682" w:type="pct"/>
                  <w:vAlign w:val="center"/>
                </w:tcPr>
                <w:p w14:paraId="4BF9F9C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42598876">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7C6A1005">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3EFE3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7B6EDB59">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506759B9">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44CA116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281C7720">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6AFC152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0.01L</w:t>
                  </w:r>
                </w:p>
              </w:tc>
              <w:tc>
                <w:tcPr>
                  <w:tcW w:w="682" w:type="pct"/>
                  <w:vAlign w:val="center"/>
                </w:tcPr>
                <w:p w14:paraId="129A13CC">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3CD110FF">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7D4132B4">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0EA3B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79C8ED61">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硫化物</w:t>
                  </w:r>
                </w:p>
              </w:tc>
              <w:tc>
                <w:tcPr>
                  <w:tcW w:w="402" w:type="pct"/>
                  <w:vMerge w:val="restart"/>
                  <w:vAlign w:val="center"/>
                </w:tcPr>
                <w:p w14:paraId="3C8CDB59">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7778A23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w:t>
                  </w:r>
                </w:p>
              </w:tc>
              <w:tc>
                <w:tcPr>
                  <w:tcW w:w="711" w:type="pct"/>
                  <w:vAlign w:val="center"/>
                </w:tcPr>
                <w:p w14:paraId="4D9A1397">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355E3F2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0.012</w:t>
                  </w:r>
                </w:p>
              </w:tc>
              <w:tc>
                <w:tcPr>
                  <w:tcW w:w="682" w:type="pct"/>
                  <w:vAlign w:val="center"/>
                </w:tcPr>
                <w:p w14:paraId="2E509B6E">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0.024</w:t>
                  </w:r>
                </w:p>
              </w:tc>
              <w:tc>
                <w:tcPr>
                  <w:tcW w:w="682" w:type="pct"/>
                  <w:vAlign w:val="center"/>
                </w:tcPr>
                <w:p w14:paraId="0EEA3D31">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2692DB01">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104E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364B2BBB">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1987B683">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1084EF1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72A33F7B">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0336DD0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0.008</w:t>
                  </w:r>
                </w:p>
              </w:tc>
              <w:tc>
                <w:tcPr>
                  <w:tcW w:w="682" w:type="pct"/>
                  <w:vAlign w:val="center"/>
                </w:tcPr>
                <w:p w14:paraId="416E375D">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0.016</w:t>
                  </w:r>
                </w:p>
              </w:tc>
              <w:tc>
                <w:tcPr>
                  <w:tcW w:w="682" w:type="pct"/>
                  <w:vAlign w:val="center"/>
                </w:tcPr>
                <w:p w14:paraId="25CAEE36">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3832C280">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36992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579629AF">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402" w:type="pct"/>
                  <w:vMerge w:val="continue"/>
                  <w:vAlign w:val="center"/>
                </w:tcPr>
                <w:p w14:paraId="04842C54">
                  <w:pPr>
                    <w:pStyle w:val="108"/>
                    <w:keepNext w:val="0"/>
                    <w:keepLines w:val="0"/>
                    <w:suppressLineNumbers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p>
              </w:tc>
              <w:tc>
                <w:tcPr>
                  <w:tcW w:w="596" w:type="pct"/>
                  <w:vMerge w:val="continue"/>
                  <w:vAlign w:val="center"/>
                </w:tcPr>
                <w:p w14:paraId="4F37BAF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3AFE4FA9">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6D9B4CF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0.014</w:t>
                  </w:r>
                </w:p>
              </w:tc>
              <w:tc>
                <w:tcPr>
                  <w:tcW w:w="682" w:type="pct"/>
                  <w:vAlign w:val="center"/>
                </w:tcPr>
                <w:p w14:paraId="039AF15F">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0.028</w:t>
                  </w:r>
                </w:p>
              </w:tc>
              <w:tc>
                <w:tcPr>
                  <w:tcW w:w="682" w:type="pct"/>
                  <w:vAlign w:val="center"/>
                </w:tcPr>
                <w:p w14:paraId="282FB1A2">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3BFE8157">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2A0CE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3D5EE39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粪大肠菌群</w:t>
                  </w:r>
                </w:p>
              </w:tc>
              <w:tc>
                <w:tcPr>
                  <w:tcW w:w="402" w:type="pct"/>
                  <w:vMerge w:val="restart"/>
                  <w:vAlign w:val="center"/>
                </w:tcPr>
                <w:p w14:paraId="5BE282E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MPN/L</w:t>
                  </w:r>
                </w:p>
              </w:tc>
              <w:tc>
                <w:tcPr>
                  <w:tcW w:w="596" w:type="pct"/>
                  <w:vMerge w:val="restart"/>
                  <w:vAlign w:val="center"/>
                </w:tcPr>
                <w:p w14:paraId="2F16AA0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≤20000</w:t>
                  </w:r>
                </w:p>
              </w:tc>
              <w:tc>
                <w:tcPr>
                  <w:tcW w:w="711" w:type="pct"/>
                  <w:vAlign w:val="center"/>
                </w:tcPr>
                <w:p w14:paraId="2962AC0F">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71569C6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110</w:t>
                  </w:r>
                </w:p>
              </w:tc>
              <w:tc>
                <w:tcPr>
                  <w:tcW w:w="682" w:type="pct"/>
                  <w:vAlign w:val="center"/>
                </w:tcPr>
                <w:p w14:paraId="5B629967">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0.0055</w:t>
                  </w:r>
                </w:p>
              </w:tc>
              <w:tc>
                <w:tcPr>
                  <w:tcW w:w="682" w:type="pct"/>
                  <w:vAlign w:val="center"/>
                </w:tcPr>
                <w:p w14:paraId="349CB5B9">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73322CE9">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5E897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2029CAE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3CF8C6E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56E9617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4AFAADAB">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7BD2C2B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120</w:t>
                  </w:r>
                </w:p>
              </w:tc>
              <w:tc>
                <w:tcPr>
                  <w:tcW w:w="682" w:type="pct"/>
                  <w:vAlign w:val="center"/>
                </w:tcPr>
                <w:p w14:paraId="082DF718">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0.006</w:t>
                  </w:r>
                </w:p>
              </w:tc>
              <w:tc>
                <w:tcPr>
                  <w:tcW w:w="682" w:type="pct"/>
                  <w:vAlign w:val="center"/>
                </w:tcPr>
                <w:p w14:paraId="150092B6">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004750A2">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18F1C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5BE7B17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34310B2F">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269092D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26D0AA00">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599C33F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110</w:t>
                  </w:r>
                </w:p>
              </w:tc>
              <w:tc>
                <w:tcPr>
                  <w:tcW w:w="682" w:type="pct"/>
                  <w:vAlign w:val="center"/>
                </w:tcPr>
                <w:p w14:paraId="16E080E3">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0.0055</w:t>
                  </w:r>
                </w:p>
              </w:tc>
              <w:tc>
                <w:tcPr>
                  <w:tcW w:w="682" w:type="pct"/>
                  <w:vAlign w:val="center"/>
                </w:tcPr>
                <w:p w14:paraId="5708F0AE">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w:t>
                  </w:r>
                </w:p>
              </w:tc>
              <w:tc>
                <w:tcPr>
                  <w:tcW w:w="682" w:type="pct"/>
                  <w:vAlign w:val="center"/>
                </w:tcPr>
                <w:p w14:paraId="376AFF76">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1874C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vAlign w:val="center"/>
                </w:tcPr>
                <w:p w14:paraId="6DB53A8F">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阴离子表面活性剂</w:t>
                  </w:r>
                </w:p>
              </w:tc>
              <w:tc>
                <w:tcPr>
                  <w:tcW w:w="402" w:type="pct"/>
                  <w:vMerge w:val="restart"/>
                  <w:vAlign w:val="center"/>
                </w:tcPr>
                <w:p w14:paraId="502346D3">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mg/L</w:t>
                  </w:r>
                </w:p>
              </w:tc>
              <w:tc>
                <w:tcPr>
                  <w:tcW w:w="596" w:type="pct"/>
                  <w:vMerge w:val="restart"/>
                  <w:vAlign w:val="center"/>
                </w:tcPr>
                <w:p w14:paraId="14CC38B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≤0.3</w:t>
                  </w:r>
                </w:p>
              </w:tc>
              <w:tc>
                <w:tcPr>
                  <w:tcW w:w="711" w:type="pct"/>
                  <w:vAlign w:val="center"/>
                </w:tcPr>
                <w:p w14:paraId="04D1290B">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2022.11.25</w:t>
                  </w:r>
                </w:p>
              </w:tc>
              <w:tc>
                <w:tcPr>
                  <w:tcW w:w="702" w:type="pct"/>
                  <w:vAlign w:val="center"/>
                </w:tcPr>
                <w:p w14:paraId="2B39115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0.05L</w:t>
                  </w:r>
                </w:p>
              </w:tc>
              <w:tc>
                <w:tcPr>
                  <w:tcW w:w="682" w:type="pct"/>
                  <w:vAlign w:val="center"/>
                </w:tcPr>
                <w:p w14:paraId="1EC3664B">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6FF6CEF0">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2F85240A">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5C69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702C5CE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6D86E878">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77CE0299">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0C249CE1">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2022.11.26</w:t>
                  </w:r>
                </w:p>
              </w:tc>
              <w:tc>
                <w:tcPr>
                  <w:tcW w:w="702" w:type="pct"/>
                  <w:vAlign w:val="center"/>
                </w:tcPr>
                <w:p w14:paraId="2C26AD6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0.05L</w:t>
                  </w:r>
                </w:p>
              </w:tc>
              <w:tc>
                <w:tcPr>
                  <w:tcW w:w="682" w:type="pct"/>
                  <w:vAlign w:val="center"/>
                </w:tcPr>
                <w:p w14:paraId="63A88792">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57533CFB">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1CAF1D9B">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r w14:paraId="0BCAF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vAlign w:val="center"/>
                </w:tcPr>
                <w:p w14:paraId="063795D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02" w:type="pct"/>
                  <w:vMerge w:val="continue"/>
                  <w:vAlign w:val="center"/>
                </w:tcPr>
                <w:p w14:paraId="728516E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96" w:type="pct"/>
                  <w:vMerge w:val="continue"/>
                  <w:vAlign w:val="center"/>
                </w:tcPr>
                <w:p w14:paraId="316C2001">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711" w:type="pct"/>
                  <w:vAlign w:val="center"/>
                </w:tcPr>
                <w:p w14:paraId="15A0D251">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2022.11.27</w:t>
                  </w:r>
                </w:p>
              </w:tc>
              <w:tc>
                <w:tcPr>
                  <w:tcW w:w="702" w:type="pct"/>
                  <w:vAlign w:val="center"/>
                </w:tcPr>
                <w:p w14:paraId="770EA04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0.05L</w:t>
                  </w:r>
                </w:p>
              </w:tc>
              <w:tc>
                <w:tcPr>
                  <w:tcW w:w="682" w:type="pct"/>
                  <w:vAlign w:val="center"/>
                </w:tcPr>
                <w:p w14:paraId="193B79C7">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24A337F7">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w:t>
                  </w:r>
                </w:p>
              </w:tc>
              <w:tc>
                <w:tcPr>
                  <w:tcW w:w="682" w:type="pct"/>
                  <w:vAlign w:val="center"/>
                </w:tcPr>
                <w:p w14:paraId="3D5206D6">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达标</w:t>
                  </w:r>
                </w:p>
              </w:tc>
            </w:tr>
          </w:tbl>
          <w:p w14:paraId="4CED6C6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由上表可知，</w:t>
            </w:r>
            <w:r>
              <w:rPr>
                <w:rFonts w:hint="eastAsia" w:ascii="Times New Roman" w:hAnsi="Times New Roman" w:cs="Times New Roman"/>
                <w:color w:val="000000" w:themeColor="text1"/>
                <w:sz w:val="24"/>
                <w:lang w:val="en-US" w:eastAsia="zh-CN"/>
                <w14:textFill>
                  <w14:solidFill>
                    <w14:schemeClr w14:val="tx1"/>
                  </w14:solidFill>
                </w14:textFill>
              </w:rPr>
              <w:t>项目区下游300m</w:t>
            </w:r>
            <w:r>
              <w:rPr>
                <w:rFonts w:hint="default" w:ascii="Times New Roman" w:hAnsi="Times New Roman" w:cs="Times New Roman"/>
                <w:color w:val="000000" w:themeColor="text1"/>
                <w:sz w:val="24"/>
                <w14:textFill>
                  <w14:solidFill>
                    <w14:schemeClr w14:val="tx1"/>
                  </w14:solidFill>
                </w14:textFill>
              </w:rPr>
              <w:t>断面螳螂川水质检测指标</w:t>
            </w:r>
            <w:r>
              <w:rPr>
                <w:rFonts w:hint="default" w:ascii="Times New Roman" w:hAnsi="Times New Roman" w:cs="Times New Roman"/>
                <w:color w:val="000000" w:themeColor="text1"/>
                <w:kern w:val="0"/>
                <w:sz w:val="24"/>
                <w14:textFill>
                  <w14:solidFill>
                    <w14:schemeClr w14:val="tx1"/>
                  </w14:solidFill>
                </w14:textFill>
              </w:rPr>
              <w:t>化学需氧量、五日生化需氧量、总磷不</w:t>
            </w:r>
            <w:r>
              <w:rPr>
                <w:rFonts w:hint="default" w:ascii="Times New Roman" w:hAnsi="Times New Roman" w:cs="Times New Roman"/>
                <w:color w:val="000000" w:themeColor="text1"/>
                <w:sz w:val="24"/>
                <w14:textFill>
                  <w14:solidFill>
                    <w14:schemeClr w14:val="tx1"/>
                  </w14:solidFill>
                </w14:textFill>
              </w:rPr>
              <w:t>满足《地表水环境质量标准》（GB3838-2002）IV类水质标准，其中</w:t>
            </w:r>
            <w:r>
              <w:rPr>
                <w:rFonts w:hint="default" w:ascii="Times New Roman" w:hAnsi="Times New Roman" w:cs="Times New Roman"/>
                <w:color w:val="000000" w:themeColor="text1"/>
                <w:kern w:val="0"/>
                <w:sz w:val="24"/>
                <w14:textFill>
                  <w14:solidFill>
                    <w14:schemeClr w14:val="tx1"/>
                  </w14:solidFill>
                </w14:textFill>
              </w:rPr>
              <w:t>化学需氧量超标0.13倍、五日生化需氧量超标0.80倍、总磷超标0.27倍，</w:t>
            </w:r>
            <w:r>
              <w:rPr>
                <w:rFonts w:hint="default" w:ascii="Times New Roman" w:hAnsi="Times New Roman" w:cs="Times New Roman"/>
                <w:color w:val="000000" w:themeColor="text1"/>
                <w:sz w:val="24"/>
                <w14:textFill>
                  <w14:solidFill>
                    <w14:schemeClr w14:val="tx1"/>
                  </w14:solidFill>
                </w14:textFill>
              </w:rPr>
              <w:t>超标原因：螳螂川为富民县纳污河道，主要是</w:t>
            </w:r>
            <w:r>
              <w:rPr>
                <w:rFonts w:hint="eastAsia" w:ascii="Times New Roman" w:hAnsi="Times New Roman" w:cs="Times New Roman"/>
                <w:color w:val="000000" w:themeColor="text1"/>
                <w:sz w:val="24"/>
                <w:lang w:val="en-US" w:eastAsia="zh-CN"/>
                <w14:textFill>
                  <w14:solidFill>
                    <w14:schemeClr w14:val="tx1"/>
                  </w14:solidFill>
                </w14:textFill>
              </w:rPr>
              <w:t>项目区上游</w:t>
            </w:r>
            <w:r>
              <w:rPr>
                <w:rFonts w:hint="default" w:ascii="Times New Roman" w:hAnsi="Times New Roman" w:cs="Times New Roman"/>
                <w:color w:val="000000" w:themeColor="text1"/>
                <w:sz w:val="24"/>
                <w14:textFill>
                  <w14:solidFill>
                    <w14:schemeClr w14:val="tx1"/>
                  </w14:solidFill>
                </w14:textFill>
              </w:rPr>
              <w:t>工业、集镇生活、农业农村面源污染所致。</w:t>
            </w:r>
          </w:p>
          <w:p w14:paraId="6A2B4E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val="en-US" w:eastAsia="zh-CN"/>
              </w:rPr>
              <w:t>3</w:t>
            </w:r>
            <w:r>
              <w:rPr>
                <w:rFonts w:hint="default" w:ascii="Times New Roman" w:hAnsi="Times New Roman" w:eastAsia="宋体" w:cs="Times New Roman"/>
                <w:b/>
                <w:bCs/>
                <w:color w:val="auto"/>
                <w:kern w:val="0"/>
                <w:sz w:val="24"/>
                <w:szCs w:val="24"/>
              </w:rPr>
              <w:t>、声环境质量状况</w:t>
            </w:r>
          </w:p>
          <w:p w14:paraId="3393F2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color w:val="auto"/>
                <w:sz w:val="24"/>
                <w:szCs w:val="24"/>
                <w:highlight w:val="none"/>
              </w:rPr>
              <w:t>项目位于昆明市富民县富民工业园区，项目区域</w:t>
            </w:r>
            <w:r>
              <w:rPr>
                <w:rFonts w:hint="eastAsia"/>
                <w:color w:val="auto"/>
                <w:sz w:val="24"/>
                <w:szCs w:val="24"/>
                <w:highlight w:val="none"/>
                <w:lang w:val="en-US" w:eastAsia="zh-CN"/>
              </w:rPr>
              <w:t>声环境质量标准</w:t>
            </w:r>
            <w:r>
              <w:rPr>
                <w:rFonts w:hint="default" w:ascii="Times New Roman" w:hAnsi="Times New Roman"/>
                <w:color w:val="auto"/>
                <w:sz w:val="24"/>
                <w:szCs w:val="24"/>
                <w:highlight w:val="none"/>
              </w:rPr>
              <w:t>执行《声环境质量标准》（GB3096-2008）3类标准。</w:t>
            </w:r>
          </w:p>
          <w:p w14:paraId="01364A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根据《建设项目环境影响报告表编制技术指南（污染影响类）》（试行）相关内容，厂界外周边50米范围内不存在声环境保护目标的建设项目，</w:t>
            </w:r>
            <w:r>
              <w:rPr>
                <w:rFonts w:hint="eastAsia" w:ascii="Times New Roman" w:hAnsi="Times New Roman" w:cs="Times New Roman"/>
                <w:color w:val="auto"/>
                <w:sz w:val="24"/>
                <w:szCs w:val="24"/>
                <w:highlight w:val="none"/>
                <w:lang w:val="en-US" w:eastAsia="zh-CN"/>
              </w:rPr>
              <w:t>不</w:t>
            </w:r>
            <w:r>
              <w:rPr>
                <w:rFonts w:hint="default" w:ascii="Times New Roman" w:hAnsi="Times New Roman" w:cs="Times New Roman"/>
                <w:color w:val="auto"/>
                <w:sz w:val="24"/>
                <w:szCs w:val="24"/>
                <w:highlight w:val="none"/>
              </w:rPr>
              <w:t>监测保护目标声环境质量现状并评价达标情况</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故本项目未监测项目周边村庄的</w:t>
            </w:r>
            <w:r>
              <w:rPr>
                <w:rFonts w:hint="default" w:ascii="Times New Roman" w:hAnsi="Times New Roman" w:cs="Times New Roman"/>
                <w:color w:val="auto"/>
                <w:sz w:val="24"/>
                <w:szCs w:val="24"/>
                <w:highlight w:val="none"/>
              </w:rPr>
              <w:t>声环境现状。</w:t>
            </w:r>
          </w:p>
          <w:p w14:paraId="3DF9F0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4、</w:t>
            </w:r>
            <w:r>
              <w:rPr>
                <w:rFonts w:hint="eastAsia" w:cs="Times New Roman"/>
                <w:b/>
                <w:bCs/>
                <w:color w:val="auto"/>
                <w:kern w:val="0"/>
                <w:sz w:val="24"/>
                <w:szCs w:val="24"/>
                <w:lang w:val="en-US" w:eastAsia="zh-CN"/>
              </w:rPr>
              <w:t>地下水环境质量</w:t>
            </w:r>
          </w:p>
          <w:p w14:paraId="644BB4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auto"/>
                <w:sz w:val="24"/>
                <w:szCs w:val="24"/>
                <w:highlight w:val="none"/>
                <w:lang w:val="en-US" w:eastAsia="zh-CN"/>
              </w:rPr>
              <w:t>项目地下水环境质量现状</w:t>
            </w:r>
            <w:r>
              <w:rPr>
                <w:rFonts w:hint="eastAsia" w:cs="Times New Roman"/>
                <w:color w:val="auto"/>
                <w:sz w:val="24"/>
                <w:szCs w:val="24"/>
                <w:highlight w:val="none"/>
                <w:lang w:val="en-US" w:eastAsia="zh-CN"/>
              </w:rPr>
              <w:t>，引用《云南富民产业园区总体规划修编（2022-2035年）环境影响报告书》</w:t>
            </w:r>
            <w:r>
              <w:rPr>
                <w:rFonts w:hint="default" w:ascii="Times New Roman" w:hAnsi="Times New Roman" w:cs="Times New Roman"/>
                <w:color w:val="000000" w:themeColor="text1"/>
                <w:sz w:val="24"/>
                <w14:textFill>
                  <w14:solidFill>
                    <w14:schemeClr w14:val="tx1"/>
                  </w14:solidFill>
                </w14:textFill>
              </w:rPr>
              <w:t>云南泰义检测技术有限公司2022年11月25日~11月26日对</w:t>
            </w:r>
            <w:r>
              <w:rPr>
                <w:rFonts w:hint="eastAsia" w:ascii="Times New Roman" w:hAnsi="Times New Roman" w:cs="Times New Roman"/>
                <w:color w:val="000000" w:themeColor="text1"/>
                <w:sz w:val="24"/>
                <w:lang w:val="en-US" w:eastAsia="zh-CN"/>
                <w14:textFill>
                  <w14:solidFill>
                    <w14:schemeClr w14:val="tx1"/>
                  </w14:solidFill>
                </w14:textFill>
              </w:rPr>
              <w:t>本项目所在区域的地下水检测数据，监测点D1位于项目东南侧3.8km，D2位于项目北侧4.6km、D3位于项目东侧3.4km。检测结果见下表。</w:t>
            </w:r>
          </w:p>
          <w:p w14:paraId="30E6B948">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w:t>
            </w:r>
            <w:r>
              <w:rPr>
                <w:rFonts w:hint="eastAsia" w:ascii="Times New Roman" w:hAnsi="Times New Roman" w:cs="Times New Roman"/>
                <w:b/>
                <w:bCs/>
                <w:color w:val="000000" w:themeColor="text1"/>
                <w:sz w:val="21"/>
                <w:szCs w:val="21"/>
                <w:lang w:val="en-US" w:eastAsia="zh-CN"/>
                <w14:textFill>
                  <w14:solidFill>
                    <w14:schemeClr w14:val="tx1"/>
                  </w14:solidFill>
                </w14:textFill>
              </w:rPr>
              <w:t>3-3</w:t>
            </w:r>
            <w:r>
              <w:rPr>
                <w:rFonts w:hint="default" w:ascii="Times New Roman" w:hAnsi="Times New Roman" w:cs="Times New Roman"/>
                <w:b/>
                <w:bCs/>
                <w:color w:val="000000" w:themeColor="text1"/>
                <w:sz w:val="21"/>
                <w:szCs w:val="21"/>
                <w14:textFill>
                  <w14:solidFill>
                    <w14:schemeClr w14:val="tx1"/>
                  </w14:solidFill>
                </w14:textFill>
              </w:rPr>
              <w:t xml:space="preserve"> 各片区地下水质量现状监测结果一览表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910"/>
              <w:gridCol w:w="910"/>
              <w:gridCol w:w="910"/>
              <w:gridCol w:w="910"/>
              <w:gridCol w:w="910"/>
              <w:gridCol w:w="910"/>
              <w:gridCol w:w="1072"/>
              <w:gridCol w:w="398"/>
            </w:tblGrid>
            <w:tr w14:paraId="753EF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318CC06E">
                  <w:pPr>
                    <w:pStyle w:val="35"/>
                    <w:keepNext w:val="0"/>
                    <w:keepLines w:val="0"/>
                    <w:widowControl/>
                    <w:suppressLineNumbers w:val="0"/>
                    <w:spacing w:before="0" w:beforeAutospacing="0" w:after="0" w:afterAutospacing="0"/>
                    <w:ind w:left="0" w:right="0"/>
                    <w:rPr>
                      <w:rFonts w:hint="default" w:eastAsiaTheme="minorEastAsia"/>
                      <w:b/>
                      <w:bCs/>
                      <w:i w:val="0"/>
                      <w:iCs/>
                      <w:color w:val="000000" w:themeColor="text1"/>
                      <w:szCs w:val="21"/>
                      <w14:textFill>
                        <w14:solidFill>
                          <w14:schemeClr w14:val="tx1"/>
                        </w14:solidFill>
                      </w14:textFill>
                    </w:rPr>
                  </w:pPr>
                  <w:r>
                    <w:rPr>
                      <w:rFonts w:hint="default" w:eastAsiaTheme="minorEastAsia"/>
                      <w:b/>
                      <w:bCs/>
                      <w:i w:val="0"/>
                      <w:iCs/>
                      <w:color w:val="000000" w:themeColor="text1"/>
                      <w:szCs w:val="21"/>
                      <w14:textFill>
                        <w14:solidFill>
                          <w14:schemeClr w14:val="tx1"/>
                        </w14:solidFill>
                      </w14:textFill>
                    </w:rPr>
                    <w:t>点位名称</w:t>
                  </w:r>
                </w:p>
              </w:tc>
              <w:tc>
                <w:tcPr>
                  <w:tcW w:w="1082" w:type="pct"/>
                  <w:gridSpan w:val="2"/>
                  <w:vAlign w:val="center"/>
                </w:tcPr>
                <w:p w14:paraId="706205B5">
                  <w:pPr>
                    <w:pStyle w:val="35"/>
                    <w:keepNext w:val="0"/>
                    <w:keepLines w:val="0"/>
                    <w:widowControl/>
                    <w:suppressLineNumbers w:val="0"/>
                    <w:spacing w:before="0" w:beforeAutospacing="0" w:after="0" w:afterAutospacing="0"/>
                    <w:ind w:left="0" w:right="0"/>
                    <w:rPr>
                      <w:rFonts w:hint="default" w:eastAsiaTheme="minorEastAsia"/>
                      <w:b/>
                      <w:bCs/>
                      <w:i w:val="0"/>
                      <w:iCs/>
                      <w:color w:val="000000" w:themeColor="text1"/>
                      <w:szCs w:val="21"/>
                      <w:lang w:val="en-US" w:eastAsia="zh-CN"/>
                      <w14:textFill>
                        <w14:solidFill>
                          <w14:schemeClr w14:val="tx1"/>
                        </w14:solidFill>
                      </w14:textFill>
                    </w:rPr>
                  </w:pPr>
                  <w:r>
                    <w:rPr>
                      <w:rFonts w:hint="default" w:eastAsiaTheme="minorEastAsia"/>
                      <w:b/>
                      <w:bCs/>
                      <w:i w:val="0"/>
                      <w:iCs/>
                      <w:color w:val="000000" w:themeColor="text1"/>
                      <w:szCs w:val="21"/>
                      <w14:textFill>
                        <w14:solidFill>
                          <w14:schemeClr w14:val="tx1"/>
                        </w14:solidFill>
                      </w14:textFill>
                    </w:rPr>
                    <w:t>黄磷厂内水井（麦竜箐组团）</w:t>
                  </w:r>
                  <w:r>
                    <w:rPr>
                      <w:rFonts w:hint="eastAsia" w:eastAsiaTheme="minorEastAsia"/>
                      <w:b/>
                      <w:bCs/>
                      <w:i w:val="0"/>
                      <w:iCs/>
                      <w:color w:val="000000" w:themeColor="text1"/>
                      <w:szCs w:val="21"/>
                      <w:lang w:val="en-US" w:eastAsia="zh-CN"/>
                      <w14:textFill>
                        <w14:solidFill>
                          <w14:schemeClr w14:val="tx1"/>
                        </w14:solidFill>
                      </w14:textFill>
                    </w:rPr>
                    <w:t>D1</w:t>
                  </w:r>
                </w:p>
              </w:tc>
              <w:tc>
                <w:tcPr>
                  <w:tcW w:w="1082" w:type="pct"/>
                  <w:gridSpan w:val="2"/>
                  <w:vAlign w:val="center"/>
                </w:tcPr>
                <w:p w14:paraId="6D4E4148">
                  <w:pPr>
                    <w:pStyle w:val="35"/>
                    <w:keepNext w:val="0"/>
                    <w:keepLines w:val="0"/>
                    <w:widowControl/>
                    <w:suppressLineNumbers w:val="0"/>
                    <w:spacing w:before="0" w:beforeAutospacing="0" w:after="0" w:afterAutospacing="0"/>
                    <w:ind w:left="0" w:right="0"/>
                    <w:rPr>
                      <w:rFonts w:hint="default" w:eastAsiaTheme="minorEastAsia"/>
                      <w:b/>
                      <w:bCs/>
                      <w:i w:val="0"/>
                      <w:iCs/>
                      <w:color w:val="000000" w:themeColor="text1"/>
                      <w:szCs w:val="21"/>
                      <w:lang w:val="en-US" w:eastAsia="zh-CN"/>
                      <w14:textFill>
                        <w14:solidFill>
                          <w14:schemeClr w14:val="tx1"/>
                        </w14:solidFill>
                      </w14:textFill>
                    </w:rPr>
                  </w:pPr>
                  <w:r>
                    <w:rPr>
                      <w:rFonts w:hint="default" w:eastAsiaTheme="minorEastAsia"/>
                      <w:b/>
                      <w:bCs/>
                      <w:i w:val="0"/>
                      <w:iCs/>
                      <w:color w:val="000000" w:themeColor="text1"/>
                      <w:kern w:val="2"/>
                      <w:szCs w:val="21"/>
                      <w14:textFill>
                        <w14:solidFill>
                          <w14:schemeClr w14:val="tx1"/>
                        </w14:solidFill>
                      </w14:textFill>
                    </w:rPr>
                    <w:t>大地丰源水井跟踪监测井（大白坡组团）</w:t>
                  </w:r>
                  <w:r>
                    <w:rPr>
                      <w:rFonts w:hint="eastAsia" w:eastAsiaTheme="minorEastAsia"/>
                      <w:b/>
                      <w:bCs/>
                      <w:i w:val="0"/>
                      <w:iCs/>
                      <w:color w:val="000000" w:themeColor="text1"/>
                      <w:kern w:val="2"/>
                      <w:szCs w:val="21"/>
                      <w:lang w:val="en-US" w:eastAsia="zh-CN"/>
                      <w14:textFill>
                        <w14:solidFill>
                          <w14:schemeClr w14:val="tx1"/>
                        </w14:solidFill>
                      </w14:textFill>
                    </w:rPr>
                    <w:t>D2</w:t>
                  </w:r>
                </w:p>
              </w:tc>
              <w:tc>
                <w:tcPr>
                  <w:tcW w:w="1082" w:type="pct"/>
                  <w:gridSpan w:val="2"/>
                  <w:vAlign w:val="center"/>
                </w:tcPr>
                <w:p w14:paraId="01467599">
                  <w:pPr>
                    <w:pStyle w:val="35"/>
                    <w:keepNext w:val="0"/>
                    <w:keepLines w:val="0"/>
                    <w:widowControl/>
                    <w:suppressLineNumbers w:val="0"/>
                    <w:spacing w:before="0" w:beforeAutospacing="0" w:after="0" w:afterAutospacing="0"/>
                    <w:ind w:left="0" w:right="0"/>
                    <w:rPr>
                      <w:rFonts w:hint="default" w:eastAsiaTheme="minorEastAsia"/>
                      <w:b/>
                      <w:bCs/>
                      <w:i w:val="0"/>
                      <w:iCs/>
                      <w:color w:val="000000" w:themeColor="text1"/>
                      <w:kern w:val="2"/>
                      <w:szCs w:val="21"/>
                      <w:lang w:val="en-US" w:eastAsia="zh-CN"/>
                      <w14:textFill>
                        <w14:solidFill>
                          <w14:schemeClr w14:val="tx1"/>
                        </w14:solidFill>
                      </w14:textFill>
                    </w:rPr>
                  </w:pPr>
                  <w:r>
                    <w:rPr>
                      <w:rFonts w:hint="default" w:eastAsiaTheme="minorEastAsia"/>
                      <w:b/>
                      <w:bCs/>
                      <w:i w:val="0"/>
                      <w:iCs/>
                      <w:color w:val="000000" w:themeColor="text1"/>
                      <w:kern w:val="2"/>
                      <w:szCs w:val="21"/>
                      <w14:textFill>
                        <w14:solidFill>
                          <w14:schemeClr w14:val="tx1"/>
                        </w14:solidFill>
                      </w14:textFill>
                    </w:rPr>
                    <w:t>麦竜箐村水井（麦竜箐组团、白石岩组团）</w:t>
                  </w:r>
                  <w:r>
                    <w:rPr>
                      <w:rFonts w:hint="eastAsia" w:eastAsiaTheme="minorEastAsia"/>
                      <w:b/>
                      <w:bCs/>
                      <w:i w:val="0"/>
                      <w:iCs/>
                      <w:color w:val="000000" w:themeColor="text1"/>
                      <w:kern w:val="2"/>
                      <w:szCs w:val="21"/>
                      <w:lang w:val="en-US" w:eastAsia="zh-CN"/>
                      <w14:textFill>
                        <w14:solidFill>
                          <w14:schemeClr w14:val="tx1"/>
                        </w14:solidFill>
                      </w14:textFill>
                    </w:rPr>
                    <w:t>D3</w:t>
                  </w:r>
                </w:p>
              </w:tc>
              <w:tc>
                <w:tcPr>
                  <w:tcW w:w="497" w:type="pct"/>
                  <w:vMerge w:val="restart"/>
                  <w:vAlign w:val="center"/>
                </w:tcPr>
                <w:p w14:paraId="2C2326CB">
                  <w:pPr>
                    <w:pStyle w:val="35"/>
                    <w:keepNext w:val="0"/>
                    <w:keepLines w:val="0"/>
                    <w:widowControl/>
                    <w:suppressLineNumbers w:val="0"/>
                    <w:spacing w:before="0" w:beforeAutospacing="0" w:after="0" w:afterAutospacing="0"/>
                    <w:ind w:left="0" w:right="0"/>
                    <w:rPr>
                      <w:rFonts w:hint="default" w:eastAsiaTheme="minorEastAsia"/>
                      <w:b/>
                      <w:bCs/>
                      <w:i w:val="0"/>
                      <w:iCs/>
                      <w:color w:val="000000" w:themeColor="text1"/>
                      <w:szCs w:val="21"/>
                      <w14:textFill>
                        <w14:solidFill>
                          <w14:schemeClr w14:val="tx1"/>
                        </w14:solidFill>
                      </w14:textFill>
                    </w:rPr>
                  </w:pPr>
                  <w:r>
                    <w:rPr>
                      <w:rFonts w:hint="default" w:eastAsiaTheme="minorEastAsia"/>
                      <w:b/>
                      <w:bCs/>
                      <w:i w:val="0"/>
                      <w:iCs/>
                      <w:color w:val="000000" w:themeColor="text1"/>
                      <w:szCs w:val="21"/>
                      <w14:textFill>
                        <w14:solidFill>
                          <w14:schemeClr w14:val="tx1"/>
                        </w14:solidFill>
                      </w14:textFill>
                    </w:rPr>
                    <w:t>执行</w:t>
                  </w:r>
                </w:p>
                <w:p w14:paraId="18978E70">
                  <w:pPr>
                    <w:pStyle w:val="35"/>
                    <w:keepNext w:val="0"/>
                    <w:keepLines w:val="0"/>
                    <w:widowControl/>
                    <w:suppressLineNumbers w:val="0"/>
                    <w:spacing w:before="0" w:beforeAutospacing="0" w:after="0" w:afterAutospacing="0"/>
                    <w:ind w:left="0" w:right="0"/>
                    <w:rPr>
                      <w:rFonts w:hint="default" w:eastAsiaTheme="minorEastAsia"/>
                      <w:b/>
                      <w:bCs/>
                      <w:i w:val="0"/>
                      <w:iCs/>
                      <w:color w:val="000000" w:themeColor="text1"/>
                      <w:szCs w:val="21"/>
                      <w14:textFill>
                        <w14:solidFill>
                          <w14:schemeClr w14:val="tx1"/>
                        </w14:solidFill>
                      </w14:textFill>
                    </w:rPr>
                  </w:pPr>
                  <w:r>
                    <w:rPr>
                      <w:rFonts w:hint="default" w:eastAsiaTheme="minorEastAsia"/>
                      <w:b/>
                      <w:bCs/>
                      <w:i w:val="0"/>
                      <w:iCs/>
                      <w:color w:val="000000" w:themeColor="text1"/>
                      <w:szCs w:val="21"/>
                      <w14:textFill>
                        <w14:solidFill>
                          <w14:schemeClr w14:val="tx1"/>
                        </w14:solidFill>
                      </w14:textFill>
                    </w:rPr>
                    <w:t>标准</w:t>
                  </w:r>
                </w:p>
              </w:tc>
              <w:tc>
                <w:tcPr>
                  <w:tcW w:w="376" w:type="pct"/>
                  <w:vMerge w:val="restart"/>
                  <w:vAlign w:val="center"/>
                </w:tcPr>
                <w:p w14:paraId="147B80A1">
                  <w:pPr>
                    <w:pStyle w:val="35"/>
                    <w:keepNext w:val="0"/>
                    <w:keepLines w:val="0"/>
                    <w:widowControl/>
                    <w:suppressLineNumbers w:val="0"/>
                    <w:spacing w:before="0" w:beforeAutospacing="0" w:after="0" w:afterAutospacing="0"/>
                    <w:ind w:left="0" w:right="0"/>
                    <w:rPr>
                      <w:rFonts w:hint="default" w:eastAsiaTheme="minorEastAsia"/>
                      <w:b/>
                      <w:bCs/>
                      <w:i w:val="0"/>
                      <w:iCs/>
                      <w:color w:val="000000" w:themeColor="text1"/>
                      <w:szCs w:val="21"/>
                      <w14:textFill>
                        <w14:solidFill>
                          <w14:schemeClr w14:val="tx1"/>
                        </w14:solidFill>
                      </w14:textFill>
                    </w:rPr>
                  </w:pPr>
                  <w:r>
                    <w:rPr>
                      <w:rFonts w:hint="default" w:eastAsiaTheme="minorEastAsia"/>
                      <w:b/>
                      <w:bCs/>
                      <w:i w:val="0"/>
                      <w:iCs/>
                      <w:color w:val="000000" w:themeColor="text1"/>
                      <w:szCs w:val="21"/>
                      <w14:textFill>
                        <w14:solidFill>
                          <w14:schemeClr w14:val="tx1"/>
                        </w14:solidFill>
                      </w14:textFill>
                    </w:rPr>
                    <w:t>达标情况</w:t>
                  </w:r>
                </w:p>
              </w:tc>
            </w:tr>
            <w:tr w14:paraId="5F364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77" w:type="pct"/>
                  <w:vAlign w:val="center"/>
                </w:tcPr>
                <w:p w14:paraId="300AE8BD">
                  <w:pPr>
                    <w:pStyle w:val="35"/>
                    <w:keepNext w:val="0"/>
                    <w:keepLines w:val="0"/>
                    <w:widowControl/>
                    <w:suppressLineNumbers w:val="0"/>
                    <w:spacing w:before="0" w:beforeAutospacing="0" w:after="0" w:afterAutospacing="0"/>
                    <w:ind w:left="0" w:right="0"/>
                    <w:jc w:val="right"/>
                    <w:rPr>
                      <w:rFonts w:hint="default" w:eastAsiaTheme="minorEastAsia"/>
                      <w:b/>
                      <w:bCs/>
                      <w:i w:val="0"/>
                      <w:iCs/>
                      <w:color w:val="000000" w:themeColor="text1"/>
                      <w:szCs w:val="21"/>
                      <w14:textFill>
                        <w14:solidFill>
                          <w14:schemeClr w14:val="tx1"/>
                        </w14:solidFill>
                      </w14:textFill>
                    </w:rPr>
                  </w:pPr>
                  <w:r>
                    <w:rPr>
                      <w:rFonts w:hint="default" w:eastAsiaTheme="minorEastAsia"/>
                      <w:color w:val="000000" w:themeColor="text1"/>
                      <w:szCs w:val="20"/>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-5080</wp:posOffset>
                            </wp:positionH>
                            <wp:positionV relativeFrom="paragraph">
                              <wp:posOffset>-635</wp:posOffset>
                            </wp:positionV>
                            <wp:extent cx="1003935" cy="446405"/>
                            <wp:effectExtent l="1905" t="4445" r="3810" b="6350"/>
                            <wp:wrapNone/>
                            <wp:docPr id="82" name="直接连接符 82"/>
                            <wp:cNvGraphicFramePr/>
                            <a:graphic xmlns:a="http://schemas.openxmlformats.org/drawingml/2006/main">
                              <a:graphicData uri="http://schemas.microsoft.com/office/word/2010/wordprocessingShape">
                                <wps:wsp>
                                  <wps:cNvCnPr/>
                                  <wps:spPr>
                                    <a:xfrm>
                                      <a:off x="1093470" y="7486650"/>
                                      <a:ext cx="1003935" cy="4464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4pt;margin-top:-0.05pt;height:35.15pt;width:79.05pt;z-index:251673600;mso-width-relative:page;mso-height-relative:page;" filled="f" stroked="t" coordsize="21600,21600" o:gfxdata="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rs/VH1AAA&#10;AAYBAAAPAAAAAAAAAAEAIAAAACIAAABkcnMvZG93bnJldi54bWxQSwECFAAUAAAACACHTuJAOeEN&#10;3OkBAACtAwAADgAAAAAAAAABACAAAAAjAQAAZHJzL2Uyb0RvYy54bWxQSwUGAAAAAAYABgBZAQAA&#10;fgUAAAAA&#10;">
                            <v:fill on="f" focussize="0,0"/>
                            <v:stroke color="#000000 [3213]" joinstyle="round"/>
                            <v:imagedata o:title=""/>
                            <o:lock v:ext="edit" aspectratio="f"/>
                          </v:line>
                        </w:pict>
                      </mc:Fallback>
                    </mc:AlternateContent>
                  </w:r>
                  <w:r>
                    <w:rPr>
                      <w:rFonts w:hint="default" w:eastAsiaTheme="minorEastAsia"/>
                      <w:b/>
                      <w:bCs/>
                      <w:i w:val="0"/>
                      <w:iCs/>
                      <w:color w:val="000000" w:themeColor="text1"/>
                      <w:szCs w:val="21"/>
                      <w14:textFill>
                        <w14:solidFill>
                          <w14:schemeClr w14:val="tx1"/>
                        </w14:solidFill>
                      </w14:textFill>
                    </w:rPr>
                    <w:t>日期</w:t>
                  </w:r>
                </w:p>
                <w:p w14:paraId="3873B4B7">
                  <w:pPr>
                    <w:pStyle w:val="35"/>
                    <w:keepNext w:val="0"/>
                    <w:keepLines w:val="0"/>
                    <w:widowControl/>
                    <w:suppressLineNumbers w:val="0"/>
                    <w:spacing w:before="0" w:beforeAutospacing="0" w:after="0" w:afterAutospacing="0"/>
                    <w:ind w:left="0" w:right="0"/>
                    <w:jc w:val="left"/>
                    <w:rPr>
                      <w:rFonts w:hint="default" w:eastAsiaTheme="minorEastAsia"/>
                      <w:b/>
                      <w:bCs/>
                      <w:i w:val="0"/>
                      <w:iCs/>
                      <w:color w:val="000000" w:themeColor="text1"/>
                      <w:szCs w:val="21"/>
                      <w14:textFill>
                        <w14:solidFill>
                          <w14:schemeClr w14:val="tx1"/>
                        </w14:solidFill>
                      </w14:textFill>
                    </w:rPr>
                  </w:pPr>
                  <w:r>
                    <w:rPr>
                      <w:rFonts w:hint="default" w:eastAsiaTheme="minorEastAsia"/>
                      <w:b/>
                      <w:bCs/>
                      <w:i w:val="0"/>
                      <w:iCs/>
                      <w:color w:val="000000" w:themeColor="text1"/>
                      <w:szCs w:val="21"/>
                      <w14:textFill>
                        <w14:solidFill>
                          <w14:schemeClr w14:val="tx1"/>
                        </w14:solidFill>
                      </w14:textFill>
                    </w:rPr>
                    <w:t>监测项目</w:t>
                  </w:r>
                </w:p>
              </w:tc>
              <w:tc>
                <w:tcPr>
                  <w:tcW w:w="541" w:type="pct"/>
                  <w:vAlign w:val="center"/>
                </w:tcPr>
                <w:p w14:paraId="2C3E4220">
                  <w:pPr>
                    <w:pStyle w:val="35"/>
                    <w:keepNext w:val="0"/>
                    <w:keepLines w:val="0"/>
                    <w:widowControl/>
                    <w:suppressLineNumbers w:val="0"/>
                    <w:spacing w:before="0" w:beforeAutospacing="0" w:after="0" w:afterAutospacing="0"/>
                    <w:ind w:left="0" w:right="0"/>
                    <w:rPr>
                      <w:rFonts w:hint="default" w:eastAsiaTheme="minorEastAsia"/>
                      <w:b/>
                      <w:bCs/>
                      <w:i w:val="0"/>
                      <w:iCs/>
                      <w:color w:val="000000" w:themeColor="text1"/>
                      <w:szCs w:val="21"/>
                      <w14:textFill>
                        <w14:solidFill>
                          <w14:schemeClr w14:val="tx1"/>
                        </w14:solidFill>
                      </w14:textFill>
                    </w:rPr>
                  </w:pPr>
                  <w:r>
                    <w:rPr>
                      <w:rFonts w:hint="default" w:eastAsiaTheme="minorEastAsia"/>
                      <w:b/>
                      <w:bCs/>
                      <w:i w:val="0"/>
                      <w:iCs/>
                      <w:color w:val="000000" w:themeColor="text1"/>
                      <w:szCs w:val="21"/>
                      <w14:textFill>
                        <w14:solidFill>
                          <w14:schemeClr w14:val="tx1"/>
                        </w14:solidFill>
                      </w14:textFill>
                    </w:rPr>
                    <w:t>11.25</w:t>
                  </w:r>
                </w:p>
              </w:tc>
              <w:tc>
                <w:tcPr>
                  <w:tcW w:w="541" w:type="pct"/>
                  <w:vAlign w:val="center"/>
                </w:tcPr>
                <w:p w14:paraId="651CE81D">
                  <w:pPr>
                    <w:pStyle w:val="35"/>
                    <w:keepNext w:val="0"/>
                    <w:keepLines w:val="0"/>
                    <w:widowControl/>
                    <w:suppressLineNumbers w:val="0"/>
                    <w:spacing w:before="0" w:beforeAutospacing="0" w:after="0" w:afterAutospacing="0"/>
                    <w:ind w:left="0" w:right="0"/>
                    <w:rPr>
                      <w:rFonts w:hint="default" w:eastAsiaTheme="minorEastAsia"/>
                      <w:b/>
                      <w:bCs/>
                      <w:i w:val="0"/>
                      <w:iCs/>
                      <w:color w:val="000000" w:themeColor="text1"/>
                      <w:szCs w:val="21"/>
                      <w14:textFill>
                        <w14:solidFill>
                          <w14:schemeClr w14:val="tx1"/>
                        </w14:solidFill>
                      </w14:textFill>
                    </w:rPr>
                  </w:pPr>
                  <w:r>
                    <w:rPr>
                      <w:rFonts w:hint="default" w:eastAsiaTheme="minorEastAsia"/>
                      <w:b/>
                      <w:bCs/>
                      <w:i w:val="0"/>
                      <w:iCs/>
                      <w:color w:val="000000" w:themeColor="text1"/>
                      <w:szCs w:val="21"/>
                      <w14:textFill>
                        <w14:solidFill>
                          <w14:schemeClr w14:val="tx1"/>
                        </w14:solidFill>
                      </w14:textFill>
                    </w:rPr>
                    <w:t>11.26</w:t>
                  </w:r>
                </w:p>
              </w:tc>
              <w:tc>
                <w:tcPr>
                  <w:tcW w:w="541" w:type="pct"/>
                  <w:vAlign w:val="center"/>
                </w:tcPr>
                <w:p w14:paraId="7CBA52DD">
                  <w:pPr>
                    <w:pStyle w:val="35"/>
                    <w:keepNext w:val="0"/>
                    <w:keepLines w:val="0"/>
                    <w:widowControl/>
                    <w:suppressLineNumbers w:val="0"/>
                    <w:spacing w:before="0" w:beforeAutospacing="0" w:after="0" w:afterAutospacing="0"/>
                    <w:ind w:left="0" w:right="0"/>
                    <w:rPr>
                      <w:rFonts w:hint="default" w:eastAsiaTheme="minorEastAsia"/>
                      <w:b/>
                      <w:bCs/>
                      <w:i w:val="0"/>
                      <w:iCs/>
                      <w:color w:val="000000" w:themeColor="text1"/>
                      <w:szCs w:val="21"/>
                      <w14:textFill>
                        <w14:solidFill>
                          <w14:schemeClr w14:val="tx1"/>
                        </w14:solidFill>
                      </w14:textFill>
                    </w:rPr>
                  </w:pPr>
                  <w:r>
                    <w:rPr>
                      <w:rFonts w:hint="default" w:eastAsiaTheme="minorEastAsia"/>
                      <w:b/>
                      <w:bCs/>
                      <w:i w:val="0"/>
                      <w:iCs/>
                      <w:color w:val="000000" w:themeColor="text1"/>
                      <w:szCs w:val="21"/>
                      <w14:textFill>
                        <w14:solidFill>
                          <w14:schemeClr w14:val="tx1"/>
                        </w14:solidFill>
                      </w14:textFill>
                    </w:rPr>
                    <w:t>11.25</w:t>
                  </w:r>
                </w:p>
              </w:tc>
              <w:tc>
                <w:tcPr>
                  <w:tcW w:w="541" w:type="pct"/>
                  <w:vAlign w:val="center"/>
                </w:tcPr>
                <w:p w14:paraId="75274122">
                  <w:pPr>
                    <w:pStyle w:val="35"/>
                    <w:keepNext w:val="0"/>
                    <w:keepLines w:val="0"/>
                    <w:widowControl/>
                    <w:suppressLineNumbers w:val="0"/>
                    <w:spacing w:before="0" w:beforeAutospacing="0" w:after="0" w:afterAutospacing="0"/>
                    <w:ind w:left="0" w:right="0"/>
                    <w:rPr>
                      <w:rFonts w:hint="default" w:eastAsiaTheme="minorEastAsia"/>
                      <w:b/>
                      <w:bCs/>
                      <w:i w:val="0"/>
                      <w:iCs/>
                      <w:color w:val="000000" w:themeColor="text1"/>
                      <w:szCs w:val="21"/>
                      <w14:textFill>
                        <w14:solidFill>
                          <w14:schemeClr w14:val="tx1"/>
                        </w14:solidFill>
                      </w14:textFill>
                    </w:rPr>
                  </w:pPr>
                  <w:r>
                    <w:rPr>
                      <w:rFonts w:hint="default" w:eastAsiaTheme="minorEastAsia"/>
                      <w:b/>
                      <w:bCs/>
                      <w:i w:val="0"/>
                      <w:iCs/>
                      <w:color w:val="000000" w:themeColor="text1"/>
                      <w:szCs w:val="21"/>
                      <w14:textFill>
                        <w14:solidFill>
                          <w14:schemeClr w14:val="tx1"/>
                        </w14:solidFill>
                      </w14:textFill>
                    </w:rPr>
                    <w:t>11.26</w:t>
                  </w:r>
                </w:p>
              </w:tc>
              <w:tc>
                <w:tcPr>
                  <w:tcW w:w="541" w:type="pct"/>
                  <w:vAlign w:val="center"/>
                </w:tcPr>
                <w:p w14:paraId="0EB3F0B4">
                  <w:pPr>
                    <w:pStyle w:val="35"/>
                    <w:keepNext w:val="0"/>
                    <w:keepLines w:val="0"/>
                    <w:widowControl/>
                    <w:suppressLineNumbers w:val="0"/>
                    <w:spacing w:before="0" w:beforeAutospacing="0" w:after="0" w:afterAutospacing="0"/>
                    <w:ind w:left="0" w:leftChars="0" w:right="0" w:rightChars="0"/>
                    <w:rPr>
                      <w:rFonts w:hint="default" w:eastAsiaTheme="minorEastAsia"/>
                      <w:b/>
                      <w:bCs/>
                      <w:i w:val="0"/>
                      <w:iCs/>
                      <w:color w:val="000000" w:themeColor="text1"/>
                      <w:szCs w:val="21"/>
                      <w14:textFill>
                        <w14:solidFill>
                          <w14:schemeClr w14:val="tx1"/>
                        </w14:solidFill>
                      </w14:textFill>
                    </w:rPr>
                  </w:pPr>
                  <w:r>
                    <w:rPr>
                      <w:rFonts w:hint="default" w:eastAsiaTheme="minorEastAsia"/>
                      <w:b/>
                      <w:bCs/>
                      <w:i w:val="0"/>
                      <w:iCs/>
                      <w:color w:val="000000" w:themeColor="text1"/>
                      <w:szCs w:val="21"/>
                      <w14:textFill>
                        <w14:solidFill>
                          <w14:schemeClr w14:val="tx1"/>
                        </w14:solidFill>
                      </w14:textFill>
                    </w:rPr>
                    <w:t>11.25</w:t>
                  </w:r>
                </w:p>
              </w:tc>
              <w:tc>
                <w:tcPr>
                  <w:tcW w:w="541" w:type="pct"/>
                  <w:vAlign w:val="center"/>
                </w:tcPr>
                <w:p w14:paraId="777FD69A">
                  <w:pPr>
                    <w:pStyle w:val="35"/>
                    <w:keepNext w:val="0"/>
                    <w:keepLines w:val="0"/>
                    <w:widowControl/>
                    <w:suppressLineNumbers w:val="0"/>
                    <w:spacing w:before="0" w:beforeAutospacing="0" w:after="0" w:afterAutospacing="0"/>
                    <w:ind w:left="0" w:leftChars="0" w:right="0" w:rightChars="0"/>
                    <w:rPr>
                      <w:rFonts w:hint="default" w:eastAsiaTheme="minorEastAsia"/>
                      <w:b/>
                      <w:bCs/>
                      <w:i w:val="0"/>
                      <w:iCs/>
                      <w:color w:val="000000" w:themeColor="text1"/>
                      <w:szCs w:val="21"/>
                      <w14:textFill>
                        <w14:solidFill>
                          <w14:schemeClr w14:val="tx1"/>
                        </w14:solidFill>
                      </w14:textFill>
                    </w:rPr>
                  </w:pPr>
                  <w:r>
                    <w:rPr>
                      <w:rFonts w:hint="default" w:eastAsiaTheme="minorEastAsia"/>
                      <w:b/>
                      <w:bCs/>
                      <w:i w:val="0"/>
                      <w:iCs/>
                      <w:color w:val="000000" w:themeColor="text1"/>
                      <w:szCs w:val="21"/>
                      <w14:textFill>
                        <w14:solidFill>
                          <w14:schemeClr w14:val="tx1"/>
                        </w14:solidFill>
                      </w14:textFill>
                    </w:rPr>
                    <w:t>11.26</w:t>
                  </w:r>
                </w:p>
              </w:tc>
              <w:tc>
                <w:tcPr>
                  <w:tcW w:w="497" w:type="pct"/>
                  <w:vMerge w:val="continue"/>
                  <w:vAlign w:val="center"/>
                </w:tcPr>
                <w:p w14:paraId="0FA87295">
                  <w:pPr>
                    <w:pStyle w:val="35"/>
                    <w:keepNext w:val="0"/>
                    <w:keepLines w:val="0"/>
                    <w:widowControl/>
                    <w:suppressLineNumbers w:val="0"/>
                    <w:spacing w:before="0" w:beforeAutospacing="0" w:after="0" w:afterAutospacing="0"/>
                    <w:ind w:left="0" w:right="0"/>
                    <w:rPr>
                      <w:rFonts w:hint="default" w:eastAsiaTheme="minorEastAsia"/>
                      <w:b/>
                      <w:bCs/>
                      <w:i w:val="0"/>
                      <w:iCs/>
                      <w:color w:val="000000" w:themeColor="text1"/>
                      <w:szCs w:val="21"/>
                      <w14:textFill>
                        <w14:solidFill>
                          <w14:schemeClr w14:val="tx1"/>
                        </w14:solidFill>
                      </w14:textFill>
                    </w:rPr>
                  </w:pPr>
                </w:p>
              </w:tc>
              <w:tc>
                <w:tcPr>
                  <w:tcW w:w="376" w:type="pct"/>
                  <w:vMerge w:val="continue"/>
                  <w:vAlign w:val="center"/>
                </w:tcPr>
                <w:p w14:paraId="1AE227F7">
                  <w:pPr>
                    <w:pStyle w:val="35"/>
                    <w:keepNext w:val="0"/>
                    <w:keepLines w:val="0"/>
                    <w:widowControl/>
                    <w:suppressLineNumbers w:val="0"/>
                    <w:spacing w:before="0" w:beforeAutospacing="0" w:after="0" w:afterAutospacing="0"/>
                    <w:ind w:left="0" w:right="0"/>
                    <w:rPr>
                      <w:rFonts w:hint="default" w:eastAsiaTheme="minorEastAsia"/>
                      <w:b/>
                      <w:bCs/>
                      <w:i w:val="0"/>
                      <w:iCs/>
                      <w:color w:val="000000" w:themeColor="text1"/>
                      <w:szCs w:val="21"/>
                      <w14:textFill>
                        <w14:solidFill>
                          <w14:schemeClr w14:val="tx1"/>
                        </w14:solidFill>
                      </w14:textFill>
                    </w:rPr>
                  </w:pPr>
                </w:p>
              </w:tc>
            </w:tr>
            <w:tr w14:paraId="66302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6452ACB4">
                  <w:pPr>
                    <w:keepNext w:val="0"/>
                    <w:keepLines w:val="0"/>
                    <w:suppressLineNumbers w:val="0"/>
                    <w:snapToGrid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pH（无量纲）</w:t>
                  </w:r>
                </w:p>
              </w:tc>
              <w:tc>
                <w:tcPr>
                  <w:tcW w:w="541" w:type="pct"/>
                  <w:vAlign w:val="center"/>
                </w:tcPr>
                <w:p w14:paraId="40096C86">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7.34</w:t>
                  </w:r>
                </w:p>
              </w:tc>
              <w:tc>
                <w:tcPr>
                  <w:tcW w:w="541" w:type="pct"/>
                  <w:vAlign w:val="center"/>
                </w:tcPr>
                <w:p w14:paraId="2CFEE4D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7.32</w:t>
                  </w:r>
                </w:p>
              </w:tc>
              <w:tc>
                <w:tcPr>
                  <w:tcW w:w="541" w:type="pct"/>
                  <w:vAlign w:val="center"/>
                </w:tcPr>
                <w:p w14:paraId="74D92A1A">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7.27</w:t>
                  </w:r>
                </w:p>
              </w:tc>
              <w:tc>
                <w:tcPr>
                  <w:tcW w:w="541" w:type="pct"/>
                  <w:vAlign w:val="center"/>
                </w:tcPr>
                <w:p w14:paraId="589A38A3">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7.28</w:t>
                  </w:r>
                </w:p>
              </w:tc>
              <w:tc>
                <w:tcPr>
                  <w:tcW w:w="541" w:type="pct"/>
                  <w:vAlign w:val="center"/>
                </w:tcPr>
                <w:p w14:paraId="63A85692">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7.25</w:t>
                  </w:r>
                </w:p>
              </w:tc>
              <w:tc>
                <w:tcPr>
                  <w:tcW w:w="541" w:type="pct"/>
                  <w:vAlign w:val="center"/>
                </w:tcPr>
                <w:p w14:paraId="35BA26B0">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7.27</w:t>
                  </w:r>
                </w:p>
              </w:tc>
              <w:tc>
                <w:tcPr>
                  <w:tcW w:w="497" w:type="pct"/>
                  <w:vAlign w:val="center"/>
                </w:tcPr>
                <w:p w14:paraId="26A27187">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6.5~8.5</w:t>
                  </w:r>
                </w:p>
              </w:tc>
              <w:tc>
                <w:tcPr>
                  <w:tcW w:w="376" w:type="pct"/>
                  <w:vAlign w:val="center"/>
                </w:tcPr>
                <w:p w14:paraId="74FEE2F2">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达标</w:t>
                  </w:r>
                </w:p>
              </w:tc>
            </w:tr>
            <w:tr w14:paraId="0F7B1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pct"/>
                  <w:vAlign w:val="center"/>
                </w:tcPr>
                <w:p w14:paraId="74B7664C">
                  <w:pPr>
                    <w:keepNext w:val="0"/>
                    <w:keepLines w:val="0"/>
                    <w:suppressLineNumbers w:val="0"/>
                    <w:snapToGrid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水温（</w:t>
                  </w:r>
                  <w:r>
                    <w:rPr>
                      <w:rFonts w:hint="eastAsia" w:ascii="宋体" w:hAnsi="宋体" w:eastAsia="宋体" w:cs="宋体"/>
                      <w:iCs/>
                      <w:color w:val="000000" w:themeColor="text1"/>
                      <w:szCs w:val="21"/>
                      <w14:textFill>
                        <w14:solidFill>
                          <w14:schemeClr w14:val="tx1"/>
                        </w14:solidFill>
                      </w14:textFill>
                    </w:rPr>
                    <w:t>℃</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04C3E07D">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20.4</w:t>
                  </w:r>
                </w:p>
              </w:tc>
              <w:tc>
                <w:tcPr>
                  <w:tcW w:w="541" w:type="pct"/>
                  <w:vAlign w:val="center"/>
                </w:tcPr>
                <w:p w14:paraId="0C20C0E5">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19.7</w:t>
                  </w:r>
                </w:p>
              </w:tc>
              <w:tc>
                <w:tcPr>
                  <w:tcW w:w="541" w:type="pct"/>
                  <w:vAlign w:val="center"/>
                </w:tcPr>
                <w:p w14:paraId="6B4106F6">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19.4</w:t>
                  </w:r>
                </w:p>
              </w:tc>
              <w:tc>
                <w:tcPr>
                  <w:tcW w:w="541" w:type="pct"/>
                  <w:vAlign w:val="center"/>
                </w:tcPr>
                <w:p w14:paraId="25BA682A">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19.9</w:t>
                  </w:r>
                </w:p>
              </w:tc>
              <w:tc>
                <w:tcPr>
                  <w:tcW w:w="541" w:type="pct"/>
                  <w:vAlign w:val="center"/>
                </w:tcPr>
                <w:p w14:paraId="6A8AA933">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21.7</w:t>
                  </w:r>
                </w:p>
              </w:tc>
              <w:tc>
                <w:tcPr>
                  <w:tcW w:w="541" w:type="pct"/>
                  <w:vAlign w:val="center"/>
                </w:tcPr>
                <w:p w14:paraId="678BFD58">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21.7</w:t>
                  </w:r>
                </w:p>
              </w:tc>
              <w:tc>
                <w:tcPr>
                  <w:tcW w:w="497" w:type="pct"/>
                  <w:vAlign w:val="center"/>
                </w:tcPr>
                <w:p w14:paraId="7CC30263">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w:t>
                  </w:r>
                </w:p>
              </w:tc>
              <w:tc>
                <w:tcPr>
                  <w:tcW w:w="376" w:type="pct"/>
                  <w:vAlign w:val="center"/>
                </w:tcPr>
                <w:p w14:paraId="1F6AAA9C">
                  <w:pPr>
                    <w:keepNext w:val="0"/>
                    <w:keepLines w:val="0"/>
                    <w:widowControl/>
                    <w:suppressLineNumbers w:val="0"/>
                    <w:wordWrap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w:t>
                  </w:r>
                </w:p>
              </w:tc>
            </w:tr>
            <w:tr w14:paraId="2C40F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475B8002">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Cl</w:t>
                  </w:r>
                  <w:r>
                    <w:rPr>
                      <w:rFonts w:hint="default" w:ascii="Times New Roman" w:hAnsi="Times New Roman" w:cs="Times New Roman"/>
                      <w:iCs/>
                      <w:color w:val="000000" w:themeColor="text1"/>
                      <w:szCs w:val="21"/>
                      <w:vertAlign w:val="superscript"/>
                      <w14:textFill>
                        <w14:solidFill>
                          <w14:schemeClr w14:val="tx1"/>
                        </w14:solidFill>
                      </w14:textFill>
                    </w:rPr>
                    <w:t>-</w:t>
                  </w:r>
                  <w:r>
                    <w:rPr>
                      <w:rFonts w:hint="default" w:ascii="Times New Roman" w:hAnsi="Times New Roman" w:cs="Times New Roman"/>
                      <w:iCs/>
                      <w:color w:val="000000" w:themeColor="text1"/>
                      <w:szCs w:val="21"/>
                      <w14:textFill>
                        <w14:solidFill>
                          <w14:schemeClr w14:val="tx1"/>
                        </w14:solidFill>
                      </w14:textFill>
                    </w:rPr>
                    <w:t>（</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6EF74A2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22.6</w:t>
                  </w:r>
                </w:p>
              </w:tc>
              <w:tc>
                <w:tcPr>
                  <w:tcW w:w="541" w:type="pct"/>
                  <w:vAlign w:val="center"/>
                </w:tcPr>
                <w:p w14:paraId="46D5E78A">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22.8</w:t>
                  </w:r>
                </w:p>
              </w:tc>
              <w:tc>
                <w:tcPr>
                  <w:tcW w:w="541" w:type="pct"/>
                  <w:vAlign w:val="center"/>
                </w:tcPr>
                <w:p w14:paraId="5EDD81D7">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62.2</w:t>
                  </w:r>
                </w:p>
              </w:tc>
              <w:tc>
                <w:tcPr>
                  <w:tcW w:w="541" w:type="pct"/>
                  <w:vAlign w:val="center"/>
                </w:tcPr>
                <w:p w14:paraId="09D760D5">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63.1</w:t>
                  </w:r>
                </w:p>
              </w:tc>
              <w:tc>
                <w:tcPr>
                  <w:tcW w:w="541" w:type="pct"/>
                  <w:vAlign w:val="center"/>
                </w:tcPr>
                <w:p w14:paraId="4D63B898">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4.10</w:t>
                  </w:r>
                </w:p>
              </w:tc>
              <w:tc>
                <w:tcPr>
                  <w:tcW w:w="541" w:type="pct"/>
                  <w:vAlign w:val="center"/>
                </w:tcPr>
                <w:p w14:paraId="6125EFDA">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4.22</w:t>
                  </w:r>
                </w:p>
              </w:tc>
              <w:tc>
                <w:tcPr>
                  <w:tcW w:w="497" w:type="pct"/>
                  <w:vAlign w:val="center"/>
                </w:tcPr>
                <w:p w14:paraId="31D3CBBE">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w:t>
                  </w:r>
                </w:p>
              </w:tc>
              <w:tc>
                <w:tcPr>
                  <w:tcW w:w="376" w:type="pct"/>
                  <w:vAlign w:val="center"/>
                </w:tcPr>
                <w:p w14:paraId="1C4741C3">
                  <w:pPr>
                    <w:keepNext w:val="0"/>
                    <w:keepLines w:val="0"/>
                    <w:widowControl/>
                    <w:suppressLineNumbers w:val="0"/>
                    <w:wordWrap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w:t>
                  </w:r>
                </w:p>
              </w:tc>
            </w:tr>
            <w:tr w14:paraId="582A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678FF115">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SO</w:t>
                  </w:r>
                  <w:r>
                    <w:rPr>
                      <w:rFonts w:hint="default" w:ascii="Times New Roman" w:hAnsi="Times New Roman" w:cs="Times New Roman"/>
                      <w:iCs/>
                      <w:color w:val="000000" w:themeColor="text1"/>
                      <w:szCs w:val="21"/>
                      <w:vertAlign w:val="subscript"/>
                      <w14:textFill>
                        <w14:solidFill>
                          <w14:schemeClr w14:val="tx1"/>
                        </w14:solidFill>
                      </w14:textFill>
                    </w:rPr>
                    <w:t>4</w:t>
                  </w:r>
                  <w:r>
                    <w:rPr>
                      <w:rFonts w:hint="default" w:ascii="Times New Roman" w:hAnsi="Times New Roman" w:cs="Times New Roman"/>
                      <w:iCs/>
                      <w:color w:val="000000" w:themeColor="text1"/>
                      <w:szCs w:val="21"/>
                      <w:vertAlign w:val="superscript"/>
                      <w14:textFill>
                        <w14:solidFill>
                          <w14:schemeClr w14:val="tx1"/>
                        </w14:solidFill>
                      </w14:textFill>
                    </w:rPr>
                    <w:t>2-</w:t>
                  </w:r>
                  <w:r>
                    <w:rPr>
                      <w:rFonts w:hint="default" w:ascii="Times New Roman" w:hAnsi="Times New Roman" w:cs="Times New Roman"/>
                      <w:iCs/>
                      <w:color w:val="000000" w:themeColor="text1"/>
                      <w:szCs w:val="21"/>
                      <w14:textFill>
                        <w14:solidFill>
                          <w14:schemeClr w14:val="tx1"/>
                        </w14:solidFill>
                      </w14:textFill>
                    </w:rPr>
                    <w:t>（</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1E5B747B">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32.6</w:t>
                  </w:r>
                </w:p>
              </w:tc>
              <w:tc>
                <w:tcPr>
                  <w:tcW w:w="541" w:type="pct"/>
                  <w:vAlign w:val="center"/>
                </w:tcPr>
                <w:p w14:paraId="15593C62">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33.0</w:t>
                  </w:r>
                </w:p>
              </w:tc>
              <w:tc>
                <w:tcPr>
                  <w:tcW w:w="541" w:type="pct"/>
                  <w:vAlign w:val="center"/>
                </w:tcPr>
                <w:p w14:paraId="75ADC5E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21.8</w:t>
                  </w:r>
                </w:p>
              </w:tc>
              <w:tc>
                <w:tcPr>
                  <w:tcW w:w="541" w:type="pct"/>
                  <w:vAlign w:val="center"/>
                </w:tcPr>
                <w:p w14:paraId="3DB46E60">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21.8</w:t>
                  </w:r>
                </w:p>
              </w:tc>
              <w:tc>
                <w:tcPr>
                  <w:tcW w:w="541" w:type="pct"/>
                  <w:vAlign w:val="center"/>
                </w:tcPr>
                <w:p w14:paraId="41CF7418">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2.09</w:t>
                  </w:r>
                </w:p>
              </w:tc>
              <w:tc>
                <w:tcPr>
                  <w:tcW w:w="541" w:type="pct"/>
                  <w:vAlign w:val="center"/>
                </w:tcPr>
                <w:p w14:paraId="0FFC24D2">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2.05</w:t>
                  </w:r>
                </w:p>
              </w:tc>
              <w:tc>
                <w:tcPr>
                  <w:tcW w:w="497" w:type="pct"/>
                  <w:vAlign w:val="center"/>
                </w:tcPr>
                <w:p w14:paraId="755D1D45">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w:t>
                  </w:r>
                </w:p>
              </w:tc>
              <w:tc>
                <w:tcPr>
                  <w:tcW w:w="376" w:type="pct"/>
                  <w:vAlign w:val="center"/>
                </w:tcPr>
                <w:p w14:paraId="06C6A3F4">
                  <w:pPr>
                    <w:keepNext w:val="0"/>
                    <w:keepLines w:val="0"/>
                    <w:widowControl/>
                    <w:suppressLineNumbers w:val="0"/>
                    <w:wordWrap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w:t>
                  </w:r>
                </w:p>
              </w:tc>
            </w:tr>
            <w:tr w14:paraId="0CE70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36537988">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CO</w:t>
                  </w:r>
                  <w:r>
                    <w:rPr>
                      <w:rFonts w:hint="default" w:ascii="Times New Roman" w:hAnsi="Times New Roman" w:cs="Times New Roman"/>
                      <w:iCs/>
                      <w:color w:val="000000" w:themeColor="text1"/>
                      <w:szCs w:val="21"/>
                      <w:vertAlign w:val="subscript"/>
                      <w14:textFill>
                        <w14:solidFill>
                          <w14:schemeClr w14:val="tx1"/>
                        </w14:solidFill>
                      </w14:textFill>
                    </w:rPr>
                    <w:t>3</w:t>
                  </w:r>
                  <w:r>
                    <w:rPr>
                      <w:rFonts w:hint="default" w:ascii="Times New Roman" w:hAnsi="Times New Roman" w:cs="Times New Roman"/>
                      <w:iCs/>
                      <w:color w:val="000000" w:themeColor="text1"/>
                      <w:szCs w:val="21"/>
                      <w:vertAlign w:val="superscript"/>
                      <w14:textFill>
                        <w14:solidFill>
                          <w14:schemeClr w14:val="tx1"/>
                        </w14:solidFill>
                      </w14:textFill>
                    </w:rPr>
                    <w:t>2-</w:t>
                  </w:r>
                  <w:r>
                    <w:rPr>
                      <w:rFonts w:hint="default" w:ascii="Times New Roman" w:hAnsi="Times New Roman" w:cs="Times New Roman"/>
                      <w:iCs/>
                      <w:color w:val="000000" w:themeColor="text1"/>
                      <w:szCs w:val="21"/>
                      <w14:textFill>
                        <w14:solidFill>
                          <w14:schemeClr w14:val="tx1"/>
                        </w14:solidFill>
                      </w14:textFill>
                    </w:rPr>
                    <w:t>（</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339C0AEE">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5L</w:t>
                  </w:r>
                </w:p>
              </w:tc>
              <w:tc>
                <w:tcPr>
                  <w:tcW w:w="541" w:type="pct"/>
                  <w:vAlign w:val="center"/>
                </w:tcPr>
                <w:p w14:paraId="545F1D04">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5L</w:t>
                  </w:r>
                </w:p>
              </w:tc>
              <w:tc>
                <w:tcPr>
                  <w:tcW w:w="541" w:type="pct"/>
                  <w:vAlign w:val="center"/>
                </w:tcPr>
                <w:p w14:paraId="0549498C">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5L</w:t>
                  </w:r>
                </w:p>
              </w:tc>
              <w:tc>
                <w:tcPr>
                  <w:tcW w:w="541" w:type="pct"/>
                  <w:vAlign w:val="center"/>
                </w:tcPr>
                <w:p w14:paraId="23AF0C13">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5L</w:t>
                  </w:r>
                </w:p>
              </w:tc>
              <w:tc>
                <w:tcPr>
                  <w:tcW w:w="541" w:type="pct"/>
                  <w:vAlign w:val="center"/>
                </w:tcPr>
                <w:p w14:paraId="4F4CD20A">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5L</w:t>
                  </w:r>
                </w:p>
              </w:tc>
              <w:tc>
                <w:tcPr>
                  <w:tcW w:w="541" w:type="pct"/>
                  <w:vAlign w:val="center"/>
                </w:tcPr>
                <w:p w14:paraId="76EECA88">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5L</w:t>
                  </w:r>
                </w:p>
              </w:tc>
              <w:tc>
                <w:tcPr>
                  <w:tcW w:w="497" w:type="pct"/>
                  <w:vAlign w:val="center"/>
                </w:tcPr>
                <w:p w14:paraId="4D2BE33D">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w:t>
                  </w:r>
                </w:p>
              </w:tc>
              <w:tc>
                <w:tcPr>
                  <w:tcW w:w="376" w:type="pct"/>
                  <w:vAlign w:val="center"/>
                </w:tcPr>
                <w:p w14:paraId="4BC4DAEC">
                  <w:pPr>
                    <w:keepNext w:val="0"/>
                    <w:keepLines w:val="0"/>
                    <w:widowControl/>
                    <w:suppressLineNumbers w:val="0"/>
                    <w:wordWrap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w:t>
                  </w:r>
                </w:p>
              </w:tc>
            </w:tr>
            <w:tr w14:paraId="3FB5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44BA6065">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HCO</w:t>
                  </w:r>
                  <w:r>
                    <w:rPr>
                      <w:rFonts w:hint="default" w:ascii="Times New Roman" w:hAnsi="Times New Roman" w:cs="Times New Roman"/>
                      <w:iCs/>
                      <w:color w:val="000000" w:themeColor="text1"/>
                      <w:szCs w:val="21"/>
                      <w:vertAlign w:val="superscript"/>
                      <w14:textFill>
                        <w14:solidFill>
                          <w14:schemeClr w14:val="tx1"/>
                        </w14:solidFill>
                      </w14:textFill>
                    </w:rPr>
                    <w:t>3-</w:t>
                  </w:r>
                  <w:r>
                    <w:rPr>
                      <w:rFonts w:hint="default" w:ascii="Times New Roman" w:hAnsi="Times New Roman" w:cs="Times New Roman"/>
                      <w:iCs/>
                      <w:color w:val="000000" w:themeColor="text1"/>
                      <w:szCs w:val="21"/>
                      <w14:textFill>
                        <w14:solidFill>
                          <w14:schemeClr w14:val="tx1"/>
                        </w14:solidFill>
                      </w14:textFill>
                    </w:rPr>
                    <w:t>（</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2CC3328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kern w:val="0"/>
                      <w:sz w:val="20"/>
                      <w:szCs w:val="20"/>
                      <w:lang w:bidi="ar"/>
                      <w14:textFill>
                        <w14:solidFill>
                          <w14:schemeClr w14:val="tx1"/>
                        </w14:solidFill>
                      </w14:textFill>
                    </w:rPr>
                    <w:t>269</w:t>
                  </w:r>
                </w:p>
              </w:tc>
              <w:tc>
                <w:tcPr>
                  <w:tcW w:w="541" w:type="pct"/>
                  <w:vAlign w:val="center"/>
                </w:tcPr>
                <w:p w14:paraId="424F9B0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kern w:val="0"/>
                      <w:sz w:val="20"/>
                      <w:szCs w:val="20"/>
                      <w:lang w:bidi="ar"/>
                      <w14:textFill>
                        <w14:solidFill>
                          <w14:schemeClr w14:val="tx1"/>
                        </w14:solidFill>
                      </w14:textFill>
                    </w:rPr>
                    <w:t>261</w:t>
                  </w:r>
                </w:p>
              </w:tc>
              <w:tc>
                <w:tcPr>
                  <w:tcW w:w="541" w:type="pct"/>
                  <w:vAlign w:val="center"/>
                </w:tcPr>
                <w:p w14:paraId="3E61BAC4">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303</w:t>
                  </w:r>
                </w:p>
              </w:tc>
              <w:tc>
                <w:tcPr>
                  <w:tcW w:w="541" w:type="pct"/>
                  <w:vAlign w:val="center"/>
                </w:tcPr>
                <w:p w14:paraId="05316DA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285</w:t>
                  </w:r>
                </w:p>
              </w:tc>
              <w:tc>
                <w:tcPr>
                  <w:tcW w:w="541" w:type="pct"/>
                  <w:vAlign w:val="center"/>
                </w:tcPr>
                <w:p w14:paraId="2721498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72</w:t>
                  </w:r>
                </w:p>
              </w:tc>
              <w:tc>
                <w:tcPr>
                  <w:tcW w:w="541" w:type="pct"/>
                  <w:vAlign w:val="center"/>
                </w:tcPr>
                <w:p w14:paraId="1E20C2E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69</w:t>
                  </w:r>
                </w:p>
              </w:tc>
              <w:tc>
                <w:tcPr>
                  <w:tcW w:w="497" w:type="pct"/>
                  <w:vAlign w:val="center"/>
                </w:tcPr>
                <w:p w14:paraId="5CDBFC2F">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w:t>
                  </w:r>
                </w:p>
              </w:tc>
              <w:tc>
                <w:tcPr>
                  <w:tcW w:w="376" w:type="pct"/>
                  <w:vAlign w:val="center"/>
                </w:tcPr>
                <w:p w14:paraId="127A3554">
                  <w:pPr>
                    <w:keepNext w:val="0"/>
                    <w:keepLines w:val="0"/>
                    <w:widowControl/>
                    <w:suppressLineNumbers w:val="0"/>
                    <w:wordWrap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w:t>
                  </w:r>
                </w:p>
              </w:tc>
            </w:tr>
            <w:tr w14:paraId="0EFBA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77" w:type="pct"/>
                  <w:vAlign w:val="center"/>
                </w:tcPr>
                <w:p w14:paraId="398272A4">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kern w:val="0"/>
                      <w:szCs w:val="21"/>
                      <w:lang w:bidi="ar"/>
                      <w14:textFill>
                        <w14:solidFill>
                          <w14:schemeClr w14:val="tx1"/>
                        </w14:solidFill>
                      </w14:textFill>
                    </w:rPr>
                    <w:t>K</w:t>
                  </w:r>
                  <w:r>
                    <w:rPr>
                      <w:rFonts w:hint="default" w:ascii="Times New Roman" w:hAnsi="Times New Roman" w:eastAsiaTheme="minorEastAsia"/>
                      <w:iCs/>
                      <w:color w:val="000000" w:themeColor="text1"/>
                      <w:kern w:val="0"/>
                      <w:szCs w:val="21"/>
                      <w:vertAlign w:val="superscript"/>
                      <w:lang w:bidi="ar"/>
                      <w14:textFill>
                        <w14:solidFill>
                          <w14:schemeClr w14:val="tx1"/>
                        </w14:solidFill>
                      </w14:textFill>
                    </w:rPr>
                    <w:t>+</w:t>
                  </w:r>
                  <w:r>
                    <w:rPr>
                      <w:rFonts w:hint="default" w:ascii="Times New Roman" w:hAnsi="Times New Roman" w:eastAsiaTheme="minorEastAsia"/>
                      <w:iCs/>
                      <w:color w:val="000000" w:themeColor="text1"/>
                      <w:szCs w:val="21"/>
                      <w14:textFill>
                        <w14:solidFill>
                          <w14:schemeClr w14:val="tx1"/>
                        </w14:solidFill>
                      </w14:textFill>
                    </w:rPr>
                    <w:t>（</w:t>
                  </w:r>
                  <w:r>
                    <w:rPr>
                      <w:rFonts w:hint="default" w:ascii="Times New Roman" w:hAnsi="Times New Roman" w:eastAsiaTheme="minorEastAsia"/>
                      <w:iCs/>
                      <w:color w:val="000000" w:themeColor="text1"/>
                      <w:kern w:val="0"/>
                      <w:szCs w:val="21"/>
                      <w:lang w:bidi="ar"/>
                      <w14:textFill>
                        <w14:solidFill>
                          <w14:schemeClr w14:val="tx1"/>
                        </w14:solidFill>
                      </w14:textFill>
                    </w:rPr>
                    <w:t>mg/L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6229530B">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1.23</w:t>
                  </w:r>
                </w:p>
              </w:tc>
              <w:tc>
                <w:tcPr>
                  <w:tcW w:w="541" w:type="pct"/>
                  <w:vAlign w:val="center"/>
                </w:tcPr>
                <w:p w14:paraId="20183572">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1.16</w:t>
                  </w:r>
                </w:p>
              </w:tc>
              <w:tc>
                <w:tcPr>
                  <w:tcW w:w="541" w:type="pct"/>
                  <w:vAlign w:val="center"/>
                </w:tcPr>
                <w:p w14:paraId="2C4EC877">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10.9</w:t>
                  </w:r>
                </w:p>
              </w:tc>
              <w:tc>
                <w:tcPr>
                  <w:tcW w:w="541" w:type="pct"/>
                  <w:vAlign w:val="center"/>
                </w:tcPr>
                <w:p w14:paraId="4B406BA7">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10.9</w:t>
                  </w:r>
                </w:p>
              </w:tc>
              <w:tc>
                <w:tcPr>
                  <w:tcW w:w="541" w:type="pct"/>
                  <w:vAlign w:val="center"/>
                </w:tcPr>
                <w:p w14:paraId="54363ECD">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2.23</w:t>
                  </w:r>
                </w:p>
              </w:tc>
              <w:tc>
                <w:tcPr>
                  <w:tcW w:w="541" w:type="pct"/>
                  <w:vAlign w:val="center"/>
                </w:tcPr>
                <w:p w14:paraId="4BAAB307">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2.25</w:t>
                  </w:r>
                </w:p>
              </w:tc>
              <w:tc>
                <w:tcPr>
                  <w:tcW w:w="497" w:type="pct"/>
                  <w:vAlign w:val="center"/>
                </w:tcPr>
                <w:p w14:paraId="1C7786EF">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w:t>
                  </w:r>
                </w:p>
              </w:tc>
              <w:tc>
                <w:tcPr>
                  <w:tcW w:w="376" w:type="pct"/>
                  <w:vAlign w:val="center"/>
                </w:tcPr>
                <w:p w14:paraId="1D5025E1">
                  <w:pPr>
                    <w:keepNext w:val="0"/>
                    <w:keepLines w:val="0"/>
                    <w:widowControl/>
                    <w:suppressLineNumbers w:val="0"/>
                    <w:wordWrap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w:t>
                  </w:r>
                </w:p>
              </w:tc>
            </w:tr>
            <w:tr w14:paraId="514D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70BEB51D">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kern w:val="0"/>
                      <w:szCs w:val="21"/>
                      <w:lang w:bidi="ar"/>
                      <w14:textFill>
                        <w14:solidFill>
                          <w14:schemeClr w14:val="tx1"/>
                        </w14:solidFill>
                      </w14:textFill>
                    </w:rPr>
                    <w:t>Na</w:t>
                  </w:r>
                  <w:r>
                    <w:rPr>
                      <w:rFonts w:hint="default" w:ascii="Times New Roman" w:hAnsi="Times New Roman" w:eastAsiaTheme="minorEastAsia"/>
                      <w:iCs/>
                      <w:color w:val="000000" w:themeColor="text1"/>
                      <w:kern w:val="0"/>
                      <w:szCs w:val="21"/>
                      <w:vertAlign w:val="superscript"/>
                      <w:lang w:bidi="ar"/>
                      <w14:textFill>
                        <w14:solidFill>
                          <w14:schemeClr w14:val="tx1"/>
                        </w14:solidFill>
                      </w14:textFill>
                    </w:rPr>
                    <w:t>+</w:t>
                  </w:r>
                  <w:r>
                    <w:rPr>
                      <w:rFonts w:hint="default" w:ascii="Times New Roman" w:hAnsi="Times New Roman" w:eastAsiaTheme="minorEastAsia"/>
                      <w:iCs/>
                      <w:color w:val="000000" w:themeColor="text1"/>
                      <w:szCs w:val="21"/>
                      <w14:textFill>
                        <w14:solidFill>
                          <w14:schemeClr w14:val="tx1"/>
                        </w14:solidFill>
                      </w14:textFill>
                    </w:rPr>
                    <w:t>（</w:t>
                  </w:r>
                  <w:r>
                    <w:rPr>
                      <w:rFonts w:hint="default" w:ascii="Times New Roman" w:hAnsi="Times New Roman" w:eastAsiaTheme="minorEastAsia"/>
                      <w:iCs/>
                      <w:color w:val="000000" w:themeColor="text1"/>
                      <w:kern w:val="0"/>
                      <w:szCs w:val="21"/>
                      <w:lang w:bidi="ar"/>
                      <w14:textFill>
                        <w14:solidFill>
                          <w14:schemeClr w14:val="tx1"/>
                        </w14:solidFill>
                      </w14:textFill>
                    </w:rPr>
                    <w:t>mg/L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16044F28">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9.70</w:t>
                  </w:r>
                </w:p>
              </w:tc>
              <w:tc>
                <w:tcPr>
                  <w:tcW w:w="541" w:type="pct"/>
                  <w:vAlign w:val="center"/>
                </w:tcPr>
                <w:p w14:paraId="6EBE5D8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9.67</w:t>
                  </w:r>
                </w:p>
              </w:tc>
              <w:tc>
                <w:tcPr>
                  <w:tcW w:w="541" w:type="pct"/>
                  <w:vAlign w:val="center"/>
                </w:tcPr>
                <w:p w14:paraId="67B8DF20">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28.8</w:t>
                  </w:r>
                </w:p>
              </w:tc>
              <w:tc>
                <w:tcPr>
                  <w:tcW w:w="541" w:type="pct"/>
                  <w:vAlign w:val="center"/>
                </w:tcPr>
                <w:p w14:paraId="5F5E1898">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26.8</w:t>
                  </w:r>
                </w:p>
              </w:tc>
              <w:tc>
                <w:tcPr>
                  <w:tcW w:w="541" w:type="pct"/>
                  <w:vAlign w:val="center"/>
                </w:tcPr>
                <w:p w14:paraId="2BD0CBF2">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1.71</w:t>
                  </w:r>
                </w:p>
              </w:tc>
              <w:tc>
                <w:tcPr>
                  <w:tcW w:w="541" w:type="pct"/>
                  <w:vAlign w:val="center"/>
                </w:tcPr>
                <w:p w14:paraId="0215CA85">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1.73</w:t>
                  </w:r>
                </w:p>
              </w:tc>
              <w:tc>
                <w:tcPr>
                  <w:tcW w:w="497" w:type="pct"/>
                  <w:vAlign w:val="center"/>
                </w:tcPr>
                <w:p w14:paraId="24B22EDC">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w:t>
                  </w:r>
                </w:p>
              </w:tc>
              <w:tc>
                <w:tcPr>
                  <w:tcW w:w="376" w:type="pct"/>
                  <w:vAlign w:val="center"/>
                </w:tcPr>
                <w:p w14:paraId="3ADD9DCF">
                  <w:pPr>
                    <w:keepNext w:val="0"/>
                    <w:keepLines w:val="0"/>
                    <w:widowControl/>
                    <w:suppressLineNumbers w:val="0"/>
                    <w:wordWrap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w:t>
                  </w:r>
                </w:p>
              </w:tc>
            </w:tr>
            <w:tr w14:paraId="38AD6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79CCF22B">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kern w:val="0"/>
                      <w:szCs w:val="21"/>
                      <w:lang w:bidi="ar"/>
                      <w14:textFill>
                        <w14:solidFill>
                          <w14:schemeClr w14:val="tx1"/>
                        </w14:solidFill>
                      </w14:textFill>
                    </w:rPr>
                    <w:t>Ca</w:t>
                  </w:r>
                  <w:r>
                    <w:rPr>
                      <w:rFonts w:hint="default" w:ascii="Times New Roman" w:hAnsi="Times New Roman" w:eastAsiaTheme="minorEastAsia"/>
                      <w:iCs/>
                      <w:color w:val="000000" w:themeColor="text1"/>
                      <w:kern w:val="0"/>
                      <w:szCs w:val="21"/>
                      <w:vertAlign w:val="superscript"/>
                      <w:lang w:bidi="ar"/>
                      <w14:textFill>
                        <w14:solidFill>
                          <w14:schemeClr w14:val="tx1"/>
                        </w14:solidFill>
                      </w14:textFill>
                    </w:rPr>
                    <w:t>2+</w:t>
                  </w:r>
                  <w:r>
                    <w:rPr>
                      <w:rFonts w:hint="default" w:ascii="Times New Roman" w:hAnsi="Times New Roman" w:eastAsiaTheme="minorEastAsia"/>
                      <w:iCs/>
                      <w:color w:val="000000" w:themeColor="text1"/>
                      <w:szCs w:val="21"/>
                      <w14:textFill>
                        <w14:solidFill>
                          <w14:schemeClr w14:val="tx1"/>
                        </w14:solidFill>
                      </w14:textFill>
                    </w:rPr>
                    <w:t>（</w:t>
                  </w:r>
                  <w:r>
                    <w:rPr>
                      <w:rFonts w:hint="default" w:ascii="Times New Roman" w:hAnsi="Times New Roman" w:eastAsiaTheme="minorEastAsia"/>
                      <w:iCs/>
                      <w:color w:val="000000" w:themeColor="text1"/>
                      <w:kern w:val="0"/>
                      <w:szCs w:val="21"/>
                      <w:lang w:bidi="ar"/>
                      <w14:textFill>
                        <w14:solidFill>
                          <w14:schemeClr w14:val="tx1"/>
                        </w14:solidFill>
                      </w14:textFill>
                    </w:rPr>
                    <w:t>mg/L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1BEEFD7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67.8</w:t>
                  </w:r>
                </w:p>
              </w:tc>
              <w:tc>
                <w:tcPr>
                  <w:tcW w:w="541" w:type="pct"/>
                  <w:vAlign w:val="center"/>
                </w:tcPr>
                <w:p w14:paraId="2AB09664">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65.6</w:t>
                  </w:r>
                </w:p>
              </w:tc>
              <w:tc>
                <w:tcPr>
                  <w:tcW w:w="541" w:type="pct"/>
                  <w:vAlign w:val="center"/>
                </w:tcPr>
                <w:p w14:paraId="7DD2E6D9">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89.8</w:t>
                  </w:r>
                </w:p>
              </w:tc>
              <w:tc>
                <w:tcPr>
                  <w:tcW w:w="541" w:type="pct"/>
                  <w:vAlign w:val="center"/>
                </w:tcPr>
                <w:p w14:paraId="422247AD">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89.8</w:t>
                  </w:r>
                </w:p>
              </w:tc>
              <w:tc>
                <w:tcPr>
                  <w:tcW w:w="541" w:type="pct"/>
                  <w:vAlign w:val="center"/>
                </w:tcPr>
                <w:p w14:paraId="6028F0D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16.0</w:t>
                  </w:r>
                </w:p>
              </w:tc>
              <w:tc>
                <w:tcPr>
                  <w:tcW w:w="541" w:type="pct"/>
                  <w:vAlign w:val="center"/>
                </w:tcPr>
                <w:p w14:paraId="18C06C1A">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16.1</w:t>
                  </w:r>
                </w:p>
              </w:tc>
              <w:tc>
                <w:tcPr>
                  <w:tcW w:w="497" w:type="pct"/>
                  <w:vAlign w:val="center"/>
                </w:tcPr>
                <w:p w14:paraId="335A5159">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w:t>
                  </w:r>
                </w:p>
              </w:tc>
              <w:tc>
                <w:tcPr>
                  <w:tcW w:w="376" w:type="pct"/>
                  <w:vAlign w:val="center"/>
                </w:tcPr>
                <w:p w14:paraId="6B8FB604">
                  <w:pPr>
                    <w:keepNext w:val="0"/>
                    <w:keepLines w:val="0"/>
                    <w:widowControl/>
                    <w:suppressLineNumbers w:val="0"/>
                    <w:wordWrap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w:t>
                  </w:r>
                </w:p>
              </w:tc>
            </w:tr>
            <w:tr w14:paraId="14C92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5ABB3BC8">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kern w:val="0"/>
                      <w:szCs w:val="21"/>
                      <w:lang w:bidi="ar"/>
                      <w14:textFill>
                        <w14:solidFill>
                          <w14:schemeClr w14:val="tx1"/>
                        </w14:solidFill>
                      </w14:textFill>
                    </w:rPr>
                    <w:t>Mg</w:t>
                  </w:r>
                  <w:r>
                    <w:rPr>
                      <w:rFonts w:hint="default" w:ascii="Times New Roman" w:hAnsi="Times New Roman" w:eastAsiaTheme="minorEastAsia"/>
                      <w:iCs/>
                      <w:color w:val="000000" w:themeColor="text1"/>
                      <w:kern w:val="0"/>
                      <w:szCs w:val="21"/>
                      <w:vertAlign w:val="superscript"/>
                      <w:lang w:bidi="ar"/>
                      <w14:textFill>
                        <w14:solidFill>
                          <w14:schemeClr w14:val="tx1"/>
                        </w14:solidFill>
                      </w14:textFill>
                    </w:rPr>
                    <w:t>2+</w:t>
                  </w:r>
                  <w:r>
                    <w:rPr>
                      <w:rFonts w:hint="default" w:ascii="Times New Roman" w:hAnsi="Times New Roman" w:eastAsiaTheme="minorEastAsia"/>
                      <w:iCs/>
                      <w:color w:val="000000" w:themeColor="text1"/>
                      <w:szCs w:val="21"/>
                      <w14:textFill>
                        <w14:solidFill>
                          <w14:schemeClr w14:val="tx1"/>
                        </w14:solidFill>
                      </w14:textFill>
                    </w:rPr>
                    <w:t>（</w:t>
                  </w:r>
                  <w:r>
                    <w:rPr>
                      <w:rFonts w:hint="default" w:ascii="Times New Roman" w:hAnsi="Times New Roman" w:eastAsiaTheme="minorEastAsia"/>
                      <w:iCs/>
                      <w:color w:val="000000" w:themeColor="text1"/>
                      <w:kern w:val="0"/>
                      <w:szCs w:val="21"/>
                      <w:lang w:bidi="ar"/>
                      <w14:textFill>
                        <w14:solidFill>
                          <w14:schemeClr w14:val="tx1"/>
                        </w14:solidFill>
                      </w14:textFill>
                    </w:rPr>
                    <w:t>mg/L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421D0242">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23.1</w:t>
                  </w:r>
                </w:p>
              </w:tc>
              <w:tc>
                <w:tcPr>
                  <w:tcW w:w="541" w:type="pct"/>
                  <w:vAlign w:val="center"/>
                </w:tcPr>
                <w:p w14:paraId="70C9CA1F">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23.1</w:t>
                  </w:r>
                </w:p>
              </w:tc>
              <w:tc>
                <w:tcPr>
                  <w:tcW w:w="541" w:type="pct"/>
                  <w:vAlign w:val="center"/>
                </w:tcPr>
                <w:p w14:paraId="4E8973FD">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14.3</w:t>
                  </w:r>
                </w:p>
              </w:tc>
              <w:tc>
                <w:tcPr>
                  <w:tcW w:w="541" w:type="pct"/>
                  <w:vAlign w:val="center"/>
                </w:tcPr>
                <w:p w14:paraId="6022E6E5">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14.3</w:t>
                  </w:r>
                </w:p>
              </w:tc>
              <w:tc>
                <w:tcPr>
                  <w:tcW w:w="541" w:type="pct"/>
                  <w:vAlign w:val="center"/>
                </w:tcPr>
                <w:p w14:paraId="2F6065A4">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4.52</w:t>
                  </w:r>
                </w:p>
              </w:tc>
              <w:tc>
                <w:tcPr>
                  <w:tcW w:w="541" w:type="pct"/>
                  <w:vAlign w:val="center"/>
                </w:tcPr>
                <w:p w14:paraId="220C4A2D">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4.53</w:t>
                  </w:r>
                </w:p>
              </w:tc>
              <w:tc>
                <w:tcPr>
                  <w:tcW w:w="497" w:type="pct"/>
                  <w:vAlign w:val="center"/>
                </w:tcPr>
                <w:p w14:paraId="47BA21B2">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w:t>
                  </w:r>
                </w:p>
              </w:tc>
              <w:tc>
                <w:tcPr>
                  <w:tcW w:w="376" w:type="pct"/>
                  <w:vAlign w:val="center"/>
                </w:tcPr>
                <w:p w14:paraId="7D1E21F3">
                  <w:pPr>
                    <w:keepNext w:val="0"/>
                    <w:keepLines w:val="0"/>
                    <w:widowControl/>
                    <w:suppressLineNumbers w:val="0"/>
                    <w:wordWrap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w:t>
                  </w:r>
                </w:p>
              </w:tc>
            </w:tr>
            <w:tr w14:paraId="071A0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4AE1D1EE">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kern w:val="0"/>
                      <w:szCs w:val="21"/>
                      <w:lang w:bidi="ar"/>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氨氮（</w:t>
                  </w:r>
                  <w:r>
                    <w:rPr>
                      <w:rFonts w:hint="default" w:ascii="Times New Roman" w:hAnsi="Times New Roman" w:eastAsiaTheme="minorEastAsia"/>
                      <w:iCs/>
                      <w:color w:val="000000" w:themeColor="text1"/>
                      <w:kern w:val="0"/>
                      <w:szCs w:val="21"/>
                      <w:lang w:bidi="ar"/>
                      <w14:textFill>
                        <w14:solidFill>
                          <w14:schemeClr w14:val="tx1"/>
                        </w14:solidFill>
                      </w14:textFill>
                    </w:rPr>
                    <w:t>mg/L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19363F42">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0.101</w:t>
                  </w:r>
                </w:p>
              </w:tc>
              <w:tc>
                <w:tcPr>
                  <w:tcW w:w="541" w:type="pct"/>
                  <w:vAlign w:val="center"/>
                </w:tcPr>
                <w:p w14:paraId="1831B604">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0.098</w:t>
                  </w:r>
                </w:p>
              </w:tc>
              <w:tc>
                <w:tcPr>
                  <w:tcW w:w="541" w:type="pct"/>
                  <w:vAlign w:val="center"/>
                </w:tcPr>
                <w:p w14:paraId="68B7C8C2">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0.078</w:t>
                  </w:r>
                </w:p>
              </w:tc>
              <w:tc>
                <w:tcPr>
                  <w:tcW w:w="541" w:type="pct"/>
                  <w:vAlign w:val="center"/>
                </w:tcPr>
                <w:p w14:paraId="76B00DE8">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0.083</w:t>
                  </w:r>
                </w:p>
              </w:tc>
              <w:tc>
                <w:tcPr>
                  <w:tcW w:w="541" w:type="pct"/>
                  <w:vAlign w:val="center"/>
                </w:tcPr>
                <w:p w14:paraId="701DEC9B">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0.035</w:t>
                  </w:r>
                </w:p>
              </w:tc>
              <w:tc>
                <w:tcPr>
                  <w:tcW w:w="541" w:type="pct"/>
                  <w:vAlign w:val="center"/>
                </w:tcPr>
                <w:p w14:paraId="7B4E089F">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0.043</w:t>
                  </w:r>
                </w:p>
              </w:tc>
              <w:tc>
                <w:tcPr>
                  <w:tcW w:w="497" w:type="pct"/>
                  <w:vAlign w:val="center"/>
                </w:tcPr>
                <w:p w14:paraId="52E9E75A">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0.5</w:t>
                  </w:r>
                </w:p>
              </w:tc>
              <w:tc>
                <w:tcPr>
                  <w:tcW w:w="376" w:type="pct"/>
                  <w:vAlign w:val="center"/>
                </w:tcPr>
                <w:p w14:paraId="2CD7A32B">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2F3A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6BB4C05A">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硝酸盐（</w:t>
                  </w:r>
                  <w:r>
                    <w:rPr>
                      <w:rFonts w:hint="default" w:ascii="Times New Roman" w:hAnsi="Times New Roman" w:eastAsiaTheme="minorEastAsia"/>
                      <w:iCs/>
                      <w:color w:val="000000" w:themeColor="text1"/>
                      <w:kern w:val="0"/>
                      <w:szCs w:val="21"/>
                      <w:lang w:bidi="ar"/>
                      <w14:textFill>
                        <w14:solidFill>
                          <w14:schemeClr w14:val="tx1"/>
                        </w14:solidFill>
                      </w14:textFill>
                    </w:rPr>
                    <w:t>mg/L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6D588678">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1.78</w:t>
                  </w:r>
                </w:p>
              </w:tc>
              <w:tc>
                <w:tcPr>
                  <w:tcW w:w="541" w:type="pct"/>
                  <w:vAlign w:val="center"/>
                </w:tcPr>
                <w:p w14:paraId="474C104E">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1.71</w:t>
                  </w:r>
                </w:p>
              </w:tc>
              <w:tc>
                <w:tcPr>
                  <w:tcW w:w="541" w:type="pct"/>
                  <w:vAlign w:val="center"/>
                </w:tcPr>
                <w:p w14:paraId="0A0D1C51">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1.20</w:t>
                  </w:r>
                </w:p>
              </w:tc>
              <w:tc>
                <w:tcPr>
                  <w:tcW w:w="541" w:type="pct"/>
                  <w:vAlign w:val="center"/>
                </w:tcPr>
                <w:p w14:paraId="6CEFE69B">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1.16</w:t>
                  </w:r>
                </w:p>
              </w:tc>
              <w:tc>
                <w:tcPr>
                  <w:tcW w:w="541" w:type="pct"/>
                  <w:vAlign w:val="center"/>
                </w:tcPr>
                <w:p w14:paraId="02F1E008">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0.488</w:t>
                  </w:r>
                </w:p>
              </w:tc>
              <w:tc>
                <w:tcPr>
                  <w:tcW w:w="541" w:type="pct"/>
                  <w:vAlign w:val="center"/>
                </w:tcPr>
                <w:p w14:paraId="7A373271">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0.496</w:t>
                  </w:r>
                </w:p>
              </w:tc>
              <w:tc>
                <w:tcPr>
                  <w:tcW w:w="497" w:type="pct"/>
                  <w:vAlign w:val="center"/>
                </w:tcPr>
                <w:p w14:paraId="72F5125D">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20</w:t>
                  </w:r>
                </w:p>
              </w:tc>
              <w:tc>
                <w:tcPr>
                  <w:tcW w:w="376" w:type="pct"/>
                  <w:vAlign w:val="center"/>
                </w:tcPr>
                <w:p w14:paraId="53CF23FD">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6CEEE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46CB9AE5">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亚硝酸盐（</w:t>
                  </w:r>
                  <w:r>
                    <w:rPr>
                      <w:rFonts w:hint="default" w:ascii="Times New Roman" w:hAnsi="Times New Roman" w:eastAsiaTheme="minorEastAsia"/>
                      <w:iCs/>
                      <w:color w:val="000000" w:themeColor="text1"/>
                      <w:kern w:val="0"/>
                      <w:szCs w:val="21"/>
                      <w:lang w:bidi="ar"/>
                      <w14:textFill>
                        <w14:solidFill>
                          <w14:schemeClr w14:val="tx1"/>
                        </w14:solidFill>
                      </w14:textFill>
                    </w:rPr>
                    <w:t>mg/L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71A9149E">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0.037</w:t>
                  </w:r>
                </w:p>
              </w:tc>
              <w:tc>
                <w:tcPr>
                  <w:tcW w:w="541" w:type="pct"/>
                  <w:vAlign w:val="center"/>
                </w:tcPr>
                <w:p w14:paraId="5F793FD9">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0.038</w:t>
                  </w:r>
                </w:p>
              </w:tc>
              <w:tc>
                <w:tcPr>
                  <w:tcW w:w="541" w:type="pct"/>
                  <w:vAlign w:val="center"/>
                </w:tcPr>
                <w:p w14:paraId="66D27CC5">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0.035</w:t>
                  </w:r>
                </w:p>
              </w:tc>
              <w:tc>
                <w:tcPr>
                  <w:tcW w:w="541" w:type="pct"/>
                  <w:vAlign w:val="center"/>
                </w:tcPr>
                <w:p w14:paraId="18D7CEAA">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0.037</w:t>
                  </w:r>
                </w:p>
              </w:tc>
              <w:tc>
                <w:tcPr>
                  <w:tcW w:w="541" w:type="pct"/>
                  <w:vAlign w:val="center"/>
                </w:tcPr>
                <w:p w14:paraId="44B4531B">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0.034</w:t>
                  </w:r>
                </w:p>
              </w:tc>
              <w:tc>
                <w:tcPr>
                  <w:tcW w:w="541" w:type="pct"/>
                  <w:vAlign w:val="center"/>
                </w:tcPr>
                <w:p w14:paraId="539F61EE">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0.033</w:t>
                  </w:r>
                </w:p>
              </w:tc>
              <w:tc>
                <w:tcPr>
                  <w:tcW w:w="497" w:type="pct"/>
                  <w:vAlign w:val="center"/>
                </w:tcPr>
                <w:p w14:paraId="16A3F5EB">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1.0</w:t>
                  </w:r>
                </w:p>
              </w:tc>
              <w:tc>
                <w:tcPr>
                  <w:tcW w:w="376" w:type="pct"/>
                  <w:vAlign w:val="center"/>
                </w:tcPr>
                <w:p w14:paraId="06CAA5FB">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26B3C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46D90BAC">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挥发性酚类（</w:t>
                  </w:r>
                  <w:r>
                    <w:rPr>
                      <w:rFonts w:hint="default" w:ascii="Times New Roman" w:hAnsi="Times New Roman" w:eastAsiaTheme="minorEastAsia"/>
                      <w:iCs/>
                      <w:color w:val="000000" w:themeColor="text1"/>
                      <w:kern w:val="0"/>
                      <w:szCs w:val="21"/>
                      <w:lang w:bidi="ar"/>
                      <w14:textFill>
                        <w14:solidFill>
                          <w14:schemeClr w14:val="tx1"/>
                        </w14:solidFill>
                      </w14:textFill>
                    </w:rPr>
                    <w:t>mg/L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77E6701B">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0.0003L</w:t>
                  </w:r>
                </w:p>
              </w:tc>
              <w:tc>
                <w:tcPr>
                  <w:tcW w:w="541" w:type="pct"/>
                  <w:vAlign w:val="center"/>
                </w:tcPr>
                <w:p w14:paraId="43AD4135">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0.0003L</w:t>
                  </w:r>
                </w:p>
              </w:tc>
              <w:tc>
                <w:tcPr>
                  <w:tcW w:w="541" w:type="pct"/>
                  <w:vAlign w:val="center"/>
                </w:tcPr>
                <w:p w14:paraId="1C88DCF8">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0.0003L</w:t>
                  </w:r>
                </w:p>
              </w:tc>
              <w:tc>
                <w:tcPr>
                  <w:tcW w:w="541" w:type="pct"/>
                  <w:vAlign w:val="center"/>
                </w:tcPr>
                <w:p w14:paraId="089EC774">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0.0003L</w:t>
                  </w:r>
                </w:p>
              </w:tc>
              <w:tc>
                <w:tcPr>
                  <w:tcW w:w="541" w:type="pct"/>
                  <w:vAlign w:val="center"/>
                </w:tcPr>
                <w:p w14:paraId="5DCE34B2">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0.0003L</w:t>
                  </w:r>
                </w:p>
              </w:tc>
              <w:tc>
                <w:tcPr>
                  <w:tcW w:w="541" w:type="pct"/>
                  <w:vAlign w:val="center"/>
                </w:tcPr>
                <w:p w14:paraId="198614AF">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0.0003L</w:t>
                  </w:r>
                </w:p>
              </w:tc>
              <w:tc>
                <w:tcPr>
                  <w:tcW w:w="497" w:type="pct"/>
                  <w:vAlign w:val="center"/>
                </w:tcPr>
                <w:p w14:paraId="4B850327">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0.002</w:t>
                  </w:r>
                </w:p>
              </w:tc>
              <w:tc>
                <w:tcPr>
                  <w:tcW w:w="376" w:type="pct"/>
                  <w:vAlign w:val="center"/>
                </w:tcPr>
                <w:p w14:paraId="10F6EEF3">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4D351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7E1D3D4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氰化物（</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29FCAE51">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0.004L</w:t>
                  </w:r>
                </w:p>
              </w:tc>
              <w:tc>
                <w:tcPr>
                  <w:tcW w:w="541" w:type="pct"/>
                  <w:vAlign w:val="center"/>
                </w:tcPr>
                <w:p w14:paraId="5A5896E1">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0.004L</w:t>
                  </w:r>
                </w:p>
              </w:tc>
              <w:tc>
                <w:tcPr>
                  <w:tcW w:w="541" w:type="pct"/>
                  <w:vAlign w:val="center"/>
                </w:tcPr>
                <w:p w14:paraId="380A0715">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0.004L</w:t>
                  </w:r>
                </w:p>
              </w:tc>
              <w:tc>
                <w:tcPr>
                  <w:tcW w:w="541" w:type="pct"/>
                  <w:vAlign w:val="center"/>
                </w:tcPr>
                <w:p w14:paraId="3D32FD2C">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0.004L</w:t>
                  </w:r>
                </w:p>
              </w:tc>
              <w:tc>
                <w:tcPr>
                  <w:tcW w:w="541" w:type="pct"/>
                  <w:vAlign w:val="center"/>
                </w:tcPr>
                <w:p w14:paraId="5ED031C9">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0.004L</w:t>
                  </w:r>
                </w:p>
              </w:tc>
              <w:tc>
                <w:tcPr>
                  <w:tcW w:w="541" w:type="pct"/>
                  <w:vAlign w:val="center"/>
                </w:tcPr>
                <w:p w14:paraId="3D7D0637">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0.004L</w:t>
                  </w:r>
                </w:p>
              </w:tc>
              <w:tc>
                <w:tcPr>
                  <w:tcW w:w="497" w:type="pct"/>
                  <w:vAlign w:val="center"/>
                </w:tcPr>
                <w:p w14:paraId="3C89C611">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0.05</w:t>
                  </w:r>
                </w:p>
              </w:tc>
              <w:tc>
                <w:tcPr>
                  <w:tcW w:w="376" w:type="pct"/>
                  <w:vAlign w:val="center"/>
                </w:tcPr>
                <w:p w14:paraId="375BAA3B">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67049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55FAE3F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砷（</w:t>
                  </w:r>
                  <w:r>
                    <w:rPr>
                      <w:rFonts w:hint="default" w:ascii="Times New Roman" w:hAnsi="Times New Roman" w:cs="Times New Roman"/>
                      <w:iCs/>
                      <w:color w:val="000000" w:themeColor="text1"/>
                      <w:kern w:val="0"/>
                      <w:szCs w:val="21"/>
                      <w:lang w:bidi="ar"/>
                      <w14:textFill>
                        <w14:solidFill>
                          <w14:schemeClr w14:val="tx1"/>
                        </w14:solidFill>
                      </w14:textFill>
                    </w:rPr>
                    <w:t>μg/L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5685A9FB">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0.3L</w:t>
                  </w:r>
                </w:p>
              </w:tc>
              <w:tc>
                <w:tcPr>
                  <w:tcW w:w="541" w:type="pct"/>
                  <w:vAlign w:val="center"/>
                </w:tcPr>
                <w:p w14:paraId="45234044">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0.3L</w:t>
                  </w:r>
                </w:p>
              </w:tc>
              <w:tc>
                <w:tcPr>
                  <w:tcW w:w="541" w:type="pct"/>
                  <w:vAlign w:val="center"/>
                </w:tcPr>
                <w:p w14:paraId="60B68E7F">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0.3L</w:t>
                  </w:r>
                </w:p>
              </w:tc>
              <w:tc>
                <w:tcPr>
                  <w:tcW w:w="541" w:type="pct"/>
                  <w:vAlign w:val="center"/>
                </w:tcPr>
                <w:p w14:paraId="5B0D72D0">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0.3L</w:t>
                  </w:r>
                </w:p>
              </w:tc>
              <w:tc>
                <w:tcPr>
                  <w:tcW w:w="541" w:type="pct"/>
                  <w:vAlign w:val="center"/>
                </w:tcPr>
                <w:p w14:paraId="10F25CEF">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0.3L</w:t>
                  </w:r>
                </w:p>
              </w:tc>
              <w:tc>
                <w:tcPr>
                  <w:tcW w:w="541" w:type="pct"/>
                  <w:vAlign w:val="center"/>
                </w:tcPr>
                <w:p w14:paraId="226B13F9">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0.3L</w:t>
                  </w:r>
                </w:p>
              </w:tc>
              <w:tc>
                <w:tcPr>
                  <w:tcW w:w="497" w:type="pct"/>
                  <w:vAlign w:val="center"/>
                </w:tcPr>
                <w:p w14:paraId="3F0111FB">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0.01</w:t>
                  </w:r>
                </w:p>
              </w:tc>
              <w:tc>
                <w:tcPr>
                  <w:tcW w:w="376" w:type="pct"/>
                  <w:vAlign w:val="center"/>
                </w:tcPr>
                <w:p w14:paraId="2CCF9925">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22522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21BEDD4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汞（</w:t>
                  </w:r>
                  <w:r>
                    <w:rPr>
                      <w:rFonts w:hint="default" w:ascii="Times New Roman" w:hAnsi="Times New Roman" w:cs="Times New Roman"/>
                      <w:iCs/>
                      <w:color w:val="000000" w:themeColor="text1"/>
                      <w:kern w:val="0"/>
                      <w:szCs w:val="21"/>
                      <w:lang w:bidi="ar"/>
                      <w14:textFill>
                        <w14:solidFill>
                          <w14:schemeClr w14:val="tx1"/>
                        </w14:solidFill>
                      </w14:textFill>
                    </w:rPr>
                    <w:t>μg/L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69F009F7">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0.04L</w:t>
                  </w:r>
                </w:p>
              </w:tc>
              <w:tc>
                <w:tcPr>
                  <w:tcW w:w="541" w:type="pct"/>
                  <w:vAlign w:val="center"/>
                </w:tcPr>
                <w:p w14:paraId="26CA1811">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0.04L</w:t>
                  </w:r>
                </w:p>
              </w:tc>
              <w:tc>
                <w:tcPr>
                  <w:tcW w:w="541" w:type="pct"/>
                  <w:vAlign w:val="center"/>
                </w:tcPr>
                <w:p w14:paraId="3E06FF33">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0.04L</w:t>
                  </w:r>
                </w:p>
              </w:tc>
              <w:tc>
                <w:tcPr>
                  <w:tcW w:w="541" w:type="pct"/>
                  <w:vAlign w:val="center"/>
                </w:tcPr>
                <w:p w14:paraId="535462BF">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0.04L</w:t>
                  </w:r>
                </w:p>
              </w:tc>
              <w:tc>
                <w:tcPr>
                  <w:tcW w:w="541" w:type="pct"/>
                  <w:vAlign w:val="center"/>
                </w:tcPr>
                <w:p w14:paraId="78FC50FB">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0.04L</w:t>
                  </w:r>
                </w:p>
              </w:tc>
              <w:tc>
                <w:tcPr>
                  <w:tcW w:w="541" w:type="pct"/>
                  <w:vAlign w:val="center"/>
                </w:tcPr>
                <w:p w14:paraId="38729EC1">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0.04L</w:t>
                  </w:r>
                </w:p>
              </w:tc>
              <w:tc>
                <w:tcPr>
                  <w:tcW w:w="497" w:type="pct"/>
                  <w:vAlign w:val="center"/>
                </w:tcPr>
                <w:p w14:paraId="2E6FC6B7">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0.001</w:t>
                  </w:r>
                </w:p>
              </w:tc>
              <w:tc>
                <w:tcPr>
                  <w:tcW w:w="376" w:type="pct"/>
                  <w:vAlign w:val="center"/>
                </w:tcPr>
                <w:p w14:paraId="169AE35A">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4850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212884F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六价铬（</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75FFF748">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0.004L</w:t>
                  </w:r>
                </w:p>
              </w:tc>
              <w:tc>
                <w:tcPr>
                  <w:tcW w:w="541" w:type="pct"/>
                  <w:vAlign w:val="center"/>
                </w:tcPr>
                <w:p w14:paraId="795BD594">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0.004L</w:t>
                  </w:r>
                </w:p>
              </w:tc>
              <w:tc>
                <w:tcPr>
                  <w:tcW w:w="541" w:type="pct"/>
                  <w:vAlign w:val="center"/>
                </w:tcPr>
                <w:p w14:paraId="52546F04">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0.004L</w:t>
                  </w:r>
                </w:p>
              </w:tc>
              <w:tc>
                <w:tcPr>
                  <w:tcW w:w="541" w:type="pct"/>
                  <w:vAlign w:val="center"/>
                </w:tcPr>
                <w:p w14:paraId="7E8B8BB7">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0.004L</w:t>
                  </w:r>
                </w:p>
              </w:tc>
              <w:tc>
                <w:tcPr>
                  <w:tcW w:w="541" w:type="pct"/>
                  <w:vAlign w:val="center"/>
                </w:tcPr>
                <w:p w14:paraId="794638F8">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0.004L</w:t>
                  </w:r>
                </w:p>
              </w:tc>
              <w:tc>
                <w:tcPr>
                  <w:tcW w:w="541" w:type="pct"/>
                  <w:vAlign w:val="center"/>
                </w:tcPr>
                <w:p w14:paraId="418CD5AF">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0.004L</w:t>
                  </w:r>
                </w:p>
              </w:tc>
              <w:tc>
                <w:tcPr>
                  <w:tcW w:w="497" w:type="pct"/>
                  <w:vAlign w:val="center"/>
                </w:tcPr>
                <w:p w14:paraId="37B55B09">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0.05</w:t>
                  </w:r>
                </w:p>
              </w:tc>
              <w:tc>
                <w:tcPr>
                  <w:tcW w:w="376" w:type="pct"/>
                  <w:vAlign w:val="center"/>
                </w:tcPr>
                <w:p w14:paraId="19E4C7C2">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54ED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57CB66EF">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总硬度（</w:t>
                  </w:r>
                  <w:r>
                    <w:rPr>
                      <w:rFonts w:hint="default" w:ascii="Times New Roman" w:hAnsi="Times New Roman" w:eastAsiaTheme="minorEastAsia"/>
                      <w:iCs/>
                      <w:color w:val="000000" w:themeColor="text1"/>
                      <w:kern w:val="0"/>
                      <w:szCs w:val="21"/>
                      <w:lang w:bidi="ar"/>
                      <w14:textFill>
                        <w14:solidFill>
                          <w14:schemeClr w14:val="tx1"/>
                        </w14:solidFill>
                      </w14:textFill>
                    </w:rPr>
                    <w:t>mg/L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14AE46F3">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276</w:t>
                  </w:r>
                </w:p>
              </w:tc>
              <w:tc>
                <w:tcPr>
                  <w:tcW w:w="541" w:type="pct"/>
                  <w:vAlign w:val="center"/>
                </w:tcPr>
                <w:p w14:paraId="1D49DA03">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271</w:t>
                  </w:r>
                </w:p>
              </w:tc>
              <w:tc>
                <w:tcPr>
                  <w:tcW w:w="541" w:type="pct"/>
                  <w:vAlign w:val="center"/>
                </w:tcPr>
                <w:p w14:paraId="33DBC277">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294</w:t>
                  </w:r>
                </w:p>
              </w:tc>
              <w:tc>
                <w:tcPr>
                  <w:tcW w:w="541" w:type="pct"/>
                  <w:vAlign w:val="center"/>
                </w:tcPr>
                <w:p w14:paraId="44C65753">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298</w:t>
                  </w:r>
                </w:p>
              </w:tc>
              <w:tc>
                <w:tcPr>
                  <w:tcW w:w="541" w:type="pct"/>
                  <w:vAlign w:val="center"/>
                </w:tcPr>
                <w:p w14:paraId="57989FCF">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61</w:t>
                  </w:r>
                </w:p>
              </w:tc>
              <w:tc>
                <w:tcPr>
                  <w:tcW w:w="541" w:type="pct"/>
                  <w:vAlign w:val="center"/>
                </w:tcPr>
                <w:p w14:paraId="4032E6B7">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62</w:t>
                  </w:r>
                </w:p>
              </w:tc>
              <w:tc>
                <w:tcPr>
                  <w:tcW w:w="497" w:type="pct"/>
                  <w:vAlign w:val="center"/>
                </w:tcPr>
                <w:p w14:paraId="4767179B">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450</w:t>
                  </w:r>
                </w:p>
              </w:tc>
              <w:tc>
                <w:tcPr>
                  <w:tcW w:w="376" w:type="pct"/>
                  <w:vAlign w:val="center"/>
                </w:tcPr>
                <w:p w14:paraId="3AD5C81C">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40B50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0BF6F5D5">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铅（</w:t>
                  </w:r>
                  <w:r>
                    <w:rPr>
                      <w:rFonts w:hint="default" w:ascii="Times New Roman" w:hAnsi="Times New Roman" w:eastAsiaTheme="minorEastAsia"/>
                      <w:iCs/>
                      <w:color w:val="000000" w:themeColor="text1"/>
                      <w:kern w:val="0"/>
                      <w:szCs w:val="21"/>
                      <w:lang w:bidi="ar"/>
                      <w14:textFill>
                        <w14:solidFill>
                          <w14:schemeClr w14:val="tx1"/>
                        </w14:solidFill>
                      </w14:textFill>
                    </w:rPr>
                    <w:t>μg/L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479BE41F">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1.0L</w:t>
                  </w:r>
                </w:p>
              </w:tc>
              <w:tc>
                <w:tcPr>
                  <w:tcW w:w="541" w:type="pct"/>
                  <w:vAlign w:val="center"/>
                </w:tcPr>
                <w:p w14:paraId="3F560DF7">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1.0L</w:t>
                  </w:r>
                </w:p>
              </w:tc>
              <w:tc>
                <w:tcPr>
                  <w:tcW w:w="541" w:type="pct"/>
                  <w:vAlign w:val="center"/>
                </w:tcPr>
                <w:p w14:paraId="0488028E">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1.0L</w:t>
                  </w:r>
                </w:p>
              </w:tc>
              <w:tc>
                <w:tcPr>
                  <w:tcW w:w="541" w:type="pct"/>
                  <w:vAlign w:val="center"/>
                </w:tcPr>
                <w:p w14:paraId="0837C49B">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1.0L</w:t>
                  </w:r>
                </w:p>
              </w:tc>
              <w:tc>
                <w:tcPr>
                  <w:tcW w:w="541" w:type="pct"/>
                  <w:vAlign w:val="center"/>
                </w:tcPr>
                <w:p w14:paraId="336736CC">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1.0L</w:t>
                  </w:r>
                </w:p>
              </w:tc>
              <w:tc>
                <w:tcPr>
                  <w:tcW w:w="541" w:type="pct"/>
                  <w:vAlign w:val="center"/>
                </w:tcPr>
                <w:p w14:paraId="1F97C664">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1.0L</w:t>
                  </w:r>
                </w:p>
              </w:tc>
              <w:tc>
                <w:tcPr>
                  <w:tcW w:w="497" w:type="pct"/>
                  <w:vAlign w:val="center"/>
                </w:tcPr>
                <w:p w14:paraId="2B8EC5A1">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0.01</w:t>
                  </w:r>
                </w:p>
              </w:tc>
              <w:tc>
                <w:tcPr>
                  <w:tcW w:w="376" w:type="pct"/>
                  <w:vAlign w:val="center"/>
                </w:tcPr>
                <w:p w14:paraId="4C144690">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1D90E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63F31E78">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氟化物（</w:t>
                  </w:r>
                  <w:r>
                    <w:rPr>
                      <w:rFonts w:hint="default" w:ascii="Times New Roman" w:hAnsi="Times New Roman" w:eastAsiaTheme="minorEastAsia"/>
                      <w:iCs/>
                      <w:color w:val="000000" w:themeColor="text1"/>
                      <w:kern w:val="0"/>
                      <w:szCs w:val="21"/>
                      <w:lang w:bidi="ar"/>
                      <w14:textFill>
                        <w14:solidFill>
                          <w14:schemeClr w14:val="tx1"/>
                        </w14:solidFill>
                      </w14:textFill>
                    </w:rPr>
                    <w:t>mg/L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10D033D9">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0.11</w:t>
                  </w:r>
                </w:p>
              </w:tc>
              <w:tc>
                <w:tcPr>
                  <w:tcW w:w="541" w:type="pct"/>
                  <w:vAlign w:val="center"/>
                </w:tcPr>
                <w:p w14:paraId="42FC4AC8">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0.09</w:t>
                  </w:r>
                </w:p>
              </w:tc>
              <w:tc>
                <w:tcPr>
                  <w:tcW w:w="541" w:type="pct"/>
                  <w:vAlign w:val="center"/>
                </w:tcPr>
                <w:p w14:paraId="5AE7FBD1">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0.08</w:t>
                  </w:r>
                </w:p>
              </w:tc>
              <w:tc>
                <w:tcPr>
                  <w:tcW w:w="541" w:type="pct"/>
                  <w:vAlign w:val="center"/>
                </w:tcPr>
                <w:p w14:paraId="1A56F1F2">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0.10</w:t>
                  </w:r>
                </w:p>
              </w:tc>
              <w:tc>
                <w:tcPr>
                  <w:tcW w:w="541" w:type="pct"/>
                  <w:vAlign w:val="center"/>
                </w:tcPr>
                <w:p w14:paraId="168BB1BF">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0.09</w:t>
                  </w:r>
                </w:p>
              </w:tc>
              <w:tc>
                <w:tcPr>
                  <w:tcW w:w="541" w:type="pct"/>
                  <w:vAlign w:val="center"/>
                </w:tcPr>
                <w:p w14:paraId="5E5A20F3">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0.09</w:t>
                  </w:r>
                </w:p>
              </w:tc>
              <w:tc>
                <w:tcPr>
                  <w:tcW w:w="497" w:type="pct"/>
                  <w:vAlign w:val="center"/>
                </w:tcPr>
                <w:p w14:paraId="3549AE3F">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1.0</w:t>
                  </w:r>
                </w:p>
              </w:tc>
              <w:tc>
                <w:tcPr>
                  <w:tcW w:w="376" w:type="pct"/>
                  <w:vAlign w:val="center"/>
                </w:tcPr>
                <w:p w14:paraId="7EE749AA">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0849C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5817205A">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镉（</w:t>
                  </w:r>
                  <w:r>
                    <w:rPr>
                      <w:rFonts w:hint="default" w:ascii="Times New Roman" w:hAnsi="Times New Roman" w:eastAsiaTheme="minorEastAsia"/>
                      <w:iCs/>
                      <w:color w:val="000000" w:themeColor="text1"/>
                      <w:kern w:val="0"/>
                      <w:szCs w:val="21"/>
                      <w:lang w:bidi="ar"/>
                      <w14:textFill>
                        <w14:solidFill>
                          <w14:schemeClr w14:val="tx1"/>
                        </w14:solidFill>
                      </w14:textFill>
                    </w:rPr>
                    <w:t>μg/L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4EBA3BF9">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0.1L</w:t>
                  </w:r>
                </w:p>
              </w:tc>
              <w:tc>
                <w:tcPr>
                  <w:tcW w:w="541" w:type="pct"/>
                  <w:vAlign w:val="center"/>
                </w:tcPr>
                <w:p w14:paraId="174D246B">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0.1L</w:t>
                  </w:r>
                </w:p>
              </w:tc>
              <w:tc>
                <w:tcPr>
                  <w:tcW w:w="541" w:type="pct"/>
                  <w:vAlign w:val="center"/>
                </w:tcPr>
                <w:p w14:paraId="1F36E84F">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0.1L</w:t>
                  </w:r>
                </w:p>
              </w:tc>
              <w:tc>
                <w:tcPr>
                  <w:tcW w:w="541" w:type="pct"/>
                  <w:vAlign w:val="center"/>
                </w:tcPr>
                <w:p w14:paraId="00AC4635">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0.1L</w:t>
                  </w:r>
                </w:p>
              </w:tc>
              <w:tc>
                <w:tcPr>
                  <w:tcW w:w="541" w:type="pct"/>
                  <w:vAlign w:val="center"/>
                </w:tcPr>
                <w:p w14:paraId="645C4950">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0.1L</w:t>
                  </w:r>
                </w:p>
              </w:tc>
              <w:tc>
                <w:tcPr>
                  <w:tcW w:w="541" w:type="pct"/>
                  <w:vAlign w:val="center"/>
                </w:tcPr>
                <w:p w14:paraId="435887FC">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0.1L</w:t>
                  </w:r>
                </w:p>
              </w:tc>
              <w:tc>
                <w:tcPr>
                  <w:tcW w:w="497" w:type="pct"/>
                  <w:vAlign w:val="center"/>
                </w:tcPr>
                <w:p w14:paraId="2BE13682">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0.005</w:t>
                  </w:r>
                </w:p>
              </w:tc>
              <w:tc>
                <w:tcPr>
                  <w:tcW w:w="376" w:type="pct"/>
                  <w:vAlign w:val="center"/>
                </w:tcPr>
                <w:p w14:paraId="2D5ECE15">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71D28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3CF79747">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铁（</w:t>
                  </w:r>
                  <w:r>
                    <w:rPr>
                      <w:rFonts w:hint="default" w:ascii="Times New Roman" w:hAnsi="Times New Roman" w:eastAsiaTheme="minorEastAsia"/>
                      <w:iCs/>
                      <w:color w:val="000000" w:themeColor="text1"/>
                      <w:kern w:val="0"/>
                      <w:szCs w:val="21"/>
                      <w:lang w:bidi="ar"/>
                      <w14:textFill>
                        <w14:solidFill>
                          <w14:schemeClr w14:val="tx1"/>
                        </w14:solidFill>
                      </w14:textFill>
                    </w:rPr>
                    <w:t>mg/L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32C9CF90">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0.03L</w:t>
                  </w:r>
                </w:p>
              </w:tc>
              <w:tc>
                <w:tcPr>
                  <w:tcW w:w="541" w:type="pct"/>
                  <w:vAlign w:val="center"/>
                </w:tcPr>
                <w:p w14:paraId="7D6C6976">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0.03L</w:t>
                  </w:r>
                </w:p>
              </w:tc>
              <w:tc>
                <w:tcPr>
                  <w:tcW w:w="541" w:type="pct"/>
                  <w:vAlign w:val="center"/>
                </w:tcPr>
                <w:p w14:paraId="6BC50ED6">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0.03L</w:t>
                  </w:r>
                </w:p>
              </w:tc>
              <w:tc>
                <w:tcPr>
                  <w:tcW w:w="541" w:type="pct"/>
                  <w:vAlign w:val="center"/>
                </w:tcPr>
                <w:p w14:paraId="42478334">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0.03L</w:t>
                  </w:r>
                </w:p>
              </w:tc>
              <w:tc>
                <w:tcPr>
                  <w:tcW w:w="541" w:type="pct"/>
                  <w:vAlign w:val="center"/>
                </w:tcPr>
                <w:p w14:paraId="4869D4B0">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0.03L</w:t>
                  </w:r>
                </w:p>
              </w:tc>
              <w:tc>
                <w:tcPr>
                  <w:tcW w:w="541" w:type="pct"/>
                  <w:vAlign w:val="center"/>
                </w:tcPr>
                <w:p w14:paraId="49DB95D7">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0.03L</w:t>
                  </w:r>
                </w:p>
              </w:tc>
              <w:tc>
                <w:tcPr>
                  <w:tcW w:w="497" w:type="pct"/>
                  <w:vAlign w:val="center"/>
                </w:tcPr>
                <w:p w14:paraId="689CD582">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0.3</w:t>
                  </w:r>
                </w:p>
              </w:tc>
              <w:tc>
                <w:tcPr>
                  <w:tcW w:w="376" w:type="pct"/>
                  <w:vAlign w:val="center"/>
                </w:tcPr>
                <w:p w14:paraId="60E29DF2">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0A214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0B59854F">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锰（</w:t>
                  </w:r>
                  <w:r>
                    <w:rPr>
                      <w:rFonts w:hint="default" w:ascii="Times New Roman" w:hAnsi="Times New Roman" w:eastAsiaTheme="minorEastAsia"/>
                      <w:iCs/>
                      <w:color w:val="000000" w:themeColor="text1"/>
                      <w:kern w:val="0"/>
                      <w:szCs w:val="21"/>
                      <w:lang w:bidi="ar"/>
                      <w14:textFill>
                        <w14:solidFill>
                          <w14:schemeClr w14:val="tx1"/>
                        </w14:solidFill>
                      </w14:textFill>
                    </w:rPr>
                    <w:t>mg/L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5E0AE40D">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0.01L</w:t>
                  </w:r>
                </w:p>
              </w:tc>
              <w:tc>
                <w:tcPr>
                  <w:tcW w:w="541" w:type="pct"/>
                  <w:vAlign w:val="center"/>
                </w:tcPr>
                <w:p w14:paraId="3B7E3990">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0.01L</w:t>
                  </w:r>
                </w:p>
              </w:tc>
              <w:tc>
                <w:tcPr>
                  <w:tcW w:w="541" w:type="pct"/>
                  <w:vAlign w:val="center"/>
                </w:tcPr>
                <w:p w14:paraId="7598B220">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0.01L</w:t>
                  </w:r>
                </w:p>
              </w:tc>
              <w:tc>
                <w:tcPr>
                  <w:tcW w:w="541" w:type="pct"/>
                  <w:vAlign w:val="center"/>
                </w:tcPr>
                <w:p w14:paraId="6FB4A090">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0.01L</w:t>
                  </w:r>
                </w:p>
              </w:tc>
              <w:tc>
                <w:tcPr>
                  <w:tcW w:w="541" w:type="pct"/>
                  <w:vAlign w:val="center"/>
                </w:tcPr>
                <w:p w14:paraId="3E7B869E">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0.01L</w:t>
                  </w:r>
                </w:p>
              </w:tc>
              <w:tc>
                <w:tcPr>
                  <w:tcW w:w="541" w:type="pct"/>
                  <w:vAlign w:val="center"/>
                </w:tcPr>
                <w:p w14:paraId="0D3E3237">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0.01L</w:t>
                  </w:r>
                </w:p>
              </w:tc>
              <w:tc>
                <w:tcPr>
                  <w:tcW w:w="497" w:type="pct"/>
                  <w:vAlign w:val="center"/>
                </w:tcPr>
                <w:p w14:paraId="2151241D">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0.10</w:t>
                  </w:r>
                </w:p>
              </w:tc>
              <w:tc>
                <w:tcPr>
                  <w:tcW w:w="376" w:type="pct"/>
                  <w:vAlign w:val="center"/>
                </w:tcPr>
                <w:p w14:paraId="1A192738">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712F4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630A1AE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kern w:val="0"/>
                      <w:szCs w:val="21"/>
                      <w14:textFill>
                        <w14:solidFill>
                          <w14:schemeClr w14:val="tx1"/>
                        </w14:solidFill>
                      </w14:textFill>
                    </w:rPr>
                    <w:t>铜</w:t>
                  </w:r>
                  <w:r>
                    <w:rPr>
                      <w:rFonts w:hint="default" w:ascii="Times New Roman" w:hAnsi="Times New Roman" w:cs="Times New Roman"/>
                      <w:iCs/>
                      <w:color w:val="000000" w:themeColor="text1"/>
                      <w:szCs w:val="21"/>
                      <w14:textFill>
                        <w14:solidFill>
                          <w14:schemeClr w14:val="tx1"/>
                        </w14:solidFill>
                      </w14:textFill>
                    </w:rPr>
                    <w:t>（</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0E4F4697">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0.05L</w:t>
                  </w:r>
                </w:p>
              </w:tc>
              <w:tc>
                <w:tcPr>
                  <w:tcW w:w="541" w:type="pct"/>
                  <w:vAlign w:val="center"/>
                </w:tcPr>
                <w:p w14:paraId="04F09FA6">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0.05L</w:t>
                  </w:r>
                </w:p>
              </w:tc>
              <w:tc>
                <w:tcPr>
                  <w:tcW w:w="541" w:type="pct"/>
                  <w:vAlign w:val="center"/>
                </w:tcPr>
                <w:p w14:paraId="64DCC849">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0.005L</w:t>
                  </w:r>
                </w:p>
              </w:tc>
              <w:tc>
                <w:tcPr>
                  <w:tcW w:w="541" w:type="pct"/>
                  <w:vAlign w:val="center"/>
                </w:tcPr>
                <w:p w14:paraId="4B20F3B4">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0.005L</w:t>
                  </w:r>
                </w:p>
              </w:tc>
              <w:tc>
                <w:tcPr>
                  <w:tcW w:w="541" w:type="pct"/>
                  <w:vAlign w:val="center"/>
                </w:tcPr>
                <w:p w14:paraId="1499C3EA">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0.005L</w:t>
                  </w:r>
                </w:p>
              </w:tc>
              <w:tc>
                <w:tcPr>
                  <w:tcW w:w="541" w:type="pct"/>
                  <w:vAlign w:val="center"/>
                </w:tcPr>
                <w:p w14:paraId="20E8EBC5">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0.005L</w:t>
                  </w:r>
                </w:p>
              </w:tc>
              <w:tc>
                <w:tcPr>
                  <w:tcW w:w="497" w:type="pct"/>
                  <w:vAlign w:val="center"/>
                </w:tcPr>
                <w:p w14:paraId="739026D9">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1.0</w:t>
                  </w:r>
                </w:p>
              </w:tc>
              <w:tc>
                <w:tcPr>
                  <w:tcW w:w="376" w:type="pct"/>
                  <w:vAlign w:val="center"/>
                </w:tcPr>
                <w:p w14:paraId="40D2FCA7">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1AF0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51271B5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kern w:val="0"/>
                      <w:szCs w:val="21"/>
                      <w14:textFill>
                        <w14:solidFill>
                          <w14:schemeClr w14:val="tx1"/>
                        </w14:solidFill>
                      </w14:textFill>
                    </w:rPr>
                    <w:t>锌</w:t>
                  </w:r>
                  <w:r>
                    <w:rPr>
                      <w:rFonts w:hint="default" w:ascii="Times New Roman" w:hAnsi="Times New Roman" w:cs="Times New Roman"/>
                      <w:iCs/>
                      <w:color w:val="000000" w:themeColor="text1"/>
                      <w:szCs w:val="21"/>
                      <w14:textFill>
                        <w14:solidFill>
                          <w14:schemeClr w14:val="tx1"/>
                        </w14:solidFill>
                      </w14:textFill>
                    </w:rPr>
                    <w:t>（</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3AE59CF3">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0.35</w:t>
                  </w:r>
                </w:p>
              </w:tc>
              <w:tc>
                <w:tcPr>
                  <w:tcW w:w="541" w:type="pct"/>
                  <w:vAlign w:val="center"/>
                </w:tcPr>
                <w:p w14:paraId="215574AE">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0.34</w:t>
                  </w:r>
                </w:p>
              </w:tc>
              <w:tc>
                <w:tcPr>
                  <w:tcW w:w="541" w:type="pct"/>
                  <w:vAlign w:val="center"/>
                </w:tcPr>
                <w:p w14:paraId="6661DDFB">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0.05L</w:t>
                  </w:r>
                </w:p>
              </w:tc>
              <w:tc>
                <w:tcPr>
                  <w:tcW w:w="541" w:type="pct"/>
                  <w:vAlign w:val="center"/>
                </w:tcPr>
                <w:p w14:paraId="0A811140">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0.05L</w:t>
                  </w:r>
                </w:p>
              </w:tc>
              <w:tc>
                <w:tcPr>
                  <w:tcW w:w="541" w:type="pct"/>
                  <w:vAlign w:val="center"/>
                </w:tcPr>
                <w:p w14:paraId="4864B26D">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0.05L</w:t>
                  </w:r>
                </w:p>
              </w:tc>
              <w:tc>
                <w:tcPr>
                  <w:tcW w:w="541" w:type="pct"/>
                  <w:vAlign w:val="center"/>
                </w:tcPr>
                <w:p w14:paraId="6B32B7F2">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0.05L</w:t>
                  </w:r>
                </w:p>
              </w:tc>
              <w:tc>
                <w:tcPr>
                  <w:tcW w:w="497" w:type="pct"/>
                  <w:vAlign w:val="center"/>
                </w:tcPr>
                <w:p w14:paraId="51184999">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1.0</w:t>
                  </w:r>
                </w:p>
              </w:tc>
              <w:tc>
                <w:tcPr>
                  <w:tcW w:w="376" w:type="pct"/>
                  <w:vAlign w:val="center"/>
                </w:tcPr>
                <w:p w14:paraId="4F8929B1">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66F7D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70A277DF">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溶解性总固体（</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7861A43D">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293</w:t>
                  </w:r>
                </w:p>
              </w:tc>
              <w:tc>
                <w:tcPr>
                  <w:tcW w:w="541" w:type="pct"/>
                  <w:vAlign w:val="center"/>
                </w:tcPr>
                <w:p w14:paraId="0ED70EBA">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301</w:t>
                  </w:r>
                </w:p>
              </w:tc>
              <w:tc>
                <w:tcPr>
                  <w:tcW w:w="541" w:type="pct"/>
                  <w:vAlign w:val="center"/>
                </w:tcPr>
                <w:p w14:paraId="5C04AA9B">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305</w:t>
                  </w:r>
                </w:p>
              </w:tc>
              <w:tc>
                <w:tcPr>
                  <w:tcW w:w="541" w:type="pct"/>
                  <w:vAlign w:val="center"/>
                </w:tcPr>
                <w:p w14:paraId="1F4801E8">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314</w:t>
                  </w:r>
                </w:p>
              </w:tc>
              <w:tc>
                <w:tcPr>
                  <w:tcW w:w="541" w:type="pct"/>
                  <w:vAlign w:val="center"/>
                </w:tcPr>
                <w:p w14:paraId="07B3C5E7">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121</w:t>
                  </w:r>
                </w:p>
              </w:tc>
              <w:tc>
                <w:tcPr>
                  <w:tcW w:w="541" w:type="pct"/>
                  <w:vAlign w:val="center"/>
                </w:tcPr>
                <w:p w14:paraId="7ACECDD3">
                  <w:pPr>
                    <w:pStyle w:val="108"/>
                    <w:keepNext w:val="0"/>
                    <w:keepLines w:val="0"/>
                    <w:suppressLineNumbers w:val="0"/>
                    <w:spacing w:before="0" w:beforeAutospacing="0" w:after="0" w:afterAutospacing="0" w:line="240" w:lineRule="exact"/>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231</w:t>
                  </w:r>
                </w:p>
              </w:tc>
              <w:tc>
                <w:tcPr>
                  <w:tcW w:w="497" w:type="pct"/>
                  <w:vAlign w:val="center"/>
                </w:tcPr>
                <w:p w14:paraId="30F45E34">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1000</w:t>
                  </w:r>
                </w:p>
              </w:tc>
              <w:tc>
                <w:tcPr>
                  <w:tcW w:w="376" w:type="pct"/>
                  <w:vAlign w:val="center"/>
                </w:tcPr>
                <w:p w14:paraId="3B5E3C89">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44212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39B00279">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耗氧量（</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14493B36">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1.5</w:t>
                  </w:r>
                </w:p>
              </w:tc>
              <w:tc>
                <w:tcPr>
                  <w:tcW w:w="541" w:type="pct"/>
                  <w:vAlign w:val="center"/>
                </w:tcPr>
                <w:p w14:paraId="0B57E642">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1.4</w:t>
                  </w:r>
                </w:p>
              </w:tc>
              <w:tc>
                <w:tcPr>
                  <w:tcW w:w="541" w:type="pct"/>
                  <w:vAlign w:val="center"/>
                </w:tcPr>
                <w:p w14:paraId="34473F04">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1.2</w:t>
                  </w:r>
                </w:p>
              </w:tc>
              <w:tc>
                <w:tcPr>
                  <w:tcW w:w="541" w:type="pct"/>
                  <w:vAlign w:val="center"/>
                </w:tcPr>
                <w:p w14:paraId="7D669D83">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1.0</w:t>
                  </w:r>
                </w:p>
              </w:tc>
              <w:tc>
                <w:tcPr>
                  <w:tcW w:w="541" w:type="pct"/>
                  <w:vAlign w:val="center"/>
                </w:tcPr>
                <w:p w14:paraId="72C85E73">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1.6</w:t>
                  </w:r>
                </w:p>
              </w:tc>
              <w:tc>
                <w:tcPr>
                  <w:tcW w:w="541" w:type="pct"/>
                  <w:vAlign w:val="center"/>
                </w:tcPr>
                <w:p w14:paraId="4EB09B7A">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1.8</w:t>
                  </w:r>
                </w:p>
              </w:tc>
              <w:tc>
                <w:tcPr>
                  <w:tcW w:w="497" w:type="pct"/>
                  <w:vAlign w:val="center"/>
                </w:tcPr>
                <w:p w14:paraId="71E93DE6">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3.0</w:t>
                  </w:r>
                </w:p>
              </w:tc>
              <w:tc>
                <w:tcPr>
                  <w:tcW w:w="376" w:type="pct"/>
                  <w:vAlign w:val="center"/>
                </w:tcPr>
                <w:p w14:paraId="7B05CD67">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6A6A3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7569B2C6">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硫酸盐（</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6C4679D1">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40</w:t>
                  </w:r>
                </w:p>
              </w:tc>
              <w:tc>
                <w:tcPr>
                  <w:tcW w:w="541" w:type="pct"/>
                  <w:vAlign w:val="center"/>
                </w:tcPr>
                <w:p w14:paraId="3E4A770F">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38</w:t>
                  </w:r>
                </w:p>
              </w:tc>
              <w:tc>
                <w:tcPr>
                  <w:tcW w:w="541" w:type="pct"/>
                  <w:vAlign w:val="center"/>
                </w:tcPr>
                <w:p w14:paraId="12DA9D03">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28</w:t>
                  </w:r>
                </w:p>
              </w:tc>
              <w:tc>
                <w:tcPr>
                  <w:tcW w:w="541" w:type="pct"/>
                  <w:vAlign w:val="center"/>
                </w:tcPr>
                <w:p w14:paraId="6363886C">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29</w:t>
                  </w:r>
                </w:p>
              </w:tc>
              <w:tc>
                <w:tcPr>
                  <w:tcW w:w="541" w:type="pct"/>
                  <w:vAlign w:val="center"/>
                </w:tcPr>
                <w:p w14:paraId="748E12EB">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8L</w:t>
                  </w:r>
                </w:p>
              </w:tc>
              <w:tc>
                <w:tcPr>
                  <w:tcW w:w="541" w:type="pct"/>
                  <w:vAlign w:val="center"/>
                </w:tcPr>
                <w:p w14:paraId="1CD4DAC8">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8L</w:t>
                  </w:r>
                </w:p>
              </w:tc>
              <w:tc>
                <w:tcPr>
                  <w:tcW w:w="497" w:type="pct"/>
                  <w:vAlign w:val="center"/>
                </w:tcPr>
                <w:p w14:paraId="14EC1CCE">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250</w:t>
                  </w:r>
                </w:p>
              </w:tc>
              <w:tc>
                <w:tcPr>
                  <w:tcW w:w="376" w:type="pct"/>
                  <w:vAlign w:val="center"/>
                </w:tcPr>
                <w:p w14:paraId="2F193E1B">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1A67F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75F1910B">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氯化物（</w:t>
                  </w:r>
                  <w:r>
                    <w:rPr>
                      <w:rFonts w:hint="default" w:ascii="Times New Roman" w:hAnsi="Times New Roman" w:eastAsiaTheme="minorEastAsia"/>
                      <w:iCs/>
                      <w:color w:val="000000" w:themeColor="text1"/>
                      <w:kern w:val="0"/>
                      <w:szCs w:val="21"/>
                      <w:lang w:bidi="ar"/>
                      <w14:textFill>
                        <w14:solidFill>
                          <w14:schemeClr w14:val="tx1"/>
                        </w14:solidFill>
                      </w14:textFill>
                    </w:rPr>
                    <w:t>mg/L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4B30BFCC">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34.4</w:t>
                  </w:r>
                </w:p>
              </w:tc>
              <w:tc>
                <w:tcPr>
                  <w:tcW w:w="541" w:type="pct"/>
                  <w:vAlign w:val="center"/>
                </w:tcPr>
                <w:p w14:paraId="7F8538A6">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37.2</w:t>
                  </w:r>
                </w:p>
              </w:tc>
              <w:tc>
                <w:tcPr>
                  <w:tcW w:w="541" w:type="pct"/>
                  <w:vAlign w:val="center"/>
                </w:tcPr>
                <w:p w14:paraId="61087B98">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82.2</w:t>
                  </w:r>
                </w:p>
              </w:tc>
              <w:tc>
                <w:tcPr>
                  <w:tcW w:w="541" w:type="pct"/>
                  <w:vAlign w:val="center"/>
                </w:tcPr>
                <w:p w14:paraId="47A91A48">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87.8</w:t>
                  </w:r>
                </w:p>
              </w:tc>
              <w:tc>
                <w:tcPr>
                  <w:tcW w:w="541" w:type="pct"/>
                  <w:vAlign w:val="center"/>
                </w:tcPr>
                <w:p w14:paraId="2979C079">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10.2</w:t>
                  </w:r>
                </w:p>
              </w:tc>
              <w:tc>
                <w:tcPr>
                  <w:tcW w:w="541" w:type="pct"/>
                  <w:vAlign w:val="center"/>
                </w:tcPr>
                <w:p w14:paraId="5EE5DC9C">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13.1</w:t>
                  </w:r>
                </w:p>
              </w:tc>
              <w:tc>
                <w:tcPr>
                  <w:tcW w:w="497" w:type="pct"/>
                  <w:vAlign w:val="center"/>
                </w:tcPr>
                <w:p w14:paraId="5B858894">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250</w:t>
                  </w:r>
                </w:p>
              </w:tc>
              <w:tc>
                <w:tcPr>
                  <w:tcW w:w="376" w:type="pct"/>
                  <w:vAlign w:val="center"/>
                </w:tcPr>
                <w:p w14:paraId="357DB771">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657AD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32C92BB2">
                  <w:pPr>
                    <w:pStyle w:val="108"/>
                    <w:keepNext w:val="0"/>
                    <w:keepLines w:val="0"/>
                    <w:suppressLineNumbers w:val="0"/>
                    <w:spacing w:before="0" w:beforeAutospacing="0" w:after="0" w:afterAutospacing="0"/>
                    <w:ind w:left="0" w:right="0"/>
                    <w:rPr>
                      <w:rFonts w:hint="default" w:ascii="Times New Roman" w:hAnsi="Times New Roman" w:eastAsiaTheme="minorEastAsia"/>
                      <w:iCs/>
                      <w:color w:val="000000" w:themeColor="text1"/>
                      <w:szCs w:val="21"/>
                      <w14:textFill>
                        <w14:solidFill>
                          <w14:schemeClr w14:val="tx1"/>
                        </w14:solidFill>
                      </w14:textFill>
                    </w:rPr>
                  </w:pPr>
                  <w:r>
                    <w:rPr>
                      <w:rFonts w:hint="default" w:ascii="Times New Roman" w:hAnsi="Times New Roman" w:eastAsiaTheme="minorEastAsia"/>
                      <w:iCs/>
                      <w:color w:val="000000" w:themeColor="text1"/>
                      <w:szCs w:val="21"/>
                      <w14:textFill>
                        <w14:solidFill>
                          <w14:schemeClr w14:val="tx1"/>
                        </w14:solidFill>
                      </w14:textFill>
                    </w:rPr>
                    <w:t>总大肠菌群（</w:t>
                  </w:r>
                  <w:r>
                    <w:rPr>
                      <w:rFonts w:hint="default" w:ascii="Times New Roman" w:hAnsi="Times New Roman" w:eastAsiaTheme="minorEastAsia"/>
                      <w:iCs/>
                      <w:color w:val="000000" w:themeColor="text1"/>
                      <w:kern w:val="0"/>
                      <w:szCs w:val="21"/>
                      <w:lang w:bidi="ar"/>
                      <w14:textFill>
                        <w14:solidFill>
                          <w14:schemeClr w14:val="tx1"/>
                        </w14:solidFill>
                      </w14:textFill>
                    </w:rPr>
                    <w:t>MPN/100ml</w:t>
                  </w:r>
                  <w:r>
                    <w:rPr>
                      <w:rFonts w:hint="default" w:ascii="Times New Roman" w:hAnsi="Times New Roman" w:eastAsiaTheme="minorEastAsia"/>
                      <w:iCs/>
                      <w:color w:val="000000" w:themeColor="text1"/>
                      <w:szCs w:val="21"/>
                      <w14:textFill>
                        <w14:solidFill>
                          <w14:schemeClr w14:val="tx1"/>
                        </w14:solidFill>
                      </w14:textFill>
                    </w:rPr>
                    <w:t>）</w:t>
                  </w:r>
                </w:p>
              </w:tc>
              <w:tc>
                <w:tcPr>
                  <w:tcW w:w="541" w:type="pct"/>
                  <w:vAlign w:val="center"/>
                </w:tcPr>
                <w:p w14:paraId="3BAFA414">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2L</w:t>
                  </w:r>
                </w:p>
              </w:tc>
              <w:tc>
                <w:tcPr>
                  <w:tcW w:w="541" w:type="pct"/>
                  <w:vAlign w:val="center"/>
                </w:tcPr>
                <w:p w14:paraId="2C2537DC">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2L</w:t>
                  </w:r>
                </w:p>
              </w:tc>
              <w:tc>
                <w:tcPr>
                  <w:tcW w:w="541" w:type="pct"/>
                  <w:vAlign w:val="center"/>
                </w:tcPr>
                <w:p w14:paraId="5732FC56">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2L</w:t>
                  </w:r>
                </w:p>
              </w:tc>
              <w:tc>
                <w:tcPr>
                  <w:tcW w:w="541" w:type="pct"/>
                  <w:vAlign w:val="center"/>
                </w:tcPr>
                <w:p w14:paraId="4C8A2DAD">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2L</w:t>
                  </w:r>
                </w:p>
              </w:tc>
              <w:tc>
                <w:tcPr>
                  <w:tcW w:w="541" w:type="pct"/>
                  <w:vAlign w:val="center"/>
                </w:tcPr>
                <w:p w14:paraId="507F4FCB">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2L</w:t>
                  </w:r>
                </w:p>
              </w:tc>
              <w:tc>
                <w:tcPr>
                  <w:tcW w:w="541" w:type="pct"/>
                  <w:vAlign w:val="center"/>
                </w:tcPr>
                <w:p w14:paraId="2E8FB96C">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2L</w:t>
                  </w:r>
                </w:p>
              </w:tc>
              <w:tc>
                <w:tcPr>
                  <w:tcW w:w="497" w:type="pct"/>
                  <w:vAlign w:val="center"/>
                </w:tcPr>
                <w:p w14:paraId="28E481DB">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3.0</w:t>
                  </w:r>
                </w:p>
              </w:tc>
              <w:tc>
                <w:tcPr>
                  <w:tcW w:w="376" w:type="pct"/>
                  <w:vAlign w:val="center"/>
                </w:tcPr>
                <w:p w14:paraId="53D8B53D">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5F375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768DBD16">
                  <w:pPr>
                    <w:keepNext w:val="0"/>
                    <w:keepLines w:val="0"/>
                    <w:widowControl/>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细菌总数（个）</w:t>
                  </w:r>
                </w:p>
              </w:tc>
              <w:tc>
                <w:tcPr>
                  <w:tcW w:w="541" w:type="pct"/>
                  <w:vAlign w:val="center"/>
                </w:tcPr>
                <w:p w14:paraId="1B6D4C51">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24</w:t>
                  </w:r>
                </w:p>
              </w:tc>
              <w:tc>
                <w:tcPr>
                  <w:tcW w:w="541" w:type="pct"/>
                  <w:vAlign w:val="center"/>
                </w:tcPr>
                <w:p w14:paraId="364711CD">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26</w:t>
                  </w:r>
                </w:p>
              </w:tc>
              <w:tc>
                <w:tcPr>
                  <w:tcW w:w="541" w:type="pct"/>
                  <w:vAlign w:val="center"/>
                </w:tcPr>
                <w:p w14:paraId="5A01FB8D">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21</w:t>
                  </w:r>
                </w:p>
              </w:tc>
              <w:tc>
                <w:tcPr>
                  <w:tcW w:w="541" w:type="pct"/>
                  <w:vAlign w:val="center"/>
                </w:tcPr>
                <w:p w14:paraId="72C10284">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23</w:t>
                  </w:r>
                </w:p>
              </w:tc>
              <w:tc>
                <w:tcPr>
                  <w:tcW w:w="541" w:type="pct"/>
                  <w:vAlign w:val="center"/>
                </w:tcPr>
                <w:p w14:paraId="5F57E6B3">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25</w:t>
                  </w:r>
                </w:p>
              </w:tc>
              <w:tc>
                <w:tcPr>
                  <w:tcW w:w="541" w:type="pct"/>
                  <w:vAlign w:val="center"/>
                </w:tcPr>
                <w:p w14:paraId="2B302A1C">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29</w:t>
                  </w:r>
                </w:p>
              </w:tc>
              <w:tc>
                <w:tcPr>
                  <w:tcW w:w="497" w:type="pct"/>
                  <w:vAlign w:val="center"/>
                </w:tcPr>
                <w:p w14:paraId="16C098D8">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100</w:t>
                  </w:r>
                </w:p>
              </w:tc>
              <w:tc>
                <w:tcPr>
                  <w:tcW w:w="376" w:type="pct"/>
                  <w:vAlign w:val="center"/>
                </w:tcPr>
                <w:p w14:paraId="379C9653">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1665C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086611FF">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色度（倍）</w:t>
                  </w:r>
                </w:p>
              </w:tc>
              <w:tc>
                <w:tcPr>
                  <w:tcW w:w="541" w:type="pct"/>
                  <w:vAlign w:val="center"/>
                </w:tcPr>
                <w:p w14:paraId="07C833A6">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8</w:t>
                  </w:r>
                </w:p>
              </w:tc>
              <w:tc>
                <w:tcPr>
                  <w:tcW w:w="541" w:type="pct"/>
                  <w:vAlign w:val="center"/>
                </w:tcPr>
                <w:p w14:paraId="2056A1C9">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7</w:t>
                  </w:r>
                </w:p>
              </w:tc>
              <w:tc>
                <w:tcPr>
                  <w:tcW w:w="541" w:type="pct"/>
                  <w:vAlign w:val="center"/>
                </w:tcPr>
                <w:p w14:paraId="28568634">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9</w:t>
                  </w:r>
                </w:p>
              </w:tc>
              <w:tc>
                <w:tcPr>
                  <w:tcW w:w="541" w:type="pct"/>
                  <w:vAlign w:val="center"/>
                </w:tcPr>
                <w:p w14:paraId="7EFAB270">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8</w:t>
                  </w:r>
                </w:p>
              </w:tc>
              <w:tc>
                <w:tcPr>
                  <w:tcW w:w="541" w:type="pct"/>
                  <w:vAlign w:val="center"/>
                </w:tcPr>
                <w:p w14:paraId="0D8763B9">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10</w:t>
                  </w:r>
                </w:p>
              </w:tc>
              <w:tc>
                <w:tcPr>
                  <w:tcW w:w="541" w:type="pct"/>
                  <w:vAlign w:val="center"/>
                </w:tcPr>
                <w:p w14:paraId="0B71CD10">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9</w:t>
                  </w:r>
                </w:p>
              </w:tc>
              <w:tc>
                <w:tcPr>
                  <w:tcW w:w="497" w:type="pct"/>
                  <w:vAlign w:val="center"/>
                </w:tcPr>
                <w:p w14:paraId="687B7013">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15</w:t>
                  </w:r>
                </w:p>
              </w:tc>
              <w:tc>
                <w:tcPr>
                  <w:tcW w:w="376" w:type="pct"/>
                  <w:vAlign w:val="center"/>
                </w:tcPr>
                <w:p w14:paraId="1B81C248">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69A2A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4AC57D98">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浑浊度（</w:t>
                  </w:r>
                  <w:r>
                    <w:rPr>
                      <w:rFonts w:hint="default" w:ascii="Times New Roman" w:hAnsi="Times New Roman" w:cs="Times New Roman"/>
                      <w:iCs/>
                      <w:color w:val="000000" w:themeColor="text1"/>
                      <w:kern w:val="0"/>
                      <w:szCs w:val="21"/>
                      <w:lang w:bidi="ar"/>
                      <w14:textFill>
                        <w14:solidFill>
                          <w14:schemeClr w14:val="tx1"/>
                        </w14:solidFill>
                      </w14:textFill>
                    </w:rPr>
                    <w:t>NTU</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79A560DE">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3L</w:t>
                  </w:r>
                </w:p>
              </w:tc>
              <w:tc>
                <w:tcPr>
                  <w:tcW w:w="541" w:type="pct"/>
                  <w:vAlign w:val="center"/>
                </w:tcPr>
                <w:p w14:paraId="02E9BE11">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3L</w:t>
                  </w:r>
                </w:p>
              </w:tc>
              <w:tc>
                <w:tcPr>
                  <w:tcW w:w="541" w:type="pct"/>
                  <w:vAlign w:val="center"/>
                </w:tcPr>
                <w:p w14:paraId="598261F2">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3L</w:t>
                  </w:r>
                </w:p>
              </w:tc>
              <w:tc>
                <w:tcPr>
                  <w:tcW w:w="541" w:type="pct"/>
                  <w:vAlign w:val="center"/>
                </w:tcPr>
                <w:p w14:paraId="0C41EF77">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3L</w:t>
                  </w:r>
                </w:p>
              </w:tc>
              <w:tc>
                <w:tcPr>
                  <w:tcW w:w="541" w:type="pct"/>
                  <w:vAlign w:val="center"/>
                </w:tcPr>
                <w:p w14:paraId="3CC61940">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3L</w:t>
                  </w:r>
                </w:p>
              </w:tc>
              <w:tc>
                <w:tcPr>
                  <w:tcW w:w="541" w:type="pct"/>
                  <w:vAlign w:val="center"/>
                </w:tcPr>
                <w:p w14:paraId="1CD288AF">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3L</w:t>
                  </w:r>
                </w:p>
              </w:tc>
              <w:tc>
                <w:tcPr>
                  <w:tcW w:w="497" w:type="pct"/>
                  <w:vAlign w:val="center"/>
                </w:tcPr>
                <w:p w14:paraId="43BA299E">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3</w:t>
                  </w:r>
                </w:p>
              </w:tc>
              <w:tc>
                <w:tcPr>
                  <w:tcW w:w="376" w:type="pct"/>
                  <w:vAlign w:val="center"/>
                </w:tcPr>
                <w:p w14:paraId="10E57FE9">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0AD4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17E5F702">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铍（</w:t>
                  </w:r>
                  <w:r>
                    <w:rPr>
                      <w:rFonts w:hint="default" w:ascii="Times New Roman" w:hAnsi="Times New Roman" w:cs="Times New Roman"/>
                      <w:iCs/>
                      <w:color w:val="000000" w:themeColor="text1"/>
                      <w:kern w:val="0"/>
                      <w:szCs w:val="21"/>
                      <w:lang w:bidi="ar"/>
                      <w14:textFill>
                        <w14:solidFill>
                          <w14:schemeClr w14:val="tx1"/>
                        </w14:solidFill>
                      </w14:textFill>
                    </w:rPr>
                    <w:t>μg/L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59DAF418">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0.04</w:t>
                  </w:r>
                </w:p>
              </w:tc>
              <w:tc>
                <w:tcPr>
                  <w:tcW w:w="541" w:type="pct"/>
                  <w:vAlign w:val="center"/>
                </w:tcPr>
                <w:p w14:paraId="53E5D224">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0.04</w:t>
                  </w:r>
                </w:p>
              </w:tc>
              <w:tc>
                <w:tcPr>
                  <w:tcW w:w="541" w:type="pct"/>
                  <w:vAlign w:val="center"/>
                </w:tcPr>
                <w:p w14:paraId="098CD736">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0.04</w:t>
                  </w:r>
                </w:p>
              </w:tc>
              <w:tc>
                <w:tcPr>
                  <w:tcW w:w="541" w:type="pct"/>
                  <w:vAlign w:val="center"/>
                </w:tcPr>
                <w:p w14:paraId="65454B55">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0.04</w:t>
                  </w:r>
                </w:p>
              </w:tc>
              <w:tc>
                <w:tcPr>
                  <w:tcW w:w="541" w:type="pct"/>
                  <w:vAlign w:val="center"/>
                </w:tcPr>
                <w:p w14:paraId="5552CFDE">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0.04</w:t>
                  </w:r>
                </w:p>
              </w:tc>
              <w:tc>
                <w:tcPr>
                  <w:tcW w:w="541" w:type="pct"/>
                  <w:vAlign w:val="center"/>
                </w:tcPr>
                <w:p w14:paraId="21250B57">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0.03</w:t>
                  </w:r>
                </w:p>
              </w:tc>
              <w:tc>
                <w:tcPr>
                  <w:tcW w:w="497" w:type="pct"/>
                  <w:vAlign w:val="center"/>
                </w:tcPr>
                <w:p w14:paraId="7BFA1B74">
                  <w:pPr>
                    <w:pStyle w:val="109"/>
                    <w:keepNext w:val="0"/>
                    <w:keepLines w:val="0"/>
                    <w:suppressLineNumbers w:val="0"/>
                    <w:adjustRightInd w:val="0"/>
                    <w:spacing w:beforeAutospacing="0" w:after="0" w:afterAutospacing="0" w:line="240" w:lineRule="auto"/>
                    <w:ind w:left="0" w:right="0"/>
                    <w:jc w:val="center"/>
                    <w:rPr>
                      <w:rFonts w:hint="default" w:ascii="Times New Roman" w:cs="Times New Roman" w:eastAsiaTheme="minorEastAsia"/>
                      <w:iCs/>
                      <w:color w:val="000000" w:themeColor="text1"/>
                      <w:sz w:val="21"/>
                      <w:szCs w:val="21"/>
                      <w14:textFill>
                        <w14:solidFill>
                          <w14:schemeClr w14:val="tx1"/>
                        </w14:solidFill>
                      </w14:textFill>
                    </w:rPr>
                  </w:pPr>
                  <w:r>
                    <w:rPr>
                      <w:rFonts w:hint="default" w:ascii="Times New Roman" w:cs="Times New Roman" w:eastAsiaTheme="minorEastAsia"/>
                      <w:iCs/>
                      <w:color w:val="000000" w:themeColor="text1"/>
                      <w:sz w:val="21"/>
                      <w:szCs w:val="21"/>
                      <w14:textFill>
                        <w14:solidFill>
                          <w14:schemeClr w14:val="tx1"/>
                        </w14:solidFill>
                      </w14:textFill>
                    </w:rPr>
                    <w:t>0.002</w:t>
                  </w:r>
                </w:p>
              </w:tc>
              <w:tc>
                <w:tcPr>
                  <w:tcW w:w="376" w:type="pct"/>
                  <w:vAlign w:val="center"/>
                </w:tcPr>
                <w:p w14:paraId="3228F81A">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664A9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2EF06615">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锑（</w:t>
                  </w:r>
                  <w:r>
                    <w:rPr>
                      <w:rFonts w:hint="default" w:ascii="Times New Roman" w:hAnsi="Times New Roman" w:cs="Times New Roman"/>
                      <w:iCs/>
                      <w:color w:val="000000" w:themeColor="text1"/>
                      <w:kern w:val="0"/>
                      <w:szCs w:val="21"/>
                      <w:lang w:bidi="ar"/>
                      <w14:textFill>
                        <w14:solidFill>
                          <w14:schemeClr w14:val="tx1"/>
                        </w14:solidFill>
                      </w14:textFill>
                    </w:rPr>
                    <w:t>μg/L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5095F970">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0.2L</w:t>
                  </w:r>
                </w:p>
              </w:tc>
              <w:tc>
                <w:tcPr>
                  <w:tcW w:w="541" w:type="pct"/>
                  <w:vAlign w:val="center"/>
                </w:tcPr>
                <w:p w14:paraId="06C3F54C">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0.2L</w:t>
                  </w:r>
                </w:p>
              </w:tc>
              <w:tc>
                <w:tcPr>
                  <w:tcW w:w="541" w:type="pct"/>
                  <w:vAlign w:val="center"/>
                </w:tcPr>
                <w:p w14:paraId="2BA40201">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0.2L</w:t>
                  </w:r>
                </w:p>
              </w:tc>
              <w:tc>
                <w:tcPr>
                  <w:tcW w:w="541" w:type="pct"/>
                  <w:vAlign w:val="center"/>
                </w:tcPr>
                <w:p w14:paraId="7736B692">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0.2L</w:t>
                  </w:r>
                </w:p>
              </w:tc>
              <w:tc>
                <w:tcPr>
                  <w:tcW w:w="541" w:type="pct"/>
                  <w:vAlign w:val="center"/>
                </w:tcPr>
                <w:p w14:paraId="29163DDB">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0.2L</w:t>
                  </w:r>
                </w:p>
              </w:tc>
              <w:tc>
                <w:tcPr>
                  <w:tcW w:w="541" w:type="pct"/>
                  <w:vAlign w:val="center"/>
                </w:tcPr>
                <w:p w14:paraId="414C39FA">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0.2L</w:t>
                  </w:r>
                </w:p>
              </w:tc>
              <w:tc>
                <w:tcPr>
                  <w:tcW w:w="497" w:type="pct"/>
                  <w:vAlign w:val="center"/>
                </w:tcPr>
                <w:p w14:paraId="69B66C4A">
                  <w:pPr>
                    <w:pStyle w:val="109"/>
                    <w:keepNext w:val="0"/>
                    <w:keepLines w:val="0"/>
                    <w:suppressLineNumbers w:val="0"/>
                    <w:adjustRightInd w:val="0"/>
                    <w:spacing w:beforeAutospacing="0" w:after="0" w:afterAutospacing="0" w:line="240" w:lineRule="auto"/>
                    <w:ind w:left="0" w:right="0"/>
                    <w:jc w:val="center"/>
                    <w:rPr>
                      <w:rFonts w:hint="default" w:ascii="Times New Roman" w:cs="Times New Roman" w:eastAsiaTheme="minorEastAsia"/>
                      <w:iCs/>
                      <w:color w:val="000000" w:themeColor="text1"/>
                      <w:sz w:val="21"/>
                      <w:szCs w:val="21"/>
                      <w14:textFill>
                        <w14:solidFill>
                          <w14:schemeClr w14:val="tx1"/>
                        </w14:solidFill>
                      </w14:textFill>
                    </w:rPr>
                  </w:pPr>
                  <w:r>
                    <w:rPr>
                      <w:rFonts w:hint="default" w:ascii="Times New Roman" w:cs="Times New Roman" w:eastAsiaTheme="minorEastAsia"/>
                      <w:iCs/>
                      <w:color w:val="000000" w:themeColor="text1"/>
                      <w:sz w:val="21"/>
                      <w:szCs w:val="21"/>
                      <w14:textFill>
                        <w14:solidFill>
                          <w14:schemeClr w14:val="tx1"/>
                        </w14:solidFill>
                      </w14:textFill>
                    </w:rPr>
                    <w:t>0.005</w:t>
                  </w:r>
                </w:p>
              </w:tc>
              <w:tc>
                <w:tcPr>
                  <w:tcW w:w="376" w:type="pct"/>
                  <w:vAlign w:val="center"/>
                </w:tcPr>
                <w:p w14:paraId="5885289E">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64FEC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5394EB24">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*钴（</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56DC31B6">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0.002L</w:t>
                  </w:r>
                </w:p>
              </w:tc>
              <w:tc>
                <w:tcPr>
                  <w:tcW w:w="541" w:type="pct"/>
                  <w:vAlign w:val="center"/>
                </w:tcPr>
                <w:p w14:paraId="4FA530DB">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0.002L</w:t>
                  </w:r>
                </w:p>
              </w:tc>
              <w:tc>
                <w:tcPr>
                  <w:tcW w:w="541" w:type="pct"/>
                  <w:vAlign w:val="center"/>
                </w:tcPr>
                <w:p w14:paraId="2550E736">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0.002L</w:t>
                  </w:r>
                </w:p>
              </w:tc>
              <w:tc>
                <w:tcPr>
                  <w:tcW w:w="541" w:type="pct"/>
                  <w:vAlign w:val="center"/>
                </w:tcPr>
                <w:p w14:paraId="1693247D">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0.002L</w:t>
                  </w:r>
                </w:p>
              </w:tc>
              <w:tc>
                <w:tcPr>
                  <w:tcW w:w="541" w:type="pct"/>
                  <w:vAlign w:val="center"/>
                </w:tcPr>
                <w:p w14:paraId="5CC17886">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0.002L</w:t>
                  </w:r>
                </w:p>
              </w:tc>
              <w:tc>
                <w:tcPr>
                  <w:tcW w:w="541" w:type="pct"/>
                  <w:vAlign w:val="center"/>
                </w:tcPr>
                <w:p w14:paraId="65DD7FF5">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0.002L</w:t>
                  </w:r>
                </w:p>
              </w:tc>
              <w:tc>
                <w:tcPr>
                  <w:tcW w:w="497" w:type="pct"/>
                  <w:vAlign w:val="center"/>
                </w:tcPr>
                <w:p w14:paraId="4E9A345A">
                  <w:pPr>
                    <w:pStyle w:val="109"/>
                    <w:keepNext w:val="0"/>
                    <w:keepLines w:val="0"/>
                    <w:suppressLineNumbers w:val="0"/>
                    <w:adjustRightInd w:val="0"/>
                    <w:spacing w:beforeAutospacing="0" w:after="0" w:afterAutospacing="0" w:line="240" w:lineRule="auto"/>
                    <w:ind w:left="0" w:right="0"/>
                    <w:jc w:val="center"/>
                    <w:rPr>
                      <w:rFonts w:hint="default" w:ascii="Times New Roman" w:cs="Times New Roman" w:eastAsiaTheme="minorEastAsia"/>
                      <w:iCs/>
                      <w:color w:val="000000" w:themeColor="text1"/>
                      <w:sz w:val="21"/>
                      <w:szCs w:val="21"/>
                      <w14:textFill>
                        <w14:solidFill>
                          <w14:schemeClr w14:val="tx1"/>
                        </w14:solidFill>
                      </w14:textFill>
                    </w:rPr>
                  </w:pPr>
                  <w:r>
                    <w:rPr>
                      <w:rFonts w:hint="default" w:ascii="Times New Roman" w:cs="Times New Roman" w:eastAsiaTheme="minorEastAsia"/>
                      <w:iCs/>
                      <w:color w:val="000000" w:themeColor="text1"/>
                      <w:sz w:val="21"/>
                      <w:szCs w:val="21"/>
                      <w14:textFill>
                        <w14:solidFill>
                          <w14:schemeClr w14:val="tx1"/>
                        </w14:solidFill>
                      </w14:textFill>
                    </w:rPr>
                    <w:t>0.05</w:t>
                  </w:r>
                </w:p>
              </w:tc>
              <w:tc>
                <w:tcPr>
                  <w:tcW w:w="376" w:type="pct"/>
                  <w:vAlign w:val="center"/>
                </w:tcPr>
                <w:p w14:paraId="22B24FE7">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2BB7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5A006734">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镍（</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54D069F4">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0.05L</w:t>
                  </w:r>
                </w:p>
              </w:tc>
              <w:tc>
                <w:tcPr>
                  <w:tcW w:w="541" w:type="pct"/>
                  <w:vAlign w:val="center"/>
                </w:tcPr>
                <w:p w14:paraId="3EFE2F3C">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0.05L</w:t>
                  </w:r>
                </w:p>
              </w:tc>
              <w:tc>
                <w:tcPr>
                  <w:tcW w:w="541" w:type="pct"/>
                  <w:vAlign w:val="center"/>
                </w:tcPr>
                <w:p w14:paraId="66072258">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0.05L</w:t>
                  </w:r>
                </w:p>
              </w:tc>
              <w:tc>
                <w:tcPr>
                  <w:tcW w:w="541" w:type="pct"/>
                  <w:vAlign w:val="center"/>
                </w:tcPr>
                <w:p w14:paraId="50C5E9E8">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0.05L</w:t>
                  </w:r>
                </w:p>
              </w:tc>
              <w:tc>
                <w:tcPr>
                  <w:tcW w:w="541" w:type="pct"/>
                  <w:vAlign w:val="center"/>
                </w:tcPr>
                <w:p w14:paraId="0AA5A487">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0.05L</w:t>
                  </w:r>
                </w:p>
              </w:tc>
              <w:tc>
                <w:tcPr>
                  <w:tcW w:w="541" w:type="pct"/>
                  <w:vAlign w:val="center"/>
                </w:tcPr>
                <w:p w14:paraId="5163F83E">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0.05L</w:t>
                  </w:r>
                </w:p>
              </w:tc>
              <w:tc>
                <w:tcPr>
                  <w:tcW w:w="497" w:type="pct"/>
                  <w:vAlign w:val="center"/>
                </w:tcPr>
                <w:p w14:paraId="0A784074">
                  <w:pPr>
                    <w:pStyle w:val="109"/>
                    <w:keepNext w:val="0"/>
                    <w:keepLines w:val="0"/>
                    <w:suppressLineNumbers w:val="0"/>
                    <w:adjustRightInd w:val="0"/>
                    <w:spacing w:beforeAutospacing="0" w:after="0" w:afterAutospacing="0" w:line="240" w:lineRule="auto"/>
                    <w:ind w:left="0" w:right="0"/>
                    <w:jc w:val="center"/>
                    <w:rPr>
                      <w:rFonts w:hint="default" w:ascii="Times New Roman" w:cs="Times New Roman" w:eastAsiaTheme="minorEastAsia"/>
                      <w:iCs/>
                      <w:color w:val="000000" w:themeColor="text1"/>
                      <w:sz w:val="21"/>
                      <w:szCs w:val="21"/>
                      <w14:textFill>
                        <w14:solidFill>
                          <w14:schemeClr w14:val="tx1"/>
                        </w14:solidFill>
                      </w14:textFill>
                    </w:rPr>
                  </w:pPr>
                  <w:r>
                    <w:rPr>
                      <w:rFonts w:hint="default" w:ascii="Times New Roman" w:cs="Times New Roman" w:eastAsiaTheme="minorEastAsia"/>
                      <w:iCs/>
                      <w:color w:val="000000" w:themeColor="text1"/>
                      <w:sz w:val="21"/>
                      <w:szCs w:val="21"/>
                      <w14:textFill>
                        <w14:solidFill>
                          <w14:schemeClr w14:val="tx1"/>
                        </w14:solidFill>
                      </w14:textFill>
                    </w:rPr>
                    <w:t>0.02</w:t>
                  </w:r>
                </w:p>
              </w:tc>
              <w:tc>
                <w:tcPr>
                  <w:tcW w:w="376" w:type="pct"/>
                  <w:vAlign w:val="center"/>
                </w:tcPr>
                <w:p w14:paraId="5453F734">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68EA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190C9434">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*铊（</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08BE06FD">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0.00003L</w:t>
                  </w:r>
                </w:p>
              </w:tc>
              <w:tc>
                <w:tcPr>
                  <w:tcW w:w="541" w:type="pct"/>
                  <w:vAlign w:val="center"/>
                </w:tcPr>
                <w:p w14:paraId="06CB785D">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0.00003L</w:t>
                  </w:r>
                </w:p>
              </w:tc>
              <w:tc>
                <w:tcPr>
                  <w:tcW w:w="541" w:type="pct"/>
                  <w:vAlign w:val="center"/>
                </w:tcPr>
                <w:p w14:paraId="2AA0473C">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0.00003L</w:t>
                  </w:r>
                </w:p>
              </w:tc>
              <w:tc>
                <w:tcPr>
                  <w:tcW w:w="541" w:type="pct"/>
                  <w:vAlign w:val="center"/>
                </w:tcPr>
                <w:p w14:paraId="3A024126">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0.00003L</w:t>
                  </w:r>
                </w:p>
              </w:tc>
              <w:tc>
                <w:tcPr>
                  <w:tcW w:w="541" w:type="pct"/>
                  <w:vAlign w:val="center"/>
                </w:tcPr>
                <w:p w14:paraId="54D3B057">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0.00003L</w:t>
                  </w:r>
                </w:p>
              </w:tc>
              <w:tc>
                <w:tcPr>
                  <w:tcW w:w="541" w:type="pct"/>
                  <w:vAlign w:val="center"/>
                </w:tcPr>
                <w:p w14:paraId="284AFD60">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0.00003L</w:t>
                  </w:r>
                </w:p>
              </w:tc>
              <w:tc>
                <w:tcPr>
                  <w:tcW w:w="497" w:type="pct"/>
                  <w:vAlign w:val="center"/>
                </w:tcPr>
                <w:p w14:paraId="41EDFB61">
                  <w:pPr>
                    <w:pStyle w:val="109"/>
                    <w:keepNext w:val="0"/>
                    <w:keepLines w:val="0"/>
                    <w:suppressLineNumbers w:val="0"/>
                    <w:adjustRightInd w:val="0"/>
                    <w:spacing w:beforeAutospacing="0" w:after="0" w:afterAutospacing="0" w:line="240" w:lineRule="auto"/>
                    <w:ind w:left="0" w:right="0"/>
                    <w:jc w:val="center"/>
                    <w:rPr>
                      <w:rFonts w:hint="default" w:ascii="Times New Roman" w:cs="Times New Roman" w:eastAsiaTheme="minorEastAsia"/>
                      <w:iCs/>
                      <w:color w:val="000000" w:themeColor="text1"/>
                      <w:sz w:val="21"/>
                      <w:szCs w:val="21"/>
                      <w14:textFill>
                        <w14:solidFill>
                          <w14:schemeClr w14:val="tx1"/>
                        </w14:solidFill>
                      </w14:textFill>
                    </w:rPr>
                  </w:pPr>
                  <w:r>
                    <w:rPr>
                      <w:rFonts w:hint="default" w:ascii="Times New Roman" w:cs="Times New Roman" w:eastAsiaTheme="minorEastAsia"/>
                      <w:iCs/>
                      <w:color w:val="000000" w:themeColor="text1"/>
                      <w:sz w:val="21"/>
                      <w:szCs w:val="21"/>
                      <w14:textFill>
                        <w14:solidFill>
                          <w14:schemeClr w14:val="tx1"/>
                        </w14:solidFill>
                      </w14:textFill>
                    </w:rPr>
                    <w:t>0.0001</w:t>
                  </w:r>
                </w:p>
              </w:tc>
              <w:tc>
                <w:tcPr>
                  <w:tcW w:w="376" w:type="pct"/>
                  <w:vAlign w:val="center"/>
                </w:tcPr>
                <w:p w14:paraId="413704FD">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r w14:paraId="52B4A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1161EAB3">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总磷（</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7C7DAD07">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0.12</w:t>
                  </w:r>
                </w:p>
              </w:tc>
              <w:tc>
                <w:tcPr>
                  <w:tcW w:w="541" w:type="pct"/>
                  <w:vAlign w:val="center"/>
                </w:tcPr>
                <w:p w14:paraId="350B6862">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0.14</w:t>
                  </w:r>
                </w:p>
              </w:tc>
              <w:tc>
                <w:tcPr>
                  <w:tcW w:w="541" w:type="pct"/>
                  <w:vAlign w:val="center"/>
                </w:tcPr>
                <w:p w14:paraId="25DE7823">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0.15</w:t>
                  </w:r>
                </w:p>
              </w:tc>
              <w:tc>
                <w:tcPr>
                  <w:tcW w:w="541" w:type="pct"/>
                  <w:vAlign w:val="center"/>
                </w:tcPr>
                <w:p w14:paraId="57C7D20F">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0.17</w:t>
                  </w:r>
                </w:p>
              </w:tc>
              <w:tc>
                <w:tcPr>
                  <w:tcW w:w="541" w:type="pct"/>
                  <w:vAlign w:val="center"/>
                </w:tcPr>
                <w:p w14:paraId="1E0A27CC">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0.11</w:t>
                  </w:r>
                </w:p>
              </w:tc>
              <w:tc>
                <w:tcPr>
                  <w:tcW w:w="541" w:type="pct"/>
                  <w:vAlign w:val="center"/>
                </w:tcPr>
                <w:p w14:paraId="77FAFA73">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0.12</w:t>
                  </w:r>
                </w:p>
              </w:tc>
              <w:tc>
                <w:tcPr>
                  <w:tcW w:w="497" w:type="pct"/>
                  <w:vAlign w:val="center"/>
                </w:tcPr>
                <w:p w14:paraId="4B682D8E">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w:t>
                  </w:r>
                </w:p>
              </w:tc>
              <w:tc>
                <w:tcPr>
                  <w:tcW w:w="376" w:type="pct"/>
                  <w:vAlign w:val="center"/>
                </w:tcPr>
                <w:p w14:paraId="2E450D06">
                  <w:pPr>
                    <w:keepNext w:val="0"/>
                    <w:keepLines w:val="0"/>
                    <w:widowControl/>
                    <w:suppressLineNumbers w:val="0"/>
                    <w:wordWrap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w:t>
                  </w:r>
                </w:p>
              </w:tc>
            </w:tr>
            <w:tr w14:paraId="1F6A4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pct"/>
                  <w:vAlign w:val="center"/>
                </w:tcPr>
                <w:p w14:paraId="0BB2DD2E">
                  <w:pPr>
                    <w:keepNext w:val="0"/>
                    <w:keepLines w:val="0"/>
                    <w:suppressLineNumbers w:val="0"/>
                    <w:spacing w:before="0" w:beforeAutospacing="0" w:after="0" w:afterAutospacing="0"/>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阴离子表面活性剂（</w:t>
                  </w:r>
                  <w:r>
                    <w:rPr>
                      <w:rFonts w:hint="default" w:ascii="Times New Roman" w:hAnsi="Times New Roman" w:cs="Times New Roman"/>
                      <w:iCs/>
                      <w:color w:val="000000" w:themeColor="text1"/>
                      <w:kern w:val="0"/>
                      <w:szCs w:val="21"/>
                      <w:lang w:bidi="ar"/>
                      <w14:textFill>
                        <w14:solidFill>
                          <w14:schemeClr w14:val="tx1"/>
                        </w14:solidFill>
                      </w14:textFill>
                    </w:rPr>
                    <w:t>mg/L</w:t>
                  </w:r>
                  <w:r>
                    <w:rPr>
                      <w:rFonts w:hint="default" w:ascii="Times New Roman" w:hAnsi="Times New Roman" w:cs="Times New Roman"/>
                      <w:iCs/>
                      <w:color w:val="000000" w:themeColor="text1"/>
                      <w:szCs w:val="21"/>
                      <w14:textFill>
                        <w14:solidFill>
                          <w14:schemeClr w14:val="tx1"/>
                        </w14:solidFill>
                      </w14:textFill>
                    </w:rPr>
                    <w:t>）</w:t>
                  </w:r>
                </w:p>
              </w:tc>
              <w:tc>
                <w:tcPr>
                  <w:tcW w:w="541" w:type="pct"/>
                  <w:vAlign w:val="center"/>
                </w:tcPr>
                <w:p w14:paraId="485DAFE4">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0.05L</w:t>
                  </w:r>
                </w:p>
              </w:tc>
              <w:tc>
                <w:tcPr>
                  <w:tcW w:w="541" w:type="pct"/>
                  <w:vAlign w:val="center"/>
                </w:tcPr>
                <w:p w14:paraId="2B7E5EBB">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0.05L</w:t>
                  </w:r>
                </w:p>
              </w:tc>
              <w:tc>
                <w:tcPr>
                  <w:tcW w:w="541" w:type="pct"/>
                  <w:vAlign w:val="center"/>
                </w:tcPr>
                <w:p w14:paraId="0AB4A279">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0.05L</w:t>
                  </w:r>
                </w:p>
              </w:tc>
              <w:tc>
                <w:tcPr>
                  <w:tcW w:w="541" w:type="pct"/>
                  <w:vAlign w:val="center"/>
                </w:tcPr>
                <w:p w14:paraId="6065F448">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0.05L</w:t>
                  </w:r>
                </w:p>
              </w:tc>
              <w:tc>
                <w:tcPr>
                  <w:tcW w:w="541" w:type="pct"/>
                  <w:vAlign w:val="center"/>
                </w:tcPr>
                <w:p w14:paraId="7453100E">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0.05L</w:t>
                  </w:r>
                </w:p>
              </w:tc>
              <w:tc>
                <w:tcPr>
                  <w:tcW w:w="541" w:type="pct"/>
                  <w:vAlign w:val="center"/>
                </w:tcPr>
                <w:p w14:paraId="5444A7F3">
                  <w:pPr>
                    <w:keepNext w:val="0"/>
                    <w:keepLines w:val="0"/>
                    <w:suppressLineNumbers w:val="0"/>
                    <w:spacing w:before="0" w:beforeAutospacing="0" w:after="0" w:afterAutospacing="0" w:line="360" w:lineRule="auto"/>
                    <w:ind w:left="0" w:right="0"/>
                    <w:jc w:val="center"/>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0.05L</w:t>
                  </w:r>
                </w:p>
              </w:tc>
              <w:tc>
                <w:tcPr>
                  <w:tcW w:w="497" w:type="pct"/>
                  <w:vAlign w:val="center"/>
                </w:tcPr>
                <w:p w14:paraId="4326546A">
                  <w:pPr>
                    <w:pStyle w:val="35"/>
                    <w:keepNext w:val="0"/>
                    <w:keepLines w:val="0"/>
                    <w:widowControl/>
                    <w:suppressLineNumbers w:val="0"/>
                    <w:spacing w:before="0" w:beforeAutospacing="0" w:after="0" w:afterAutospacing="0"/>
                    <w:ind w:left="0" w:right="0"/>
                    <w:rPr>
                      <w:rFonts w:hint="default" w:eastAsiaTheme="minorEastAsia"/>
                      <w:i w:val="0"/>
                      <w:iCs/>
                      <w:color w:val="000000" w:themeColor="text1"/>
                      <w:szCs w:val="21"/>
                      <w14:textFill>
                        <w14:solidFill>
                          <w14:schemeClr w14:val="tx1"/>
                        </w14:solidFill>
                      </w14:textFill>
                    </w:rPr>
                  </w:pPr>
                  <w:r>
                    <w:rPr>
                      <w:rFonts w:hint="default" w:eastAsiaTheme="minorEastAsia"/>
                      <w:i w:val="0"/>
                      <w:iCs/>
                      <w:color w:val="000000" w:themeColor="text1"/>
                      <w:szCs w:val="21"/>
                      <w14:textFill>
                        <w14:solidFill>
                          <w14:schemeClr w14:val="tx1"/>
                        </w14:solidFill>
                      </w14:textFill>
                    </w:rPr>
                    <w:t>0.3</w:t>
                  </w:r>
                </w:p>
              </w:tc>
              <w:tc>
                <w:tcPr>
                  <w:tcW w:w="376" w:type="pct"/>
                  <w:vAlign w:val="center"/>
                </w:tcPr>
                <w:p w14:paraId="418FB58F">
                  <w:pPr>
                    <w:keepNext w:val="0"/>
                    <w:keepLines w:val="0"/>
                    <w:widowControl/>
                    <w:suppressLineNumbers w:val="0"/>
                    <w:wordWrap w:val="0"/>
                    <w:spacing w:before="0" w:beforeAutospacing="0" w:after="0" w:afterAutospacing="0"/>
                    <w:ind w:left="0" w:right="0"/>
                    <w:rPr>
                      <w:rFonts w:hint="default" w:ascii="Times New Roman" w:hAnsi="Times New Roman" w:cs="Times New Roman"/>
                      <w:iCs/>
                      <w:color w:val="000000" w:themeColor="text1"/>
                      <w:szCs w:val="21"/>
                      <w14:textFill>
                        <w14:solidFill>
                          <w14:schemeClr w14:val="tx1"/>
                        </w14:solidFill>
                      </w14:textFill>
                    </w:rPr>
                  </w:pPr>
                  <w:r>
                    <w:rPr>
                      <w:rFonts w:hint="default" w:ascii="Times New Roman" w:hAnsi="Times New Roman" w:cs="Times New Roman"/>
                      <w:iCs/>
                      <w:color w:val="000000" w:themeColor="text1"/>
                      <w:szCs w:val="21"/>
                      <w14:textFill>
                        <w14:solidFill>
                          <w14:schemeClr w14:val="tx1"/>
                        </w14:solidFill>
                      </w14:textFill>
                    </w:rPr>
                    <w:t>达标</w:t>
                  </w:r>
                </w:p>
              </w:tc>
            </w:tr>
          </w:tbl>
          <w:p w14:paraId="05EC268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根据地下水现状监测结果显示，</w:t>
            </w:r>
            <w:r>
              <w:rPr>
                <w:rFonts w:hint="eastAsia" w:ascii="Times New Roman" w:hAnsi="Times New Roman" w:cs="Times New Roman"/>
                <w:color w:val="000000" w:themeColor="text1"/>
                <w:sz w:val="24"/>
                <w:lang w:val="en-US" w:eastAsia="zh-CN"/>
                <w14:textFill>
                  <w14:solidFill>
                    <w14:schemeClr w14:val="tx1"/>
                  </w14:solidFill>
                </w14:textFill>
              </w:rPr>
              <w:t>项目所在区域</w:t>
            </w:r>
            <w:r>
              <w:rPr>
                <w:rFonts w:hint="default" w:ascii="Times New Roman" w:hAnsi="Times New Roman" w:cs="Times New Roman"/>
                <w:color w:val="000000" w:themeColor="text1"/>
                <w:sz w:val="24"/>
                <w14:textFill>
                  <w14:solidFill>
                    <w14:schemeClr w14:val="tx1"/>
                  </w14:solidFill>
                </w14:textFill>
              </w:rPr>
              <w:t>地下水各监测点满足《地下水质量标准》（GB/T14848-2017）中的</w:t>
            </w:r>
            <w:r>
              <w:rPr>
                <w:rFonts w:hint="eastAsia" w:ascii="宋体" w:hAnsi="宋体" w:eastAsia="宋体" w:cs="宋体"/>
                <w:color w:val="000000" w:themeColor="text1"/>
                <w:sz w:val="24"/>
                <w14:textFill>
                  <w14:solidFill>
                    <w14:schemeClr w14:val="tx1"/>
                  </w14:solidFill>
                </w14:textFill>
              </w:rPr>
              <w:t>Ⅲ</w:t>
            </w:r>
            <w:r>
              <w:rPr>
                <w:rFonts w:hint="default" w:ascii="Times New Roman" w:hAnsi="Times New Roman" w:cs="Times New Roman"/>
                <w:color w:val="000000" w:themeColor="text1"/>
                <w:sz w:val="24"/>
                <w14:textFill>
                  <w14:solidFill>
                    <w14:schemeClr w14:val="tx1"/>
                  </w14:solidFill>
                </w14:textFill>
              </w:rPr>
              <w:t>类标准值。</w:t>
            </w:r>
          </w:p>
          <w:p w14:paraId="38C86F7D">
            <w:pPr>
              <w:keepNext w:val="0"/>
              <w:keepLines w:val="0"/>
              <w:suppressLineNumbers w:val="0"/>
              <w:spacing w:before="0" w:beforeAutospacing="0" w:after="0" w:afterAutospacing="0" w:line="360" w:lineRule="auto"/>
              <w:ind w:left="0" w:right="0" w:firstLine="482" w:firstLineChars="200"/>
              <w:jc w:val="both"/>
              <w:rPr>
                <w:rFonts w:hint="default" w:cs="Times New Roman"/>
                <w:b/>
                <w:bCs/>
                <w:color w:val="auto"/>
                <w:kern w:val="0"/>
                <w:sz w:val="24"/>
                <w:szCs w:val="24"/>
                <w:lang w:val="en-US" w:eastAsia="zh-CN"/>
              </w:rPr>
            </w:pPr>
            <w:r>
              <w:rPr>
                <w:rFonts w:hint="eastAsia" w:cs="Times New Roman"/>
                <w:b/>
                <w:bCs/>
                <w:color w:val="auto"/>
                <w:kern w:val="0"/>
                <w:sz w:val="24"/>
                <w:szCs w:val="24"/>
                <w:lang w:val="en-US" w:eastAsia="zh-CN"/>
              </w:rPr>
              <w:t>5、土壤环境质量现状</w:t>
            </w:r>
          </w:p>
          <w:p w14:paraId="5B7A9203">
            <w:pPr>
              <w:keepNext w:val="0"/>
              <w:keepLines w:val="0"/>
              <w:suppressLineNumbers w:val="0"/>
              <w:spacing w:before="0" w:beforeAutospacing="0" w:after="0" w:afterAutospacing="0" w:line="360" w:lineRule="auto"/>
              <w:ind w:left="0" w:right="0" w:firstLine="480" w:firstLineChars="200"/>
              <w:jc w:val="both"/>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cs="Times New Roman"/>
                <w:color w:val="auto"/>
                <w:sz w:val="24"/>
                <w:szCs w:val="24"/>
                <w:highlight w:val="none"/>
                <w:lang w:val="en-US" w:eastAsia="zh-CN"/>
              </w:rPr>
              <w:t>本项目厂区内场地均进行了硬化处理，不具备检测条件，因此土壤环境质量现状，引用《云南富民产业园区总体规划修编（2022-2035年）环境影响报告书》</w:t>
            </w:r>
            <w:r>
              <w:rPr>
                <w:rFonts w:hint="default" w:ascii="Times New Roman" w:hAnsi="Times New Roman" w:cs="Times New Roman"/>
                <w:color w:val="000000" w:themeColor="text1"/>
                <w:sz w:val="24"/>
                <w14:textFill>
                  <w14:solidFill>
                    <w14:schemeClr w14:val="tx1"/>
                  </w14:solidFill>
                </w14:textFill>
              </w:rPr>
              <w:t>云南泰义检测技术有限公司2022年11月</w:t>
            </w:r>
            <w:r>
              <w:rPr>
                <w:rFonts w:hint="eastAsia" w:ascii="Times New Roman" w:hAnsi="Times New Roman" w:cs="Times New Roman"/>
                <w:color w:val="000000" w:themeColor="text1"/>
                <w:sz w:val="24"/>
                <w:lang w:val="en-US" w:eastAsia="zh-CN"/>
                <w14:textFill>
                  <w14:solidFill>
                    <w14:schemeClr w14:val="tx1"/>
                  </w14:solidFill>
                </w14:textFill>
              </w:rPr>
              <w:t>23</w:t>
            </w:r>
            <w:r>
              <w:rPr>
                <w:rFonts w:hint="default" w:ascii="Times New Roman" w:hAnsi="Times New Roman" w:cs="Times New Roman"/>
                <w:color w:val="000000" w:themeColor="text1"/>
                <w:sz w:val="24"/>
                <w14:textFill>
                  <w14:solidFill>
                    <w14:schemeClr w14:val="tx1"/>
                  </w14:solidFill>
                </w14:textFill>
              </w:rPr>
              <w:t>日</w:t>
            </w:r>
            <w:r>
              <w:rPr>
                <w:rFonts w:hint="eastAsia" w:ascii="Times New Roman" w:hAnsi="Times New Roman" w:cs="Times New Roman"/>
                <w:color w:val="000000" w:themeColor="text1"/>
                <w:sz w:val="24"/>
                <w:lang w:val="en-US" w:eastAsia="zh-CN"/>
                <w14:textFill>
                  <w14:solidFill>
                    <w14:schemeClr w14:val="tx1"/>
                  </w14:solidFill>
                </w14:textFill>
              </w:rPr>
              <w:t>对项目所在区域的现状检测数据。检测点T1位于哨箐组团内（E102.4607001°，N25.2685419°），距离本项目180m。检测结果见下表。</w:t>
            </w:r>
          </w:p>
          <w:p w14:paraId="1A32F7E6">
            <w:pPr>
              <w:pStyle w:val="2"/>
              <w:keepNext w:val="0"/>
              <w:keepLines w:val="0"/>
              <w:suppressLineNumbers w:val="0"/>
              <w:spacing w:before="0" w:beforeAutospacing="0" w:after="0" w:afterAutospacing="0"/>
              <w:ind w:left="0" w:right="0"/>
              <w:jc w:val="center"/>
              <w:rPr>
                <w:rFonts w:hint="default"/>
                <w:b/>
                <w:bCs/>
                <w:sz w:val="21"/>
                <w:szCs w:val="21"/>
                <w:lang w:val="en-US" w:eastAsia="zh-CN"/>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表3-4   项目区土壤检测结果一览表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8"/>
              <w:gridCol w:w="1021"/>
              <w:gridCol w:w="1021"/>
              <w:gridCol w:w="1444"/>
              <w:gridCol w:w="1444"/>
              <w:gridCol w:w="1226"/>
              <w:gridCol w:w="809"/>
            </w:tblGrid>
            <w:tr w14:paraId="3D9F2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restart"/>
                  <w:vAlign w:val="center"/>
                </w:tcPr>
                <w:p w14:paraId="1C0CBE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监测因子</w:t>
                  </w:r>
                </w:p>
              </w:tc>
              <w:tc>
                <w:tcPr>
                  <w:tcW w:w="607" w:type="pct"/>
                  <w:vMerge w:val="restart"/>
                  <w:vAlign w:val="center"/>
                </w:tcPr>
                <w:p w14:paraId="59266D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二类筛选值</w:t>
                  </w:r>
                </w:p>
              </w:tc>
              <w:tc>
                <w:tcPr>
                  <w:tcW w:w="607" w:type="pct"/>
                  <w:vMerge w:val="restart"/>
                  <w:vAlign w:val="center"/>
                </w:tcPr>
                <w:p w14:paraId="401D73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二类管控值</w:t>
                  </w:r>
                </w:p>
              </w:tc>
              <w:tc>
                <w:tcPr>
                  <w:tcW w:w="2447" w:type="pct"/>
                  <w:gridSpan w:val="3"/>
                  <w:vAlign w:val="center"/>
                </w:tcPr>
                <w:p w14:paraId="71C924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lang w:val="en-US" w:eastAsia="zh-CN"/>
                      <w14:textFill>
                        <w14:solidFill>
                          <w14:schemeClr w14:val="tx1"/>
                        </w14:solidFill>
                      </w14:textFill>
                    </w:rPr>
                    <w:t>T1（</w:t>
                  </w:r>
                  <w:r>
                    <w:rPr>
                      <w:rFonts w:hint="default" w:ascii="Times New Roman" w:hAnsi="Times New Roman" w:cs="Times New Roman"/>
                      <w:b/>
                      <w:bCs/>
                      <w:color w:val="000000" w:themeColor="text1"/>
                      <w:szCs w:val="21"/>
                      <w14:textFill>
                        <w14:solidFill>
                          <w14:schemeClr w14:val="tx1"/>
                        </w14:solidFill>
                      </w14:textFill>
                    </w:rPr>
                    <w:t>哨箐组团规划区内</w:t>
                  </w:r>
                  <w:r>
                    <w:rPr>
                      <w:rFonts w:hint="eastAsia" w:ascii="Times New Roman" w:hAnsi="Times New Roman" w:cs="Times New Roman"/>
                      <w:b/>
                      <w:bCs/>
                      <w:color w:val="000000" w:themeColor="text1"/>
                      <w:szCs w:val="21"/>
                      <w:lang w:val="en-US" w:eastAsia="zh-CN"/>
                      <w14:textFill>
                        <w14:solidFill>
                          <w14:schemeClr w14:val="tx1"/>
                        </w14:solidFill>
                      </w14:textFill>
                    </w:rPr>
                    <w:t>）</w:t>
                  </w:r>
                </w:p>
              </w:tc>
              <w:tc>
                <w:tcPr>
                  <w:tcW w:w="481" w:type="pct"/>
                  <w:vMerge w:val="restart"/>
                  <w:vAlign w:val="center"/>
                </w:tcPr>
                <w:p w14:paraId="3B5E45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达标分析</w:t>
                  </w:r>
                </w:p>
              </w:tc>
            </w:tr>
            <w:tr w14:paraId="65CB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continue"/>
                  <w:vAlign w:val="center"/>
                </w:tcPr>
                <w:p w14:paraId="5AA081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p>
              </w:tc>
              <w:tc>
                <w:tcPr>
                  <w:tcW w:w="607" w:type="pct"/>
                  <w:vMerge w:val="continue"/>
                  <w:vAlign w:val="center"/>
                </w:tcPr>
                <w:p w14:paraId="07EDC5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p>
              </w:tc>
              <w:tc>
                <w:tcPr>
                  <w:tcW w:w="607" w:type="pct"/>
                  <w:vMerge w:val="continue"/>
                  <w:vAlign w:val="center"/>
                </w:tcPr>
                <w:p w14:paraId="373D8F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p>
              </w:tc>
              <w:tc>
                <w:tcPr>
                  <w:tcW w:w="2447" w:type="pct"/>
                  <w:gridSpan w:val="3"/>
                  <w:vAlign w:val="center"/>
                </w:tcPr>
                <w:p w14:paraId="1272B7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E102.4607001，N25.2685419</w:t>
                  </w:r>
                </w:p>
              </w:tc>
              <w:tc>
                <w:tcPr>
                  <w:tcW w:w="481" w:type="pct"/>
                  <w:vMerge w:val="continue"/>
                  <w:vAlign w:val="center"/>
                </w:tcPr>
                <w:p w14:paraId="04AD1B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p>
              </w:tc>
            </w:tr>
            <w:tr w14:paraId="2DDF3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Merge w:val="continue"/>
                  <w:vAlign w:val="center"/>
                </w:tcPr>
                <w:p w14:paraId="72F89D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cs="Times New Roman"/>
                      <w:b/>
                      <w:bCs/>
                      <w:color w:val="000000" w:themeColor="text1"/>
                      <w:szCs w:val="21"/>
                      <w14:textFill>
                        <w14:solidFill>
                          <w14:schemeClr w14:val="tx1"/>
                        </w14:solidFill>
                      </w14:textFill>
                    </w:rPr>
                  </w:pPr>
                </w:p>
              </w:tc>
              <w:tc>
                <w:tcPr>
                  <w:tcW w:w="607" w:type="pct"/>
                  <w:vMerge w:val="continue"/>
                  <w:vAlign w:val="center"/>
                </w:tcPr>
                <w:p w14:paraId="2964E7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cs="Times New Roman"/>
                      <w:b/>
                      <w:bCs/>
                      <w:color w:val="000000" w:themeColor="text1"/>
                      <w:szCs w:val="21"/>
                      <w14:textFill>
                        <w14:solidFill>
                          <w14:schemeClr w14:val="tx1"/>
                        </w14:solidFill>
                      </w14:textFill>
                    </w:rPr>
                  </w:pPr>
                </w:p>
              </w:tc>
              <w:tc>
                <w:tcPr>
                  <w:tcW w:w="607" w:type="pct"/>
                  <w:vMerge w:val="continue"/>
                  <w:vAlign w:val="center"/>
                </w:tcPr>
                <w:p w14:paraId="0FA79C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Pr>
                      <w:rFonts w:hint="default" w:ascii="Times New Roman" w:hAnsi="Times New Roman" w:cs="Times New Roman"/>
                      <w:b/>
                      <w:bCs/>
                      <w:color w:val="000000" w:themeColor="text1"/>
                      <w:szCs w:val="21"/>
                      <w14:textFill>
                        <w14:solidFill>
                          <w14:schemeClr w14:val="tx1"/>
                        </w14:solidFill>
                      </w14:textFill>
                    </w:rPr>
                  </w:pPr>
                </w:p>
              </w:tc>
              <w:tc>
                <w:tcPr>
                  <w:tcW w:w="859" w:type="pct"/>
                  <w:vAlign w:val="center"/>
                </w:tcPr>
                <w:p w14:paraId="40A401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50cm</w:t>
                  </w:r>
                </w:p>
              </w:tc>
              <w:tc>
                <w:tcPr>
                  <w:tcW w:w="859" w:type="pct"/>
                  <w:vAlign w:val="center"/>
                </w:tcPr>
                <w:p w14:paraId="474DB2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150cm</w:t>
                  </w:r>
                </w:p>
              </w:tc>
              <w:tc>
                <w:tcPr>
                  <w:tcW w:w="729" w:type="pct"/>
                  <w:vAlign w:val="center"/>
                </w:tcPr>
                <w:p w14:paraId="350B87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300cm</w:t>
                  </w:r>
                </w:p>
              </w:tc>
              <w:tc>
                <w:tcPr>
                  <w:tcW w:w="481" w:type="pct"/>
                  <w:vMerge w:val="continue"/>
                  <w:vAlign w:val="center"/>
                </w:tcPr>
                <w:p w14:paraId="0CC85B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r>
            <w:tr w14:paraId="720F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1F3DE6A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pH（无量纲）</w:t>
                  </w:r>
                </w:p>
              </w:tc>
              <w:tc>
                <w:tcPr>
                  <w:tcW w:w="607" w:type="pct"/>
                  <w:vAlign w:val="center"/>
                </w:tcPr>
                <w:p w14:paraId="13728F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07" w:type="pct"/>
                  <w:vAlign w:val="center"/>
                </w:tcPr>
                <w:p w14:paraId="39B5A8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859" w:type="pct"/>
                  <w:vAlign w:val="center"/>
                </w:tcPr>
                <w:p w14:paraId="2999859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5.96</w:t>
                  </w:r>
                </w:p>
              </w:tc>
              <w:tc>
                <w:tcPr>
                  <w:tcW w:w="859" w:type="pct"/>
                  <w:vAlign w:val="center"/>
                </w:tcPr>
                <w:p w14:paraId="6BF043BF">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6.76</w:t>
                  </w:r>
                </w:p>
              </w:tc>
              <w:tc>
                <w:tcPr>
                  <w:tcW w:w="729" w:type="pct"/>
                  <w:vAlign w:val="center"/>
                </w:tcPr>
                <w:p w14:paraId="2C4DA844">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5.73</w:t>
                  </w:r>
                </w:p>
              </w:tc>
              <w:tc>
                <w:tcPr>
                  <w:tcW w:w="481" w:type="pct"/>
                  <w:vAlign w:val="center"/>
                </w:tcPr>
                <w:p w14:paraId="19CC53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14:paraId="5234C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7A26C276">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六价铬</w:t>
                  </w:r>
                </w:p>
              </w:tc>
              <w:tc>
                <w:tcPr>
                  <w:tcW w:w="607" w:type="pct"/>
                  <w:vAlign w:val="center"/>
                </w:tcPr>
                <w:p w14:paraId="44CDD2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5.7</w:t>
                  </w:r>
                </w:p>
              </w:tc>
              <w:tc>
                <w:tcPr>
                  <w:tcW w:w="607" w:type="pct"/>
                  <w:vAlign w:val="center"/>
                </w:tcPr>
                <w:p w14:paraId="4F8D44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78</w:t>
                  </w:r>
                </w:p>
              </w:tc>
              <w:tc>
                <w:tcPr>
                  <w:tcW w:w="859" w:type="pct"/>
                  <w:vAlign w:val="center"/>
                </w:tcPr>
                <w:p w14:paraId="3775831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0.5L</w:t>
                  </w:r>
                </w:p>
              </w:tc>
              <w:tc>
                <w:tcPr>
                  <w:tcW w:w="859" w:type="pct"/>
                  <w:vAlign w:val="center"/>
                </w:tcPr>
                <w:p w14:paraId="58DED616">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0.5L</w:t>
                  </w:r>
                </w:p>
              </w:tc>
              <w:tc>
                <w:tcPr>
                  <w:tcW w:w="729" w:type="pct"/>
                  <w:vAlign w:val="center"/>
                </w:tcPr>
                <w:p w14:paraId="03C3B8B0">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0.5L</w:t>
                  </w:r>
                </w:p>
              </w:tc>
              <w:tc>
                <w:tcPr>
                  <w:tcW w:w="481" w:type="pct"/>
                  <w:vAlign w:val="center"/>
                </w:tcPr>
                <w:p w14:paraId="4EEBA3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7A717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3BF4BC8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镉</w:t>
                  </w:r>
                </w:p>
              </w:tc>
              <w:tc>
                <w:tcPr>
                  <w:tcW w:w="607" w:type="pct"/>
                  <w:vAlign w:val="center"/>
                </w:tcPr>
                <w:p w14:paraId="1187F4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65</w:t>
                  </w:r>
                </w:p>
              </w:tc>
              <w:tc>
                <w:tcPr>
                  <w:tcW w:w="607" w:type="pct"/>
                  <w:vAlign w:val="center"/>
                </w:tcPr>
                <w:p w14:paraId="563C97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172</w:t>
                  </w:r>
                </w:p>
              </w:tc>
              <w:tc>
                <w:tcPr>
                  <w:tcW w:w="859" w:type="pct"/>
                  <w:vAlign w:val="center"/>
                </w:tcPr>
                <w:p w14:paraId="777599D0">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0.142</w:t>
                  </w:r>
                </w:p>
              </w:tc>
              <w:tc>
                <w:tcPr>
                  <w:tcW w:w="859" w:type="pct"/>
                  <w:vAlign w:val="center"/>
                </w:tcPr>
                <w:p w14:paraId="39BEBF46">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0.122</w:t>
                  </w:r>
                </w:p>
              </w:tc>
              <w:tc>
                <w:tcPr>
                  <w:tcW w:w="729" w:type="pct"/>
                  <w:vAlign w:val="center"/>
                </w:tcPr>
                <w:p w14:paraId="47599D50">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2.03</w:t>
                  </w:r>
                </w:p>
              </w:tc>
              <w:tc>
                <w:tcPr>
                  <w:tcW w:w="481" w:type="pct"/>
                  <w:vAlign w:val="center"/>
                </w:tcPr>
                <w:p w14:paraId="23A204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04028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787EDF03">
                  <w:pPr>
                    <w:pStyle w:val="41"/>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eastAsiaTheme="minorEastAsia"/>
                      <w:color w:val="000000" w:themeColor="text1"/>
                      <w:szCs w:val="21"/>
                      <w:lang w:eastAsia="zh-CN"/>
                      <w14:textFill>
                        <w14:solidFill>
                          <w14:schemeClr w14:val="tx1"/>
                        </w14:solidFill>
                      </w14:textFill>
                    </w:rPr>
                  </w:pPr>
                  <w:r>
                    <w:rPr>
                      <w:rFonts w:hint="default" w:eastAsiaTheme="minorEastAsia"/>
                      <w:color w:val="000000" w:themeColor="text1"/>
                      <w:szCs w:val="21"/>
                      <w14:textFill>
                        <w14:solidFill>
                          <w14:schemeClr w14:val="tx1"/>
                        </w14:solidFill>
                      </w14:textFill>
                    </w:rPr>
                    <w:t>铅</w:t>
                  </w:r>
                </w:p>
              </w:tc>
              <w:tc>
                <w:tcPr>
                  <w:tcW w:w="607" w:type="pct"/>
                  <w:vAlign w:val="center"/>
                </w:tcPr>
                <w:p w14:paraId="234219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800</w:t>
                  </w:r>
                </w:p>
              </w:tc>
              <w:tc>
                <w:tcPr>
                  <w:tcW w:w="607" w:type="pct"/>
                  <w:vAlign w:val="center"/>
                </w:tcPr>
                <w:p w14:paraId="108AF8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2500</w:t>
                  </w:r>
                </w:p>
              </w:tc>
              <w:tc>
                <w:tcPr>
                  <w:tcW w:w="859" w:type="pct"/>
                  <w:vAlign w:val="center"/>
                </w:tcPr>
                <w:p w14:paraId="146E2029">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32.1</w:t>
                  </w:r>
                </w:p>
              </w:tc>
              <w:tc>
                <w:tcPr>
                  <w:tcW w:w="859" w:type="pct"/>
                  <w:vAlign w:val="center"/>
                </w:tcPr>
                <w:p w14:paraId="45FCAF7E">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45.1</w:t>
                  </w:r>
                </w:p>
              </w:tc>
              <w:tc>
                <w:tcPr>
                  <w:tcW w:w="729" w:type="pct"/>
                  <w:vAlign w:val="center"/>
                </w:tcPr>
                <w:p w14:paraId="7997C86D">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53.0</w:t>
                  </w:r>
                </w:p>
              </w:tc>
              <w:tc>
                <w:tcPr>
                  <w:tcW w:w="481" w:type="pct"/>
                  <w:vAlign w:val="center"/>
                </w:tcPr>
                <w:p w14:paraId="0EBA91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0D920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288A7C04">
                  <w:pPr>
                    <w:pStyle w:val="41"/>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eastAsiaTheme="minorEastAsia"/>
                      <w:color w:val="000000" w:themeColor="text1"/>
                      <w:szCs w:val="21"/>
                      <w:lang w:eastAsia="zh-CN"/>
                      <w14:textFill>
                        <w14:solidFill>
                          <w14:schemeClr w14:val="tx1"/>
                        </w14:solidFill>
                      </w14:textFill>
                    </w:rPr>
                  </w:pPr>
                  <w:r>
                    <w:rPr>
                      <w:rFonts w:hint="default" w:eastAsiaTheme="minorEastAsia"/>
                      <w:color w:val="000000" w:themeColor="text1"/>
                      <w:szCs w:val="21"/>
                      <w14:textFill>
                        <w14:solidFill>
                          <w14:schemeClr w14:val="tx1"/>
                        </w14:solidFill>
                      </w14:textFill>
                    </w:rPr>
                    <w:t>铜</w:t>
                  </w:r>
                </w:p>
              </w:tc>
              <w:tc>
                <w:tcPr>
                  <w:tcW w:w="607" w:type="pct"/>
                  <w:vAlign w:val="center"/>
                </w:tcPr>
                <w:p w14:paraId="7979BF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18000</w:t>
                  </w:r>
                </w:p>
              </w:tc>
              <w:tc>
                <w:tcPr>
                  <w:tcW w:w="607" w:type="pct"/>
                  <w:vAlign w:val="center"/>
                </w:tcPr>
                <w:p w14:paraId="31AEFF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36000</w:t>
                  </w:r>
                </w:p>
              </w:tc>
              <w:tc>
                <w:tcPr>
                  <w:tcW w:w="859" w:type="pct"/>
                  <w:vAlign w:val="center"/>
                </w:tcPr>
                <w:p w14:paraId="28B04174">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33.9</w:t>
                  </w:r>
                </w:p>
              </w:tc>
              <w:tc>
                <w:tcPr>
                  <w:tcW w:w="859" w:type="pct"/>
                  <w:vAlign w:val="center"/>
                </w:tcPr>
                <w:p w14:paraId="01967E9F">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64.0</w:t>
                  </w:r>
                </w:p>
              </w:tc>
              <w:tc>
                <w:tcPr>
                  <w:tcW w:w="729" w:type="pct"/>
                  <w:vAlign w:val="center"/>
                </w:tcPr>
                <w:p w14:paraId="336F4A5B">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172</w:t>
                  </w:r>
                </w:p>
              </w:tc>
              <w:tc>
                <w:tcPr>
                  <w:tcW w:w="481" w:type="pct"/>
                  <w:vAlign w:val="center"/>
                </w:tcPr>
                <w:p w14:paraId="4CFCC0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1F939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2AC41FED">
                  <w:pPr>
                    <w:pStyle w:val="41"/>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eastAsiaTheme="minorEastAsia"/>
                      <w:color w:val="000000" w:themeColor="text1"/>
                      <w:szCs w:val="21"/>
                      <w:lang w:eastAsia="zh-CN"/>
                      <w14:textFill>
                        <w14:solidFill>
                          <w14:schemeClr w14:val="tx1"/>
                        </w14:solidFill>
                      </w14:textFill>
                    </w:rPr>
                  </w:pPr>
                  <w:r>
                    <w:rPr>
                      <w:rFonts w:hint="default" w:eastAsiaTheme="minorEastAsia"/>
                      <w:color w:val="000000" w:themeColor="text1"/>
                      <w:szCs w:val="21"/>
                      <w14:textFill>
                        <w14:solidFill>
                          <w14:schemeClr w14:val="tx1"/>
                        </w14:solidFill>
                      </w14:textFill>
                    </w:rPr>
                    <w:t>镍</w:t>
                  </w:r>
                </w:p>
              </w:tc>
              <w:tc>
                <w:tcPr>
                  <w:tcW w:w="607" w:type="pct"/>
                  <w:vAlign w:val="center"/>
                </w:tcPr>
                <w:p w14:paraId="36FD96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900</w:t>
                  </w:r>
                </w:p>
              </w:tc>
              <w:tc>
                <w:tcPr>
                  <w:tcW w:w="607" w:type="pct"/>
                  <w:vAlign w:val="center"/>
                </w:tcPr>
                <w:p w14:paraId="273F42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2000</w:t>
                  </w:r>
                </w:p>
              </w:tc>
              <w:tc>
                <w:tcPr>
                  <w:tcW w:w="859" w:type="pct"/>
                  <w:vAlign w:val="center"/>
                </w:tcPr>
                <w:p w14:paraId="13A268EC">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38.0</w:t>
                  </w:r>
                </w:p>
              </w:tc>
              <w:tc>
                <w:tcPr>
                  <w:tcW w:w="859" w:type="pct"/>
                  <w:vAlign w:val="center"/>
                </w:tcPr>
                <w:p w14:paraId="54732570">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88.1</w:t>
                  </w:r>
                </w:p>
              </w:tc>
              <w:tc>
                <w:tcPr>
                  <w:tcW w:w="729" w:type="pct"/>
                  <w:vAlign w:val="center"/>
                </w:tcPr>
                <w:p w14:paraId="6DA62230">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124</w:t>
                  </w:r>
                </w:p>
              </w:tc>
              <w:tc>
                <w:tcPr>
                  <w:tcW w:w="481" w:type="pct"/>
                  <w:vAlign w:val="center"/>
                </w:tcPr>
                <w:p w14:paraId="3BA458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2C657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695C9784">
                  <w:pPr>
                    <w:pStyle w:val="41"/>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eastAsiaTheme="minorEastAsia"/>
                      <w:color w:val="000000" w:themeColor="text1"/>
                      <w:szCs w:val="21"/>
                      <w:lang w:eastAsia="zh-CN"/>
                      <w14:textFill>
                        <w14:solidFill>
                          <w14:schemeClr w14:val="tx1"/>
                        </w14:solidFill>
                      </w14:textFill>
                    </w:rPr>
                  </w:pPr>
                  <w:r>
                    <w:rPr>
                      <w:rFonts w:hint="default" w:eastAsiaTheme="minorEastAsia"/>
                      <w:color w:val="000000" w:themeColor="text1"/>
                      <w:szCs w:val="21"/>
                      <w14:textFill>
                        <w14:solidFill>
                          <w14:schemeClr w14:val="tx1"/>
                        </w14:solidFill>
                      </w14:textFill>
                    </w:rPr>
                    <w:t>汞</w:t>
                  </w:r>
                </w:p>
              </w:tc>
              <w:tc>
                <w:tcPr>
                  <w:tcW w:w="607" w:type="pct"/>
                  <w:vAlign w:val="center"/>
                </w:tcPr>
                <w:p w14:paraId="394ED7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38</w:t>
                  </w:r>
                </w:p>
              </w:tc>
              <w:tc>
                <w:tcPr>
                  <w:tcW w:w="607" w:type="pct"/>
                  <w:vAlign w:val="center"/>
                </w:tcPr>
                <w:p w14:paraId="7AEBB6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82</w:t>
                  </w:r>
                </w:p>
              </w:tc>
              <w:tc>
                <w:tcPr>
                  <w:tcW w:w="859" w:type="pct"/>
                  <w:vAlign w:val="center"/>
                </w:tcPr>
                <w:p w14:paraId="56F7A7E1">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0.0296</w:t>
                  </w:r>
                </w:p>
              </w:tc>
              <w:tc>
                <w:tcPr>
                  <w:tcW w:w="859" w:type="pct"/>
                  <w:vAlign w:val="center"/>
                </w:tcPr>
                <w:p w14:paraId="333E0B87">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0.0235</w:t>
                  </w:r>
                </w:p>
              </w:tc>
              <w:tc>
                <w:tcPr>
                  <w:tcW w:w="729" w:type="pct"/>
                  <w:vAlign w:val="center"/>
                </w:tcPr>
                <w:p w14:paraId="3B0A58E3">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0.0428</w:t>
                  </w:r>
                </w:p>
              </w:tc>
              <w:tc>
                <w:tcPr>
                  <w:tcW w:w="481" w:type="pct"/>
                  <w:vAlign w:val="center"/>
                </w:tcPr>
                <w:p w14:paraId="622E69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67861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7C844F3B">
                  <w:pPr>
                    <w:pStyle w:val="41"/>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eastAsiaTheme="minorEastAsia"/>
                      <w:color w:val="000000" w:themeColor="text1"/>
                      <w:szCs w:val="21"/>
                      <w:lang w:eastAsia="zh-CN"/>
                      <w14:textFill>
                        <w14:solidFill>
                          <w14:schemeClr w14:val="tx1"/>
                        </w14:solidFill>
                      </w14:textFill>
                    </w:rPr>
                  </w:pPr>
                  <w:r>
                    <w:rPr>
                      <w:rFonts w:hint="default" w:eastAsiaTheme="minorEastAsia"/>
                      <w:color w:val="000000" w:themeColor="text1"/>
                      <w:szCs w:val="21"/>
                      <w14:textFill>
                        <w14:solidFill>
                          <w14:schemeClr w14:val="tx1"/>
                        </w14:solidFill>
                      </w14:textFill>
                    </w:rPr>
                    <w:t>砷</w:t>
                  </w:r>
                </w:p>
              </w:tc>
              <w:tc>
                <w:tcPr>
                  <w:tcW w:w="607" w:type="pct"/>
                  <w:vAlign w:val="center"/>
                </w:tcPr>
                <w:p w14:paraId="15F5FC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60</w:t>
                  </w:r>
                </w:p>
              </w:tc>
              <w:tc>
                <w:tcPr>
                  <w:tcW w:w="607" w:type="pct"/>
                  <w:vAlign w:val="center"/>
                </w:tcPr>
                <w:p w14:paraId="74F409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140</w:t>
                  </w:r>
                </w:p>
              </w:tc>
              <w:tc>
                <w:tcPr>
                  <w:tcW w:w="859" w:type="pct"/>
                  <w:vAlign w:val="center"/>
                </w:tcPr>
                <w:p w14:paraId="2CD9F7D6">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12.2</w:t>
                  </w:r>
                </w:p>
              </w:tc>
              <w:tc>
                <w:tcPr>
                  <w:tcW w:w="859" w:type="pct"/>
                  <w:vAlign w:val="center"/>
                </w:tcPr>
                <w:p w14:paraId="72397A2C">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11.5</w:t>
                  </w:r>
                </w:p>
              </w:tc>
              <w:tc>
                <w:tcPr>
                  <w:tcW w:w="729" w:type="pct"/>
                  <w:vAlign w:val="center"/>
                </w:tcPr>
                <w:p w14:paraId="3ED1F509">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11.7</w:t>
                  </w:r>
                </w:p>
              </w:tc>
              <w:tc>
                <w:tcPr>
                  <w:tcW w:w="481" w:type="pct"/>
                  <w:vAlign w:val="center"/>
                </w:tcPr>
                <w:p w14:paraId="023E70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356D6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2F347A1D">
                  <w:pPr>
                    <w:pStyle w:val="41"/>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rPr>
                      <w:rFonts w:hint="default" w:eastAsiaTheme="minorEastAsia"/>
                      <w:color w:val="000000" w:themeColor="text1"/>
                      <w:szCs w:val="21"/>
                      <w:lang w:eastAsia="zh-CN"/>
                      <w14:textFill>
                        <w14:solidFill>
                          <w14:schemeClr w14:val="tx1"/>
                        </w14:solidFill>
                      </w14:textFill>
                    </w:rPr>
                  </w:pPr>
                  <w:r>
                    <w:rPr>
                      <w:rFonts w:hint="default" w:eastAsiaTheme="minorEastAsia"/>
                      <w:bCs/>
                      <w:color w:val="000000" w:themeColor="text1"/>
                      <w:szCs w:val="21"/>
                      <w14:textFill>
                        <w14:solidFill>
                          <w14:schemeClr w14:val="tx1"/>
                        </w14:solidFill>
                      </w14:textFill>
                    </w:rPr>
                    <w:t>氟化物</w:t>
                  </w:r>
                </w:p>
              </w:tc>
              <w:tc>
                <w:tcPr>
                  <w:tcW w:w="607" w:type="pct"/>
                  <w:vAlign w:val="center"/>
                </w:tcPr>
                <w:p w14:paraId="0E908B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07" w:type="pct"/>
                  <w:vAlign w:val="center"/>
                </w:tcPr>
                <w:p w14:paraId="5BEEFF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859" w:type="pct"/>
                  <w:vAlign w:val="center"/>
                </w:tcPr>
                <w:p w14:paraId="3D76F42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224</w:t>
                  </w:r>
                </w:p>
              </w:tc>
              <w:tc>
                <w:tcPr>
                  <w:tcW w:w="859" w:type="pct"/>
                  <w:vAlign w:val="center"/>
                </w:tcPr>
                <w:p w14:paraId="517D11AA">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221</w:t>
                  </w:r>
                </w:p>
              </w:tc>
              <w:tc>
                <w:tcPr>
                  <w:tcW w:w="729" w:type="pct"/>
                  <w:vAlign w:val="center"/>
                </w:tcPr>
                <w:p w14:paraId="6FF3F2D6">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288</w:t>
                  </w:r>
                </w:p>
              </w:tc>
              <w:tc>
                <w:tcPr>
                  <w:tcW w:w="481" w:type="pct"/>
                  <w:vAlign w:val="center"/>
                </w:tcPr>
                <w:p w14:paraId="5353D9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3721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4B3FC15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四氯化碳</w:t>
                  </w:r>
                </w:p>
              </w:tc>
              <w:tc>
                <w:tcPr>
                  <w:tcW w:w="607" w:type="pct"/>
                  <w:vAlign w:val="center"/>
                </w:tcPr>
                <w:p w14:paraId="6A7978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w:t>
                  </w:r>
                </w:p>
              </w:tc>
              <w:tc>
                <w:tcPr>
                  <w:tcW w:w="607" w:type="pct"/>
                  <w:vAlign w:val="center"/>
                </w:tcPr>
                <w:p w14:paraId="27D1F7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36</w:t>
                  </w:r>
                </w:p>
              </w:tc>
              <w:tc>
                <w:tcPr>
                  <w:tcW w:w="859" w:type="pct"/>
                  <w:vAlign w:val="center"/>
                </w:tcPr>
                <w:p w14:paraId="2E3058C2">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1DD8F74F">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5367076B">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2A5FFB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730CF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7043A6EF">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氯仿</w:t>
                  </w:r>
                </w:p>
              </w:tc>
              <w:tc>
                <w:tcPr>
                  <w:tcW w:w="607" w:type="pct"/>
                  <w:vAlign w:val="center"/>
                </w:tcPr>
                <w:p w14:paraId="49179A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0.9</w:t>
                  </w:r>
                </w:p>
              </w:tc>
              <w:tc>
                <w:tcPr>
                  <w:tcW w:w="607" w:type="pct"/>
                  <w:vAlign w:val="center"/>
                </w:tcPr>
                <w:p w14:paraId="50F51C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859" w:type="pct"/>
                  <w:vAlign w:val="center"/>
                </w:tcPr>
                <w:p w14:paraId="1625AA20">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0C2DD19C">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65C7B77D">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510CB8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6A84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76ABD1B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氯甲烷</w:t>
                  </w:r>
                </w:p>
              </w:tc>
              <w:tc>
                <w:tcPr>
                  <w:tcW w:w="607" w:type="pct"/>
                  <w:vAlign w:val="center"/>
                </w:tcPr>
                <w:p w14:paraId="2DBC18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37</w:t>
                  </w:r>
                </w:p>
              </w:tc>
              <w:tc>
                <w:tcPr>
                  <w:tcW w:w="607" w:type="pct"/>
                  <w:vAlign w:val="center"/>
                </w:tcPr>
                <w:p w14:paraId="64325B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120</w:t>
                  </w:r>
                </w:p>
              </w:tc>
              <w:tc>
                <w:tcPr>
                  <w:tcW w:w="859" w:type="pct"/>
                  <w:vAlign w:val="center"/>
                </w:tcPr>
                <w:p w14:paraId="32DE46B4">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vertAlign w:val="superscript"/>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67D3B557">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575C957A">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3E95D8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43DA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3854A32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1,1-二氯乙烷</w:t>
                  </w:r>
                </w:p>
              </w:tc>
              <w:tc>
                <w:tcPr>
                  <w:tcW w:w="607" w:type="pct"/>
                  <w:vAlign w:val="center"/>
                </w:tcPr>
                <w:p w14:paraId="0D5AE9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w:t>
                  </w:r>
                </w:p>
              </w:tc>
              <w:tc>
                <w:tcPr>
                  <w:tcW w:w="607" w:type="pct"/>
                  <w:vAlign w:val="center"/>
                </w:tcPr>
                <w:p w14:paraId="56E724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c>
                <w:tcPr>
                  <w:tcW w:w="859" w:type="pct"/>
                  <w:vAlign w:val="center"/>
                </w:tcPr>
                <w:p w14:paraId="2886BAF8">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6A0814B6">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63B13DBE">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501350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08761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3823937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1,2-二氯乙烷</w:t>
                  </w:r>
                </w:p>
              </w:tc>
              <w:tc>
                <w:tcPr>
                  <w:tcW w:w="607" w:type="pct"/>
                  <w:vAlign w:val="center"/>
                </w:tcPr>
                <w:p w14:paraId="40D551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w:t>
                  </w:r>
                </w:p>
              </w:tc>
              <w:tc>
                <w:tcPr>
                  <w:tcW w:w="607" w:type="pct"/>
                  <w:vAlign w:val="center"/>
                </w:tcPr>
                <w:p w14:paraId="50F835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21</w:t>
                  </w:r>
                </w:p>
              </w:tc>
              <w:tc>
                <w:tcPr>
                  <w:tcW w:w="859" w:type="pct"/>
                  <w:vAlign w:val="center"/>
                </w:tcPr>
                <w:p w14:paraId="5228B520">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2F063B1F">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47F7F34A">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462CEF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5DDE8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4B5DFC7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1,1-二氯乙烯</w:t>
                  </w:r>
                </w:p>
              </w:tc>
              <w:tc>
                <w:tcPr>
                  <w:tcW w:w="607" w:type="pct"/>
                  <w:vAlign w:val="center"/>
                </w:tcPr>
                <w:p w14:paraId="17BF59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66</w:t>
                  </w:r>
                </w:p>
              </w:tc>
              <w:tc>
                <w:tcPr>
                  <w:tcW w:w="607" w:type="pct"/>
                  <w:vAlign w:val="center"/>
                </w:tcPr>
                <w:p w14:paraId="7A42C6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200</w:t>
                  </w:r>
                </w:p>
              </w:tc>
              <w:tc>
                <w:tcPr>
                  <w:tcW w:w="859" w:type="pct"/>
                  <w:vAlign w:val="center"/>
                </w:tcPr>
                <w:p w14:paraId="37BF4117">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3EA37FCA">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443D6CB5">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782652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5780B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7819276C">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顺-1,2-二氯乙烯</w:t>
                  </w:r>
                </w:p>
              </w:tc>
              <w:tc>
                <w:tcPr>
                  <w:tcW w:w="607" w:type="pct"/>
                  <w:vAlign w:val="center"/>
                </w:tcPr>
                <w:p w14:paraId="3BC0F9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596</w:t>
                  </w:r>
                </w:p>
              </w:tc>
              <w:tc>
                <w:tcPr>
                  <w:tcW w:w="607" w:type="pct"/>
                  <w:vAlign w:val="center"/>
                </w:tcPr>
                <w:p w14:paraId="5119E2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2000</w:t>
                  </w:r>
                </w:p>
              </w:tc>
              <w:tc>
                <w:tcPr>
                  <w:tcW w:w="859" w:type="pct"/>
                  <w:vAlign w:val="center"/>
                </w:tcPr>
                <w:p w14:paraId="65D101C2">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vertAlign w:val="superscript"/>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409B60CC">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59E103C0">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105D47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6E76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049E59A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反-1,2-二氯乙烯</w:t>
                  </w:r>
                </w:p>
              </w:tc>
              <w:tc>
                <w:tcPr>
                  <w:tcW w:w="607" w:type="pct"/>
                  <w:vAlign w:val="center"/>
                </w:tcPr>
                <w:p w14:paraId="2F4370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54</w:t>
                  </w:r>
                </w:p>
              </w:tc>
              <w:tc>
                <w:tcPr>
                  <w:tcW w:w="607" w:type="pct"/>
                  <w:vAlign w:val="center"/>
                </w:tcPr>
                <w:p w14:paraId="5D828E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163</w:t>
                  </w:r>
                </w:p>
              </w:tc>
              <w:tc>
                <w:tcPr>
                  <w:tcW w:w="859" w:type="pct"/>
                  <w:vAlign w:val="center"/>
                </w:tcPr>
                <w:p w14:paraId="3E2F97CE">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vertAlign w:val="superscript"/>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3F9A16B9">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1AFEB782">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66BCA3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16EA9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2B1F118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二氯甲烷</w:t>
                  </w:r>
                </w:p>
              </w:tc>
              <w:tc>
                <w:tcPr>
                  <w:tcW w:w="607" w:type="pct"/>
                  <w:vAlign w:val="center"/>
                </w:tcPr>
                <w:p w14:paraId="0BB745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616</w:t>
                  </w:r>
                </w:p>
              </w:tc>
              <w:tc>
                <w:tcPr>
                  <w:tcW w:w="607" w:type="pct"/>
                  <w:vAlign w:val="center"/>
                </w:tcPr>
                <w:p w14:paraId="147396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2000</w:t>
                  </w:r>
                </w:p>
              </w:tc>
              <w:tc>
                <w:tcPr>
                  <w:tcW w:w="859" w:type="pct"/>
                  <w:vAlign w:val="center"/>
                </w:tcPr>
                <w:p w14:paraId="44B16F97">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77E9BFBF">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59E2A50F">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2E60AC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76BBE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716EC021">
                  <w:pPr>
                    <w:pStyle w:val="108"/>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rPr>
                      <w:rFonts w:hint="default" w:ascii="Times New Roman" w:hAnsi="Times New Roman" w:eastAsiaTheme="minorEastAsia"/>
                      <w:color w:val="000000" w:themeColor="text1"/>
                      <w:szCs w:val="21"/>
                      <w14:textFill>
                        <w14:solidFill>
                          <w14:schemeClr w14:val="tx1"/>
                        </w14:solidFill>
                      </w14:textFill>
                    </w:rPr>
                  </w:pPr>
                  <w:r>
                    <w:rPr>
                      <w:rFonts w:hint="default" w:ascii="Times New Roman" w:hAnsi="Times New Roman" w:eastAsiaTheme="minorEastAsia"/>
                      <w:color w:val="000000" w:themeColor="text1"/>
                      <w:szCs w:val="21"/>
                      <w14:textFill>
                        <w14:solidFill>
                          <w14:schemeClr w14:val="tx1"/>
                        </w14:solidFill>
                      </w14:textFill>
                    </w:rPr>
                    <w:t>1,2-二氯丙烷</w:t>
                  </w:r>
                </w:p>
              </w:tc>
              <w:tc>
                <w:tcPr>
                  <w:tcW w:w="607" w:type="pct"/>
                  <w:vAlign w:val="center"/>
                </w:tcPr>
                <w:p w14:paraId="3BC113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w:t>
                  </w:r>
                </w:p>
              </w:tc>
              <w:tc>
                <w:tcPr>
                  <w:tcW w:w="607" w:type="pct"/>
                  <w:vAlign w:val="center"/>
                </w:tcPr>
                <w:p w14:paraId="109165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47</w:t>
                  </w:r>
                </w:p>
              </w:tc>
              <w:tc>
                <w:tcPr>
                  <w:tcW w:w="859" w:type="pct"/>
                  <w:vAlign w:val="center"/>
                </w:tcPr>
                <w:p w14:paraId="601124A0">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vertAlign w:val="superscript"/>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458CDF72">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06831301">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611A8A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7F752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722236A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1,1,1,2-四氯乙烯</w:t>
                  </w:r>
                </w:p>
              </w:tc>
              <w:tc>
                <w:tcPr>
                  <w:tcW w:w="607" w:type="pct"/>
                  <w:vAlign w:val="center"/>
                </w:tcPr>
                <w:p w14:paraId="2D92A7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607" w:type="pct"/>
                  <w:vAlign w:val="center"/>
                </w:tcPr>
                <w:p w14:paraId="760F2A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c>
                <w:tcPr>
                  <w:tcW w:w="859" w:type="pct"/>
                  <w:vAlign w:val="center"/>
                </w:tcPr>
                <w:p w14:paraId="76B19623">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5043D188">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225BA362">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371EE8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7063E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4BEBA31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1,1,2,2-四氯乙烷</w:t>
                  </w:r>
                </w:p>
              </w:tc>
              <w:tc>
                <w:tcPr>
                  <w:tcW w:w="607" w:type="pct"/>
                  <w:vAlign w:val="center"/>
                </w:tcPr>
                <w:p w14:paraId="472911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6.8</w:t>
                  </w:r>
                </w:p>
              </w:tc>
              <w:tc>
                <w:tcPr>
                  <w:tcW w:w="607" w:type="pct"/>
                  <w:vAlign w:val="center"/>
                </w:tcPr>
                <w:p w14:paraId="4C0787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50</w:t>
                  </w:r>
                </w:p>
              </w:tc>
              <w:tc>
                <w:tcPr>
                  <w:tcW w:w="859" w:type="pct"/>
                  <w:vAlign w:val="center"/>
                </w:tcPr>
                <w:p w14:paraId="30468E3E">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vertAlign w:val="superscript"/>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6349AEC9">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5234786C">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26491E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6C13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0615FCB3">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四氯乙烯</w:t>
                  </w:r>
                </w:p>
              </w:tc>
              <w:tc>
                <w:tcPr>
                  <w:tcW w:w="607" w:type="pct"/>
                  <w:vAlign w:val="center"/>
                </w:tcPr>
                <w:p w14:paraId="177BC1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53</w:t>
                  </w:r>
                </w:p>
              </w:tc>
              <w:tc>
                <w:tcPr>
                  <w:tcW w:w="607" w:type="pct"/>
                  <w:vAlign w:val="center"/>
                </w:tcPr>
                <w:p w14:paraId="752CC7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183</w:t>
                  </w:r>
                </w:p>
              </w:tc>
              <w:tc>
                <w:tcPr>
                  <w:tcW w:w="859" w:type="pct"/>
                  <w:vAlign w:val="center"/>
                </w:tcPr>
                <w:p w14:paraId="6DA5C8B1">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5DA6451F">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68A52528">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4CBE37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14C6E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3DCC4C2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1,1,1-三氯乙烷</w:t>
                  </w:r>
                </w:p>
              </w:tc>
              <w:tc>
                <w:tcPr>
                  <w:tcW w:w="607" w:type="pct"/>
                  <w:vAlign w:val="center"/>
                </w:tcPr>
                <w:p w14:paraId="5E65B55E">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840</w:t>
                  </w:r>
                </w:p>
              </w:tc>
              <w:tc>
                <w:tcPr>
                  <w:tcW w:w="607" w:type="pct"/>
                  <w:vAlign w:val="center"/>
                </w:tcPr>
                <w:p w14:paraId="36C63D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840</w:t>
                  </w:r>
                </w:p>
              </w:tc>
              <w:tc>
                <w:tcPr>
                  <w:tcW w:w="859" w:type="pct"/>
                  <w:vAlign w:val="center"/>
                </w:tcPr>
                <w:p w14:paraId="4D683B8D">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vertAlign w:val="superscript"/>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68CB807E">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vertAlign w:val="superscript"/>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325AE690">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vertAlign w:val="superscript"/>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297F16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2D812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0F82881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1,1,2-三氯乙烷</w:t>
                  </w:r>
                </w:p>
              </w:tc>
              <w:tc>
                <w:tcPr>
                  <w:tcW w:w="607" w:type="pct"/>
                  <w:vAlign w:val="center"/>
                </w:tcPr>
                <w:p w14:paraId="21539FBE">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w:t>
                  </w:r>
                </w:p>
              </w:tc>
              <w:tc>
                <w:tcPr>
                  <w:tcW w:w="607" w:type="pct"/>
                  <w:vAlign w:val="center"/>
                </w:tcPr>
                <w:p w14:paraId="3DE1719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859" w:type="pct"/>
                  <w:vAlign w:val="center"/>
                </w:tcPr>
                <w:p w14:paraId="040AF9E2">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10C65865">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08660150">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39673C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0B081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0EF917D3">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三氯乙烯</w:t>
                  </w:r>
                </w:p>
              </w:tc>
              <w:tc>
                <w:tcPr>
                  <w:tcW w:w="607" w:type="pct"/>
                  <w:vAlign w:val="center"/>
                </w:tcPr>
                <w:p w14:paraId="2518ACF0">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w:t>
                  </w:r>
                </w:p>
              </w:tc>
              <w:tc>
                <w:tcPr>
                  <w:tcW w:w="607" w:type="pct"/>
                  <w:vAlign w:val="center"/>
                </w:tcPr>
                <w:p w14:paraId="2A5A00E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w:t>
                  </w:r>
                </w:p>
              </w:tc>
              <w:tc>
                <w:tcPr>
                  <w:tcW w:w="859" w:type="pct"/>
                  <w:vAlign w:val="center"/>
                </w:tcPr>
                <w:p w14:paraId="59A58D2A">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4B02B6BA">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548622AD">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273A7E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618C7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1DCAC68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1,2,3-三氯丙烷</w:t>
                  </w:r>
                </w:p>
              </w:tc>
              <w:tc>
                <w:tcPr>
                  <w:tcW w:w="607" w:type="pct"/>
                  <w:vAlign w:val="center"/>
                </w:tcPr>
                <w:p w14:paraId="48B7078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w:t>
                  </w:r>
                </w:p>
              </w:tc>
              <w:tc>
                <w:tcPr>
                  <w:tcW w:w="607" w:type="pct"/>
                  <w:vAlign w:val="center"/>
                </w:tcPr>
                <w:p w14:paraId="4192155C">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w:t>
                  </w:r>
                </w:p>
              </w:tc>
              <w:tc>
                <w:tcPr>
                  <w:tcW w:w="859" w:type="pct"/>
                  <w:vAlign w:val="center"/>
                </w:tcPr>
                <w:p w14:paraId="05A4AA4E">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74A361EC">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719973AD">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34F4E0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34FC5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1AAD6C4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氯乙烯</w:t>
                  </w:r>
                </w:p>
              </w:tc>
              <w:tc>
                <w:tcPr>
                  <w:tcW w:w="607" w:type="pct"/>
                  <w:vAlign w:val="center"/>
                </w:tcPr>
                <w:p w14:paraId="644E8A0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0.43</w:t>
                  </w:r>
                </w:p>
              </w:tc>
              <w:tc>
                <w:tcPr>
                  <w:tcW w:w="607" w:type="pct"/>
                  <w:vAlign w:val="center"/>
                </w:tcPr>
                <w:p w14:paraId="094CE45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4.3</w:t>
                  </w:r>
                </w:p>
              </w:tc>
              <w:tc>
                <w:tcPr>
                  <w:tcW w:w="859" w:type="pct"/>
                  <w:vAlign w:val="center"/>
                </w:tcPr>
                <w:p w14:paraId="75423C46">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vertAlign w:val="superscript"/>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1BA11E98">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vertAlign w:val="superscript"/>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5907847B">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0"/>
                      <w:szCs w:val="21"/>
                      <w:vertAlign w:val="superscript"/>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0BAC11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708E3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1B15773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苯</w:t>
                  </w:r>
                </w:p>
              </w:tc>
              <w:tc>
                <w:tcPr>
                  <w:tcW w:w="607" w:type="pct"/>
                  <w:vAlign w:val="center"/>
                </w:tcPr>
                <w:p w14:paraId="67E4B54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w:t>
                  </w:r>
                </w:p>
              </w:tc>
              <w:tc>
                <w:tcPr>
                  <w:tcW w:w="607" w:type="pct"/>
                  <w:vAlign w:val="center"/>
                </w:tcPr>
                <w:p w14:paraId="51D9546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40</w:t>
                  </w:r>
                </w:p>
              </w:tc>
              <w:tc>
                <w:tcPr>
                  <w:tcW w:w="859" w:type="pct"/>
                  <w:vAlign w:val="center"/>
                </w:tcPr>
                <w:p w14:paraId="4C7A3B3C">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1.9×10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7B883C3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1.9×10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41A8765C">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1.9×10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34DA66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22FA3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3E3A86D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vertAlign w:val="superscript"/>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氯苯</w:t>
                  </w:r>
                </w:p>
              </w:tc>
              <w:tc>
                <w:tcPr>
                  <w:tcW w:w="607" w:type="pct"/>
                  <w:vAlign w:val="center"/>
                </w:tcPr>
                <w:p w14:paraId="5D283FB6">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270</w:t>
                  </w:r>
                </w:p>
              </w:tc>
              <w:tc>
                <w:tcPr>
                  <w:tcW w:w="607" w:type="pct"/>
                  <w:vAlign w:val="center"/>
                </w:tcPr>
                <w:p w14:paraId="08BEEE5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1000</w:t>
                  </w:r>
                </w:p>
              </w:tc>
              <w:tc>
                <w:tcPr>
                  <w:tcW w:w="859" w:type="pct"/>
                  <w:vAlign w:val="center"/>
                </w:tcPr>
                <w:p w14:paraId="12304AF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04FE17D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11AF91E0">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26C3C9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6CC1D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6F3EDC1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1,2-二氯苯</w:t>
                  </w:r>
                </w:p>
              </w:tc>
              <w:tc>
                <w:tcPr>
                  <w:tcW w:w="607" w:type="pct"/>
                  <w:vAlign w:val="center"/>
                </w:tcPr>
                <w:p w14:paraId="0388CFBC">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560</w:t>
                  </w:r>
                </w:p>
              </w:tc>
              <w:tc>
                <w:tcPr>
                  <w:tcW w:w="607" w:type="pct"/>
                  <w:vAlign w:val="center"/>
                </w:tcPr>
                <w:p w14:paraId="5E4E7D9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560</w:t>
                  </w:r>
                </w:p>
              </w:tc>
              <w:tc>
                <w:tcPr>
                  <w:tcW w:w="859" w:type="pct"/>
                  <w:vAlign w:val="center"/>
                </w:tcPr>
                <w:p w14:paraId="298B8DC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vertAlign w:val="superscript"/>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04EAD95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51BE573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6F8F4E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58CFF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38792F6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1,4-二氯苯</w:t>
                  </w:r>
                </w:p>
              </w:tc>
              <w:tc>
                <w:tcPr>
                  <w:tcW w:w="607" w:type="pct"/>
                  <w:vAlign w:val="center"/>
                </w:tcPr>
                <w:p w14:paraId="53031F8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w:t>
                  </w:r>
                </w:p>
              </w:tc>
              <w:tc>
                <w:tcPr>
                  <w:tcW w:w="607" w:type="pct"/>
                  <w:vAlign w:val="center"/>
                </w:tcPr>
                <w:p w14:paraId="43308E8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200</w:t>
                  </w:r>
                </w:p>
              </w:tc>
              <w:tc>
                <w:tcPr>
                  <w:tcW w:w="859" w:type="pct"/>
                  <w:vAlign w:val="center"/>
                </w:tcPr>
                <w:p w14:paraId="4A05366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5EEEA2A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2497F5F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56931A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51751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02B9BBDF">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乙苯</w:t>
                  </w:r>
                </w:p>
              </w:tc>
              <w:tc>
                <w:tcPr>
                  <w:tcW w:w="607" w:type="pct"/>
                  <w:vAlign w:val="center"/>
                </w:tcPr>
                <w:p w14:paraId="6981C87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w:t>
                  </w:r>
                </w:p>
              </w:tc>
              <w:tc>
                <w:tcPr>
                  <w:tcW w:w="607" w:type="pct"/>
                  <w:vAlign w:val="center"/>
                </w:tcPr>
                <w:p w14:paraId="1F6E0E51">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280</w:t>
                  </w:r>
                </w:p>
              </w:tc>
              <w:tc>
                <w:tcPr>
                  <w:tcW w:w="859" w:type="pct"/>
                  <w:vAlign w:val="center"/>
                </w:tcPr>
                <w:p w14:paraId="35D83686">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6DA67ED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487A1ACC">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6A26E9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3098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09BDDE2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苯乙烯</w:t>
                  </w:r>
                </w:p>
              </w:tc>
              <w:tc>
                <w:tcPr>
                  <w:tcW w:w="607" w:type="pct"/>
                  <w:vAlign w:val="center"/>
                </w:tcPr>
                <w:p w14:paraId="2323FE9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1290</w:t>
                  </w:r>
                </w:p>
              </w:tc>
              <w:tc>
                <w:tcPr>
                  <w:tcW w:w="607" w:type="pct"/>
                  <w:vAlign w:val="center"/>
                </w:tcPr>
                <w:p w14:paraId="74FD4F13">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1290</w:t>
                  </w:r>
                </w:p>
              </w:tc>
              <w:tc>
                <w:tcPr>
                  <w:tcW w:w="859" w:type="pct"/>
                  <w:vAlign w:val="center"/>
                </w:tcPr>
                <w:p w14:paraId="222C68E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vertAlign w:val="superscript"/>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42FA670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43B1BCC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1631C2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745F0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00308CC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甲苯</w:t>
                  </w:r>
                </w:p>
              </w:tc>
              <w:tc>
                <w:tcPr>
                  <w:tcW w:w="607" w:type="pct"/>
                  <w:vAlign w:val="center"/>
                </w:tcPr>
                <w:p w14:paraId="6FB19CE6">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1200</w:t>
                  </w:r>
                </w:p>
              </w:tc>
              <w:tc>
                <w:tcPr>
                  <w:tcW w:w="607" w:type="pct"/>
                  <w:vAlign w:val="center"/>
                </w:tcPr>
                <w:p w14:paraId="0435E8DE">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1200</w:t>
                  </w:r>
                </w:p>
              </w:tc>
              <w:tc>
                <w:tcPr>
                  <w:tcW w:w="859" w:type="pct"/>
                  <w:vAlign w:val="center"/>
                </w:tcPr>
                <w:p w14:paraId="5E4CAC4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2B1E229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15D0E62E">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2367FC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7089B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1966F0D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间二甲苯+对二甲苯</w:t>
                  </w:r>
                </w:p>
              </w:tc>
              <w:tc>
                <w:tcPr>
                  <w:tcW w:w="607" w:type="pct"/>
                  <w:vAlign w:val="center"/>
                </w:tcPr>
                <w:p w14:paraId="467E54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570</w:t>
                  </w:r>
                </w:p>
              </w:tc>
              <w:tc>
                <w:tcPr>
                  <w:tcW w:w="607" w:type="pct"/>
                  <w:vAlign w:val="center"/>
                </w:tcPr>
                <w:p w14:paraId="6A231781">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570</w:t>
                  </w:r>
                </w:p>
              </w:tc>
              <w:tc>
                <w:tcPr>
                  <w:tcW w:w="859" w:type="pct"/>
                  <w:vAlign w:val="center"/>
                </w:tcPr>
                <w:p w14:paraId="00F7FECA">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vertAlign w:val="superscript"/>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21EC9891">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7D0B56F0">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2CAF45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64EE5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2665688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邻二甲苯</w:t>
                  </w:r>
                </w:p>
              </w:tc>
              <w:tc>
                <w:tcPr>
                  <w:tcW w:w="607" w:type="pct"/>
                  <w:vAlign w:val="center"/>
                </w:tcPr>
                <w:p w14:paraId="66B8F8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640</w:t>
                  </w:r>
                </w:p>
              </w:tc>
              <w:tc>
                <w:tcPr>
                  <w:tcW w:w="607" w:type="pct"/>
                  <w:vAlign w:val="center"/>
                </w:tcPr>
                <w:p w14:paraId="69D42746">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640</w:t>
                  </w:r>
                </w:p>
              </w:tc>
              <w:tc>
                <w:tcPr>
                  <w:tcW w:w="859" w:type="pct"/>
                  <w:vAlign w:val="center"/>
                </w:tcPr>
                <w:p w14:paraId="622FB9D2">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vertAlign w:val="superscript"/>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859" w:type="pct"/>
                  <w:vAlign w:val="center"/>
                </w:tcPr>
                <w:p w14:paraId="2AE2A722">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729" w:type="pct"/>
                  <w:vAlign w:val="center"/>
                </w:tcPr>
                <w:p w14:paraId="3E9DA308">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1.2×10</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L</w:t>
                  </w:r>
                </w:p>
              </w:tc>
              <w:tc>
                <w:tcPr>
                  <w:tcW w:w="481" w:type="pct"/>
                  <w:vAlign w:val="center"/>
                </w:tcPr>
                <w:p w14:paraId="6A4205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1808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087801A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vertAlign w:val="superscript"/>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硝基苯</w:t>
                  </w:r>
                </w:p>
              </w:tc>
              <w:tc>
                <w:tcPr>
                  <w:tcW w:w="607" w:type="pct"/>
                  <w:vAlign w:val="center"/>
                </w:tcPr>
                <w:p w14:paraId="2EE4D9A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76</w:t>
                  </w:r>
                </w:p>
              </w:tc>
              <w:tc>
                <w:tcPr>
                  <w:tcW w:w="607" w:type="pct"/>
                  <w:vAlign w:val="center"/>
                </w:tcPr>
                <w:p w14:paraId="167D19E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760</w:t>
                  </w:r>
                </w:p>
              </w:tc>
              <w:tc>
                <w:tcPr>
                  <w:tcW w:w="859" w:type="pct"/>
                  <w:vAlign w:val="center"/>
                </w:tcPr>
                <w:p w14:paraId="4914D1E6">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0.09L</w:t>
                  </w:r>
                </w:p>
              </w:tc>
              <w:tc>
                <w:tcPr>
                  <w:tcW w:w="859" w:type="pct"/>
                  <w:vAlign w:val="center"/>
                </w:tcPr>
                <w:p w14:paraId="45160553">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0.09L</w:t>
                  </w:r>
                </w:p>
              </w:tc>
              <w:tc>
                <w:tcPr>
                  <w:tcW w:w="729" w:type="pct"/>
                  <w:vAlign w:val="center"/>
                </w:tcPr>
                <w:p w14:paraId="4F527FA1">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0.09L</w:t>
                  </w:r>
                </w:p>
              </w:tc>
              <w:tc>
                <w:tcPr>
                  <w:tcW w:w="481" w:type="pct"/>
                  <w:vAlign w:val="center"/>
                </w:tcPr>
                <w:p w14:paraId="570D8E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46BF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04368711">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苯胺</w:t>
                  </w:r>
                </w:p>
              </w:tc>
              <w:tc>
                <w:tcPr>
                  <w:tcW w:w="607" w:type="pct"/>
                  <w:vAlign w:val="center"/>
                </w:tcPr>
                <w:p w14:paraId="4774D3A6">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260</w:t>
                  </w:r>
                </w:p>
              </w:tc>
              <w:tc>
                <w:tcPr>
                  <w:tcW w:w="607" w:type="pct"/>
                  <w:vAlign w:val="center"/>
                </w:tcPr>
                <w:p w14:paraId="5B65D91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663</w:t>
                  </w:r>
                </w:p>
              </w:tc>
              <w:tc>
                <w:tcPr>
                  <w:tcW w:w="859" w:type="pct"/>
                  <w:vAlign w:val="center"/>
                </w:tcPr>
                <w:p w14:paraId="56B1BC36">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859" w:type="pct"/>
                  <w:vAlign w:val="center"/>
                </w:tcPr>
                <w:p w14:paraId="0631B162">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729" w:type="pct"/>
                  <w:vAlign w:val="center"/>
                </w:tcPr>
                <w:p w14:paraId="6CC9B942">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481" w:type="pct"/>
                  <w:vAlign w:val="center"/>
                </w:tcPr>
                <w:p w14:paraId="2EC3A7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658BD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6629487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2-氯酚</w:t>
                  </w:r>
                </w:p>
              </w:tc>
              <w:tc>
                <w:tcPr>
                  <w:tcW w:w="607" w:type="pct"/>
                  <w:vAlign w:val="center"/>
                </w:tcPr>
                <w:p w14:paraId="1BC1D0E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2256</w:t>
                  </w:r>
                </w:p>
              </w:tc>
              <w:tc>
                <w:tcPr>
                  <w:tcW w:w="607" w:type="pct"/>
                  <w:vAlign w:val="center"/>
                </w:tcPr>
                <w:p w14:paraId="3F23384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4500</w:t>
                  </w:r>
                </w:p>
              </w:tc>
              <w:tc>
                <w:tcPr>
                  <w:tcW w:w="859" w:type="pct"/>
                  <w:vAlign w:val="center"/>
                </w:tcPr>
                <w:p w14:paraId="50351345">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0.06L</w:t>
                  </w:r>
                </w:p>
              </w:tc>
              <w:tc>
                <w:tcPr>
                  <w:tcW w:w="859" w:type="pct"/>
                  <w:vAlign w:val="center"/>
                </w:tcPr>
                <w:p w14:paraId="194B2CEB">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0.06L</w:t>
                  </w:r>
                </w:p>
              </w:tc>
              <w:tc>
                <w:tcPr>
                  <w:tcW w:w="729" w:type="pct"/>
                  <w:vAlign w:val="center"/>
                </w:tcPr>
                <w:p w14:paraId="402BF638">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0.06L</w:t>
                  </w:r>
                </w:p>
              </w:tc>
              <w:tc>
                <w:tcPr>
                  <w:tcW w:w="481" w:type="pct"/>
                  <w:vAlign w:val="center"/>
                </w:tcPr>
                <w:p w14:paraId="00E698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74118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4D20AE3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苯并[a]蒽</w:t>
                  </w:r>
                </w:p>
              </w:tc>
              <w:tc>
                <w:tcPr>
                  <w:tcW w:w="607" w:type="pct"/>
                  <w:vAlign w:val="center"/>
                </w:tcPr>
                <w:p w14:paraId="59F210E0">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607" w:type="pct"/>
                  <w:vAlign w:val="center"/>
                </w:tcPr>
                <w:p w14:paraId="222D76F3">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151</w:t>
                  </w:r>
                </w:p>
              </w:tc>
              <w:tc>
                <w:tcPr>
                  <w:tcW w:w="859" w:type="pct"/>
                  <w:vAlign w:val="center"/>
                </w:tcPr>
                <w:p w14:paraId="79FC1CE1">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859" w:type="pct"/>
                  <w:vAlign w:val="center"/>
                </w:tcPr>
                <w:p w14:paraId="64F0270A">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729" w:type="pct"/>
                  <w:vAlign w:val="center"/>
                </w:tcPr>
                <w:p w14:paraId="0C42A2E7">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481" w:type="pct"/>
                  <w:vAlign w:val="center"/>
                </w:tcPr>
                <w:p w14:paraId="074976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2A94B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06B7F29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苯并[a]芘</w:t>
                  </w:r>
                </w:p>
              </w:tc>
              <w:tc>
                <w:tcPr>
                  <w:tcW w:w="607" w:type="pct"/>
                  <w:vAlign w:val="center"/>
                </w:tcPr>
                <w:p w14:paraId="2B7AC27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607" w:type="pct"/>
                  <w:vAlign w:val="center"/>
                </w:tcPr>
                <w:p w14:paraId="414C101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859" w:type="pct"/>
                  <w:vAlign w:val="center"/>
                </w:tcPr>
                <w:p w14:paraId="585DF406">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859" w:type="pct"/>
                  <w:vAlign w:val="center"/>
                </w:tcPr>
                <w:p w14:paraId="77CC999F">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729" w:type="pct"/>
                  <w:vAlign w:val="center"/>
                </w:tcPr>
                <w:p w14:paraId="5E51475F">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481" w:type="pct"/>
                  <w:vAlign w:val="center"/>
                </w:tcPr>
                <w:p w14:paraId="0CBCDC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23904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6F3F7FC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苯并[b]荧蒽</w:t>
                  </w:r>
                </w:p>
              </w:tc>
              <w:tc>
                <w:tcPr>
                  <w:tcW w:w="607" w:type="pct"/>
                  <w:vAlign w:val="center"/>
                </w:tcPr>
                <w:p w14:paraId="2EEB24F3">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607" w:type="pct"/>
                  <w:vAlign w:val="center"/>
                </w:tcPr>
                <w:p w14:paraId="2178B67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151</w:t>
                  </w:r>
                </w:p>
              </w:tc>
              <w:tc>
                <w:tcPr>
                  <w:tcW w:w="859" w:type="pct"/>
                  <w:vAlign w:val="center"/>
                </w:tcPr>
                <w:p w14:paraId="4DC253B4">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0.2L</w:t>
                  </w:r>
                </w:p>
              </w:tc>
              <w:tc>
                <w:tcPr>
                  <w:tcW w:w="859" w:type="pct"/>
                  <w:vAlign w:val="center"/>
                </w:tcPr>
                <w:p w14:paraId="7E03D3A5">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0.2L</w:t>
                  </w:r>
                </w:p>
              </w:tc>
              <w:tc>
                <w:tcPr>
                  <w:tcW w:w="729" w:type="pct"/>
                  <w:vAlign w:val="center"/>
                </w:tcPr>
                <w:p w14:paraId="03D10A57">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0.2L</w:t>
                  </w:r>
                </w:p>
              </w:tc>
              <w:tc>
                <w:tcPr>
                  <w:tcW w:w="481" w:type="pct"/>
                  <w:vAlign w:val="center"/>
                </w:tcPr>
                <w:p w14:paraId="253A56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0CB1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704B3B6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苯并[k]荧蒽</w:t>
                  </w:r>
                </w:p>
              </w:tc>
              <w:tc>
                <w:tcPr>
                  <w:tcW w:w="607" w:type="pct"/>
                  <w:vAlign w:val="center"/>
                </w:tcPr>
                <w:p w14:paraId="2D5B761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151</w:t>
                  </w:r>
                </w:p>
              </w:tc>
              <w:tc>
                <w:tcPr>
                  <w:tcW w:w="607" w:type="pct"/>
                  <w:vAlign w:val="center"/>
                </w:tcPr>
                <w:p w14:paraId="24E0CDEC">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1500</w:t>
                  </w:r>
                </w:p>
              </w:tc>
              <w:tc>
                <w:tcPr>
                  <w:tcW w:w="859" w:type="pct"/>
                  <w:vAlign w:val="center"/>
                </w:tcPr>
                <w:p w14:paraId="71262515">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859" w:type="pct"/>
                  <w:vAlign w:val="center"/>
                </w:tcPr>
                <w:p w14:paraId="3C69708B">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729" w:type="pct"/>
                  <w:vAlign w:val="center"/>
                </w:tcPr>
                <w:p w14:paraId="341A7722">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481" w:type="pct"/>
                  <w:vAlign w:val="center"/>
                </w:tcPr>
                <w:p w14:paraId="0752A7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6CED4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1DBBFF6E">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崫</w:t>
                  </w:r>
                </w:p>
              </w:tc>
              <w:tc>
                <w:tcPr>
                  <w:tcW w:w="607" w:type="pct"/>
                  <w:vAlign w:val="center"/>
                </w:tcPr>
                <w:p w14:paraId="519C1A2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1293</w:t>
                  </w:r>
                </w:p>
              </w:tc>
              <w:tc>
                <w:tcPr>
                  <w:tcW w:w="607" w:type="pct"/>
                  <w:vAlign w:val="center"/>
                </w:tcPr>
                <w:p w14:paraId="44EE72D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12900</w:t>
                  </w:r>
                </w:p>
              </w:tc>
              <w:tc>
                <w:tcPr>
                  <w:tcW w:w="859" w:type="pct"/>
                  <w:vAlign w:val="center"/>
                </w:tcPr>
                <w:p w14:paraId="4C0604C6">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859" w:type="pct"/>
                  <w:vAlign w:val="center"/>
                </w:tcPr>
                <w:p w14:paraId="63CB0E9A">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729" w:type="pct"/>
                  <w:vAlign w:val="center"/>
                </w:tcPr>
                <w:p w14:paraId="1F238923">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481" w:type="pct"/>
                  <w:vAlign w:val="center"/>
                </w:tcPr>
                <w:p w14:paraId="2C071C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52874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3C61422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二苯并[a,h]蒽</w:t>
                  </w:r>
                </w:p>
              </w:tc>
              <w:tc>
                <w:tcPr>
                  <w:tcW w:w="607" w:type="pct"/>
                  <w:vAlign w:val="center"/>
                </w:tcPr>
                <w:p w14:paraId="207087C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607" w:type="pct"/>
                  <w:vAlign w:val="center"/>
                </w:tcPr>
                <w:p w14:paraId="5C7FDB0F">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859" w:type="pct"/>
                  <w:vAlign w:val="center"/>
                </w:tcPr>
                <w:p w14:paraId="66AC0730">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859" w:type="pct"/>
                  <w:vAlign w:val="center"/>
                </w:tcPr>
                <w:p w14:paraId="00961AB0">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729" w:type="pct"/>
                  <w:vAlign w:val="center"/>
                </w:tcPr>
                <w:p w14:paraId="0D490E13">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481" w:type="pct"/>
                  <w:vAlign w:val="center"/>
                </w:tcPr>
                <w:p w14:paraId="166364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73B10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679051F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茚并[1,2,3-cd]芘</w:t>
                  </w:r>
                </w:p>
              </w:tc>
              <w:tc>
                <w:tcPr>
                  <w:tcW w:w="607" w:type="pct"/>
                  <w:vAlign w:val="center"/>
                </w:tcPr>
                <w:p w14:paraId="4FB252EE">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607" w:type="pct"/>
                  <w:vAlign w:val="center"/>
                </w:tcPr>
                <w:p w14:paraId="4963C5F3">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151</w:t>
                  </w:r>
                </w:p>
              </w:tc>
              <w:tc>
                <w:tcPr>
                  <w:tcW w:w="859" w:type="pct"/>
                  <w:vAlign w:val="center"/>
                </w:tcPr>
                <w:p w14:paraId="18C57AB6">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859" w:type="pct"/>
                  <w:vAlign w:val="center"/>
                </w:tcPr>
                <w:p w14:paraId="2D046268">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729" w:type="pct"/>
                  <w:vAlign w:val="center"/>
                </w:tcPr>
                <w:p w14:paraId="492BEB07">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0.1L</w:t>
                  </w:r>
                </w:p>
              </w:tc>
              <w:tc>
                <w:tcPr>
                  <w:tcW w:w="481" w:type="pct"/>
                  <w:vAlign w:val="center"/>
                </w:tcPr>
                <w:p w14:paraId="19BE7D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44FD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pct"/>
                  <w:vAlign w:val="center"/>
                </w:tcPr>
                <w:p w14:paraId="43FA8463">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cs="Times New Roman"/>
                      <w:color w:val="000000" w:themeColor="text1"/>
                      <w:szCs w:val="21"/>
                      <w:vertAlign w:val="superscript"/>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萘</w:t>
                  </w:r>
                </w:p>
              </w:tc>
              <w:tc>
                <w:tcPr>
                  <w:tcW w:w="607" w:type="pct"/>
                  <w:vAlign w:val="center"/>
                </w:tcPr>
                <w:p w14:paraId="2C0A55A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70</w:t>
                  </w:r>
                </w:p>
              </w:tc>
              <w:tc>
                <w:tcPr>
                  <w:tcW w:w="607" w:type="pct"/>
                  <w:vAlign w:val="center"/>
                </w:tcPr>
                <w:p w14:paraId="4A7F807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700</w:t>
                  </w:r>
                </w:p>
              </w:tc>
              <w:tc>
                <w:tcPr>
                  <w:tcW w:w="859" w:type="pct"/>
                  <w:vAlign w:val="center"/>
                </w:tcPr>
                <w:p w14:paraId="4041B0F2">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0.09L</w:t>
                  </w:r>
                </w:p>
              </w:tc>
              <w:tc>
                <w:tcPr>
                  <w:tcW w:w="859" w:type="pct"/>
                  <w:vAlign w:val="center"/>
                </w:tcPr>
                <w:p w14:paraId="3CC3EA93">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0.09L</w:t>
                  </w:r>
                </w:p>
              </w:tc>
              <w:tc>
                <w:tcPr>
                  <w:tcW w:w="729" w:type="pct"/>
                  <w:vAlign w:val="center"/>
                </w:tcPr>
                <w:p w14:paraId="6D2A37EC">
                  <w:pPr>
                    <w:pStyle w:val="86"/>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0.09L</w:t>
                  </w:r>
                </w:p>
              </w:tc>
              <w:tc>
                <w:tcPr>
                  <w:tcW w:w="481" w:type="pct"/>
                  <w:vAlign w:val="center"/>
                </w:tcPr>
                <w:p w14:paraId="00BEFC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bl>
          <w:p w14:paraId="63600FA3">
            <w:pPr>
              <w:keepNext w:val="0"/>
              <w:keepLines w:val="0"/>
              <w:suppressLineNumbers w:val="0"/>
              <w:spacing w:before="0" w:beforeAutospacing="0" w:after="0" w:afterAutospacing="0" w:line="360" w:lineRule="auto"/>
              <w:ind w:left="0" w:right="0" w:firstLine="480" w:firstLineChars="200"/>
              <w:jc w:val="both"/>
              <w:rPr>
                <w:rFonts w:hint="eastAsia" w:eastAsia="宋体" w:cs="Times New Roman"/>
                <w:b/>
                <w:bCs/>
                <w:color w:val="auto"/>
                <w:kern w:val="0"/>
                <w:sz w:val="24"/>
                <w:szCs w:val="24"/>
                <w:lang w:val="en-US" w:eastAsia="zh-CN"/>
              </w:rPr>
            </w:pPr>
            <w:r>
              <w:rPr>
                <w:rFonts w:hint="default" w:ascii="Times New Roman" w:hAnsi="Times New Roman" w:cs="Times New Roman"/>
                <w:color w:val="000000" w:themeColor="text1"/>
                <w:sz w:val="24"/>
                <w14:textFill>
                  <w14:solidFill>
                    <w14:schemeClr w14:val="tx1"/>
                  </w14:solidFill>
                </w14:textFill>
              </w:rPr>
              <w:t>由监测结果可知，</w:t>
            </w:r>
            <w:r>
              <w:rPr>
                <w:rFonts w:hint="eastAsia" w:ascii="Times New Roman" w:hAnsi="Times New Roman" w:cs="Times New Roman"/>
                <w:color w:val="000000" w:themeColor="text1"/>
                <w:sz w:val="24"/>
                <w:lang w:val="en-US" w:eastAsia="zh-CN"/>
                <w14:textFill>
                  <w14:solidFill>
                    <w14:schemeClr w14:val="tx1"/>
                  </w14:solidFill>
                </w14:textFill>
              </w:rPr>
              <w:t>项目区</w:t>
            </w:r>
            <w:r>
              <w:rPr>
                <w:rFonts w:hint="default" w:ascii="Times New Roman" w:hAnsi="Times New Roman" w:cs="Times New Roman"/>
                <w:color w:val="000000" w:themeColor="text1"/>
                <w:sz w:val="24"/>
                <w14:textFill>
                  <w14:solidFill>
                    <w14:schemeClr w14:val="tx1"/>
                  </w14:solidFill>
                </w14:textFill>
              </w:rPr>
              <w:t>内监测点各监测因子均满足《土壤环境质量-建设用地土壤污染风险管控标准（试行）》（GB36600-2018）中第二类用地筛选值及管控值标准要求</w:t>
            </w:r>
            <w:r>
              <w:rPr>
                <w:rFonts w:hint="eastAsia" w:ascii="Times New Roman" w:hAnsi="Times New Roman" w:cs="Times New Roman"/>
                <w:color w:val="000000" w:themeColor="text1"/>
                <w:sz w:val="24"/>
                <w:lang w:eastAsia="zh-CN"/>
                <w14:textFill>
                  <w14:solidFill>
                    <w14:schemeClr w14:val="tx1"/>
                  </w14:solidFill>
                </w14:textFill>
              </w:rPr>
              <w:t>。</w:t>
            </w:r>
          </w:p>
          <w:p w14:paraId="0ACF8B2C">
            <w:pPr>
              <w:keepNext w:val="0"/>
              <w:keepLines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0"/>
                <w:sz w:val="24"/>
                <w:szCs w:val="24"/>
              </w:rPr>
            </w:pPr>
            <w:r>
              <w:rPr>
                <w:rFonts w:hint="eastAsia" w:cs="Times New Roman"/>
                <w:b/>
                <w:bCs/>
                <w:color w:val="auto"/>
                <w:kern w:val="0"/>
                <w:sz w:val="24"/>
                <w:szCs w:val="24"/>
                <w:lang w:val="en-US" w:eastAsia="zh-CN"/>
              </w:rPr>
              <w:t>6</w:t>
            </w:r>
            <w:r>
              <w:rPr>
                <w:rFonts w:hint="default" w:ascii="Times New Roman" w:hAnsi="Times New Roman" w:eastAsia="宋体" w:cs="Times New Roman"/>
                <w:b/>
                <w:bCs/>
                <w:color w:val="auto"/>
                <w:kern w:val="0"/>
                <w:sz w:val="24"/>
                <w:szCs w:val="24"/>
              </w:rPr>
              <w:t>、生态环境质量现状</w:t>
            </w:r>
          </w:p>
          <w:p w14:paraId="1E9238C0">
            <w:pPr>
              <w:keepNext w:val="0"/>
              <w:keepLines w:val="0"/>
              <w:widowControl/>
              <w:suppressLineNumbers w:val="0"/>
              <w:tabs>
                <w:tab w:val="left" w:pos="0"/>
                <w:tab w:val="left" w:pos="540"/>
              </w:tabs>
              <w:adjustRightInd w:val="0"/>
              <w:snapToGrid w:val="0"/>
              <w:spacing w:before="0" w:beforeAutospacing="0" w:after="0" w:afterAutospacing="0" w:line="360" w:lineRule="auto"/>
              <w:ind w:left="0" w:right="0" w:firstLine="480" w:firstLineChars="200"/>
              <w:rPr>
                <w:rFonts w:hint="default" w:ascii="Times New Roman" w:hAnsi="Times New Roman"/>
                <w:color w:val="auto"/>
                <w:sz w:val="24"/>
                <w:szCs w:val="24"/>
                <w:highlight w:val="none"/>
              </w:rPr>
            </w:pPr>
            <w:r>
              <w:rPr>
                <w:rFonts w:hint="default" w:ascii="Times New Roman" w:hAnsi="Times New Roman" w:eastAsia="宋体" w:cs="Times New Roman"/>
                <w:color w:val="auto"/>
                <w:kern w:val="0"/>
                <w:sz w:val="24"/>
                <w:szCs w:val="24"/>
                <w:highlight w:val="none"/>
                <w:lang w:eastAsia="zh-CN"/>
              </w:rPr>
              <w:t>本项目位于</w:t>
            </w:r>
            <w:r>
              <w:rPr>
                <w:rFonts w:hint="eastAsia" w:ascii="Times New Roman" w:hAnsi="Times New Roman" w:eastAsia="宋体" w:cs="Times New Roman"/>
                <w:color w:val="auto"/>
                <w:sz w:val="24"/>
                <w:szCs w:val="24"/>
                <w:highlight w:val="none"/>
                <w:lang w:val="en-US" w:eastAsia="zh-CN"/>
              </w:rPr>
              <w:t>白石岩—大白坡片区</w:t>
            </w:r>
            <w:r>
              <w:rPr>
                <w:rFonts w:hint="eastAsia" w:cs="Times New Roman"/>
                <w:color w:val="auto"/>
                <w:sz w:val="24"/>
                <w:szCs w:val="24"/>
                <w:highlight w:val="none"/>
                <w:lang w:val="en-US" w:eastAsia="zh-CN"/>
              </w:rPr>
              <w:t>哨箐</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项目周边</w:t>
            </w:r>
            <w:r>
              <w:rPr>
                <w:rFonts w:hint="eastAsia"/>
                <w:color w:val="auto"/>
                <w:sz w:val="24"/>
                <w:szCs w:val="24"/>
                <w:highlight w:val="none"/>
              </w:rPr>
              <w:t>无生态环境保护目标，</w:t>
            </w:r>
            <w:r>
              <w:rPr>
                <w:rFonts w:hint="default" w:ascii="Times New Roman" w:hAnsi="Times New Roman" w:eastAsia="宋体" w:cs="Times New Roman"/>
                <w:color w:val="auto"/>
                <w:kern w:val="0"/>
                <w:sz w:val="24"/>
                <w:szCs w:val="24"/>
                <w:highlight w:val="none"/>
                <w:lang w:eastAsia="zh-CN"/>
              </w:rPr>
              <w:t>无需开展生态现状调查</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经现场踏勘，</w:t>
            </w:r>
            <w:r>
              <w:rPr>
                <w:rFonts w:hint="eastAsia" w:ascii="宋体" w:hAnsi="宋体" w:eastAsia="宋体" w:cs="宋体"/>
                <w:color w:val="auto"/>
                <w:kern w:val="0"/>
                <w:sz w:val="24"/>
                <w:szCs w:val="24"/>
                <w:highlight w:val="none"/>
                <w:lang w:val="en-US" w:eastAsia="zh-CN" w:bidi="ar"/>
              </w:rPr>
              <w:t>项目</w:t>
            </w:r>
            <w:r>
              <w:rPr>
                <w:rFonts w:hint="eastAsia" w:hAnsi="宋体" w:eastAsia="宋体" w:cs="宋体"/>
                <w:color w:val="auto"/>
                <w:kern w:val="0"/>
                <w:sz w:val="24"/>
                <w:szCs w:val="24"/>
                <w:highlight w:val="none"/>
                <w:lang w:val="en-US" w:eastAsia="zh-CN" w:bidi="ar"/>
              </w:rPr>
              <w:t>周边</w:t>
            </w:r>
            <w:r>
              <w:rPr>
                <w:rFonts w:hint="eastAsia" w:ascii="宋体" w:hAnsi="宋体" w:eastAsia="宋体" w:cs="宋体"/>
                <w:color w:val="auto"/>
                <w:kern w:val="0"/>
                <w:sz w:val="24"/>
                <w:szCs w:val="24"/>
                <w:highlight w:val="none"/>
                <w:lang w:val="en-US" w:eastAsia="zh-CN" w:bidi="ar"/>
              </w:rPr>
              <w:t>植物主要为绿化植物，动物为一般常见物种，如麻雀、老鼠等，项目区内未发现国家和省级重点保护的珍稀和濒危植物，也无国家和省级重点保护的野生动物。生态环境质量一般。</w:t>
            </w:r>
          </w:p>
          <w:p w14:paraId="158B4EF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kern w:val="0"/>
                <w:szCs w:val="21"/>
              </w:rPr>
            </w:pPr>
            <w:r>
              <w:rPr>
                <w:rFonts w:hint="default" w:ascii="Times New Roman" w:hAnsi="Times New Roman"/>
                <w:color w:val="auto"/>
                <w:sz w:val="24"/>
                <w:szCs w:val="24"/>
                <w:highlight w:val="none"/>
              </w:rPr>
              <w:t>据现场调查，本项目</w:t>
            </w:r>
            <w:r>
              <w:rPr>
                <w:rFonts w:hint="eastAsia" w:ascii="Times New Roman" w:hAnsi="Times New Roman"/>
                <w:color w:val="auto"/>
                <w:sz w:val="24"/>
                <w:szCs w:val="24"/>
                <w:highlight w:val="none"/>
                <w:lang w:eastAsia="zh-CN"/>
              </w:rPr>
              <w:t>为扩建项目，在原有已建成标准厂房进行扩建</w:t>
            </w:r>
            <w:r>
              <w:rPr>
                <w:rFonts w:hint="default" w:ascii="Times New Roman" w:hAnsi="Times New Roman"/>
                <w:color w:val="auto"/>
                <w:sz w:val="24"/>
                <w:szCs w:val="24"/>
                <w:highlight w:val="none"/>
              </w:rPr>
              <w:t>，厂房土地性质为工业用地，不新增用地，无动土工程，对生态环境的影响较小。</w:t>
            </w:r>
          </w:p>
        </w:tc>
      </w:tr>
      <w:tr w14:paraId="1BAF9D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0" w:type="dxa"/>
            <w:noWrap w:val="0"/>
            <w:vAlign w:val="center"/>
          </w:tcPr>
          <w:p w14:paraId="6259C7C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环境</w:t>
            </w:r>
          </w:p>
          <w:p w14:paraId="6927F0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保护</w:t>
            </w:r>
          </w:p>
          <w:p w14:paraId="5712F34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4"/>
                <w:szCs w:val="24"/>
              </w:rPr>
              <w:t>目标</w:t>
            </w:r>
          </w:p>
        </w:tc>
        <w:tc>
          <w:tcPr>
            <w:tcW w:w="8190" w:type="dxa"/>
            <w:noWrap w:val="0"/>
            <w:vAlign w:val="top"/>
          </w:tcPr>
          <w:p w14:paraId="586BB4C7">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项目周边环境保护目标及保护标准见表3-</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p>
          <w:p w14:paraId="138D189D">
            <w:pPr>
              <w:keepNext w:val="0"/>
              <w:keepLines w:val="0"/>
              <w:pageBreakBefore w:val="0"/>
              <w:widowControl/>
              <w:suppressLineNumbers w:val="0"/>
              <w:tabs>
                <w:tab w:val="left" w:pos="7521"/>
              </w:tabs>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表3-</w:t>
            </w:r>
            <w:r>
              <w:rPr>
                <w:rFonts w:hint="eastAsia"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rPr>
              <w:t>主要环境保护目标一览表</w:t>
            </w:r>
          </w:p>
          <w:tbl>
            <w:tblPr>
              <w:tblStyle w:val="28"/>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4"/>
              <w:gridCol w:w="798"/>
              <w:gridCol w:w="653"/>
              <w:gridCol w:w="496"/>
              <w:gridCol w:w="856"/>
              <w:gridCol w:w="1432"/>
              <w:gridCol w:w="1328"/>
              <w:gridCol w:w="946"/>
              <w:gridCol w:w="1210"/>
            </w:tblGrid>
            <w:tr w14:paraId="60AAD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97" w:hRule="atLeast"/>
                <w:jc w:val="center"/>
              </w:trPr>
              <w:tc>
                <w:tcPr>
                  <w:tcW w:w="4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BD4B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保护目标类型</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1891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保护目标</w:t>
                  </w:r>
                </w:p>
              </w:tc>
              <w:tc>
                <w:tcPr>
                  <w:tcW w:w="3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8236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方向</w:t>
                  </w:r>
                </w:p>
              </w:tc>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5CAC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功能</w:t>
                  </w:r>
                </w:p>
              </w:tc>
              <w:tc>
                <w:tcPr>
                  <w:tcW w:w="5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3BCA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距离</w:t>
                  </w: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A6EB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经纬度</w:t>
                  </w:r>
                </w:p>
              </w:tc>
              <w:tc>
                <w:tcPr>
                  <w:tcW w:w="56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128C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人口数量</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D38E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保护级别</w:t>
                  </w:r>
                </w:p>
              </w:tc>
            </w:tr>
            <w:tr w14:paraId="460EE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50A166">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3CBD8">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u w:val="none"/>
                    </w:rPr>
                  </w:pPr>
                </w:p>
              </w:tc>
              <w:tc>
                <w:tcPr>
                  <w:tcW w:w="3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88E56">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u w:val="none"/>
                    </w:rPr>
                  </w:pP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F705C">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u w:val="none"/>
                    </w:rPr>
                  </w:pPr>
                </w:p>
              </w:tc>
              <w:tc>
                <w:tcPr>
                  <w:tcW w:w="5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1C008">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u w:val="none"/>
                    </w:rPr>
                  </w:pP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BCD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东经</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8C4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北纬</w:t>
                  </w:r>
                </w:p>
              </w:tc>
              <w:tc>
                <w:tcPr>
                  <w:tcW w:w="5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72EAD">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u w:val="none"/>
                    </w:rPr>
                  </w:pP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AF66A">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u w:val="none"/>
                    </w:rPr>
                  </w:pPr>
                </w:p>
              </w:tc>
            </w:tr>
            <w:tr w14:paraId="1E9EE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B107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大气环境</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E39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哨箐村</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B56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南侧</w:t>
                  </w:r>
                </w:p>
              </w:tc>
              <w:tc>
                <w:tcPr>
                  <w:tcW w:w="2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48CA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自然村</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506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130m</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526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102°27′48.92″</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547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25°16′9.97″</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8E6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w:t>
                  </w:r>
                  <w:r>
                    <w:rPr>
                      <w:rFonts w:hint="eastAsia" w:ascii="宋体" w:hAnsi="宋体" w:eastAsia="宋体" w:cs="宋体"/>
                      <w:i w:val="0"/>
                      <w:iCs w:val="0"/>
                      <w:color w:val="auto"/>
                      <w:kern w:val="0"/>
                      <w:sz w:val="21"/>
                      <w:szCs w:val="21"/>
                      <w:u w:val="none"/>
                      <w:lang w:val="en-US" w:eastAsia="zh-CN" w:bidi="ar"/>
                    </w:rPr>
                    <w:t>户，</w:t>
                  </w:r>
                  <w:r>
                    <w:rPr>
                      <w:rFonts w:hint="default" w:ascii="Times New Roman" w:hAnsi="Times New Roman" w:eastAsia="宋体" w:cs="Times New Roman"/>
                      <w:i w:val="0"/>
                      <w:iCs w:val="0"/>
                      <w:color w:val="auto"/>
                      <w:kern w:val="0"/>
                      <w:sz w:val="21"/>
                      <w:szCs w:val="21"/>
                      <w:u w:val="none"/>
                      <w:lang w:val="en-US" w:eastAsia="zh-CN" w:bidi="ar"/>
                    </w:rPr>
                    <w:t>340</w:t>
                  </w:r>
                  <w:r>
                    <w:rPr>
                      <w:rFonts w:hint="eastAsia" w:ascii="宋体" w:hAnsi="宋体" w:eastAsia="宋体" w:cs="宋体"/>
                      <w:i w:val="0"/>
                      <w:iCs w:val="0"/>
                      <w:color w:val="auto"/>
                      <w:kern w:val="0"/>
                      <w:sz w:val="21"/>
                      <w:szCs w:val="21"/>
                      <w:u w:val="none"/>
                      <w:lang w:val="en-US" w:eastAsia="zh-CN" w:bidi="ar"/>
                    </w:rPr>
                    <w:t>人</w:t>
                  </w:r>
                </w:p>
              </w:tc>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AE8F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《环境空气质量标准》（</w:t>
                  </w:r>
                  <w:r>
                    <w:rPr>
                      <w:rFonts w:hint="default" w:ascii="Times New Roman" w:hAnsi="Times New Roman" w:eastAsia="宋体" w:cs="Times New Roman"/>
                      <w:i w:val="0"/>
                      <w:iCs w:val="0"/>
                      <w:color w:val="auto"/>
                      <w:kern w:val="0"/>
                      <w:sz w:val="21"/>
                      <w:szCs w:val="21"/>
                      <w:u w:val="none"/>
                      <w:lang w:val="en-US" w:eastAsia="zh-CN" w:bidi="ar"/>
                    </w:rPr>
                    <w:t>GB3095- 2012</w:t>
                  </w:r>
                  <w:r>
                    <w:rPr>
                      <w:rFonts w:hint="eastAsia" w:ascii="宋体" w:hAnsi="宋体" w:eastAsia="宋体" w:cs="宋体"/>
                      <w:i w:val="0"/>
                      <w:iCs w:val="0"/>
                      <w:color w:val="auto"/>
                      <w:kern w:val="0"/>
                      <w:sz w:val="21"/>
                      <w:szCs w:val="21"/>
                      <w:u w:val="none"/>
                      <w:lang w:val="en-US" w:eastAsia="zh-CN" w:bidi="ar"/>
                    </w:rPr>
                    <w:t>）二级标准</w:t>
                  </w:r>
                </w:p>
              </w:tc>
            </w:tr>
            <w:tr w14:paraId="2656A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F2B5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2AC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石桥</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7AE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北南侧</w:t>
                  </w: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45DB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1E9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r>
                    <w:rPr>
                      <w:rFonts w:hint="eastAsia"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m</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3D2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102°27′53.26″</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54A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25°16′28.55″</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F21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r>
                    <w:rPr>
                      <w:rFonts w:hint="eastAsia" w:ascii="宋体" w:hAnsi="宋体" w:eastAsia="宋体" w:cs="宋体"/>
                      <w:i w:val="0"/>
                      <w:iCs w:val="0"/>
                      <w:color w:val="auto"/>
                      <w:kern w:val="0"/>
                      <w:sz w:val="21"/>
                      <w:szCs w:val="21"/>
                      <w:u w:val="none"/>
                      <w:lang w:val="en-US" w:eastAsia="zh-CN" w:bidi="ar"/>
                    </w:rPr>
                    <w:t>户，</w:t>
                  </w:r>
                  <w:r>
                    <w:rPr>
                      <w:rFonts w:hint="default" w:ascii="Times New Roman" w:hAnsi="Times New Roman" w:eastAsia="宋体" w:cs="Times New Roman"/>
                      <w:i w:val="0"/>
                      <w:iCs w:val="0"/>
                      <w:color w:val="auto"/>
                      <w:kern w:val="0"/>
                      <w:sz w:val="21"/>
                      <w:szCs w:val="21"/>
                      <w:u w:val="none"/>
                      <w:lang w:val="en-US" w:eastAsia="zh-CN" w:bidi="ar"/>
                    </w:rPr>
                    <w:t>330</w:t>
                  </w:r>
                  <w:r>
                    <w:rPr>
                      <w:rFonts w:hint="eastAsia" w:ascii="宋体" w:hAnsi="宋体" w:eastAsia="宋体" w:cs="宋体"/>
                      <w:i w:val="0"/>
                      <w:iCs w:val="0"/>
                      <w:color w:val="auto"/>
                      <w:kern w:val="0"/>
                      <w:sz w:val="21"/>
                      <w:szCs w:val="21"/>
                      <w:u w:val="none"/>
                      <w:lang w:val="en-US" w:eastAsia="zh-CN" w:bidi="ar"/>
                    </w:rPr>
                    <w:t>人</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064E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r>
            <w:tr w14:paraId="69AC6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003A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372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南充</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83A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东北侧</w:t>
                  </w: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E3A5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E38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449m</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F06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102°27′59.76″</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C6B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25°16′28.8″</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06B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r>
                    <w:rPr>
                      <w:rFonts w:hint="eastAsia" w:ascii="宋体" w:hAnsi="宋体" w:eastAsia="宋体" w:cs="宋体"/>
                      <w:i w:val="0"/>
                      <w:iCs w:val="0"/>
                      <w:color w:val="auto"/>
                      <w:kern w:val="0"/>
                      <w:sz w:val="21"/>
                      <w:szCs w:val="21"/>
                      <w:u w:val="none"/>
                      <w:lang w:val="en-US" w:eastAsia="zh-CN" w:bidi="ar"/>
                    </w:rPr>
                    <w:t>户，</w:t>
                  </w:r>
                  <w:r>
                    <w:rPr>
                      <w:rFonts w:hint="default" w:ascii="Times New Roman" w:hAnsi="Times New Roman" w:eastAsia="宋体" w:cs="Times New Roman"/>
                      <w:i w:val="0"/>
                      <w:iCs w:val="0"/>
                      <w:color w:val="auto"/>
                      <w:kern w:val="0"/>
                      <w:sz w:val="21"/>
                      <w:szCs w:val="21"/>
                      <w:u w:val="none"/>
                      <w:lang w:val="en-US" w:eastAsia="zh-CN" w:bidi="ar"/>
                    </w:rPr>
                    <w:t>42</w:t>
                  </w:r>
                  <w:r>
                    <w:rPr>
                      <w:rFonts w:hint="eastAsia" w:ascii="宋体" w:hAnsi="宋体" w:eastAsia="宋体" w:cs="宋体"/>
                      <w:i w:val="0"/>
                      <w:iCs w:val="0"/>
                      <w:color w:val="auto"/>
                      <w:kern w:val="0"/>
                      <w:sz w:val="21"/>
                      <w:szCs w:val="21"/>
                      <w:u w:val="none"/>
                      <w:lang w:val="en-US" w:eastAsia="zh-CN" w:bidi="ar"/>
                    </w:rPr>
                    <w:t>人</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0659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r>
            <w:tr w14:paraId="2AD7C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5DC53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906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西冲村</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E3A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西</w:t>
                  </w:r>
                  <w:r>
                    <w:rPr>
                      <w:rFonts w:hint="eastAsia" w:ascii="宋体" w:hAnsi="宋体" w:eastAsia="宋体" w:cs="宋体"/>
                      <w:i w:val="0"/>
                      <w:iCs w:val="0"/>
                      <w:color w:val="auto"/>
                      <w:kern w:val="0"/>
                      <w:sz w:val="21"/>
                      <w:szCs w:val="21"/>
                      <w:u w:val="none"/>
                      <w:lang w:val="en-US" w:eastAsia="zh-CN" w:bidi="ar"/>
                    </w:rPr>
                    <w:t>北侧</w:t>
                  </w:r>
                </w:p>
              </w:tc>
              <w:tc>
                <w:tcPr>
                  <w:tcW w:w="2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77F7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B39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470</w:t>
                  </w:r>
                  <w:r>
                    <w:rPr>
                      <w:rFonts w:hint="default" w:ascii="Times New Roman" w:hAnsi="Times New Roman" w:eastAsia="宋体" w:cs="Times New Roman"/>
                      <w:i w:val="0"/>
                      <w:iCs w:val="0"/>
                      <w:color w:val="auto"/>
                      <w:kern w:val="0"/>
                      <w:sz w:val="21"/>
                      <w:szCs w:val="21"/>
                      <w:u w:val="none"/>
                      <w:lang w:val="en-US" w:eastAsia="zh-CN" w:bidi="ar"/>
                    </w:rPr>
                    <w:t>m</w:t>
                  </w:r>
                </w:p>
              </w:tc>
              <w:tc>
                <w:tcPr>
                  <w:tcW w:w="8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307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102°27′27.22″</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A07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25°16′23.45″</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762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35</w:t>
                  </w:r>
                  <w:r>
                    <w:rPr>
                      <w:rFonts w:hint="eastAsia" w:ascii="宋体" w:hAnsi="宋体" w:eastAsia="宋体" w:cs="宋体"/>
                      <w:i w:val="0"/>
                      <w:iCs w:val="0"/>
                      <w:color w:val="auto"/>
                      <w:kern w:val="0"/>
                      <w:sz w:val="21"/>
                      <w:szCs w:val="21"/>
                      <w:u w:val="none"/>
                      <w:lang w:val="en-US" w:eastAsia="zh-CN" w:bidi="ar"/>
                    </w:rPr>
                    <w:t>户，</w:t>
                  </w:r>
                  <w:r>
                    <w:rPr>
                      <w:rFonts w:hint="eastAsia" w:cs="Times New Roman"/>
                      <w:i w:val="0"/>
                      <w:iCs w:val="0"/>
                      <w:color w:val="auto"/>
                      <w:kern w:val="0"/>
                      <w:sz w:val="21"/>
                      <w:szCs w:val="21"/>
                      <w:u w:val="none"/>
                      <w:lang w:val="en-US" w:eastAsia="zh-CN" w:bidi="ar"/>
                    </w:rPr>
                    <w:t>160</w:t>
                  </w:r>
                  <w:r>
                    <w:rPr>
                      <w:rFonts w:hint="eastAsia" w:ascii="宋体" w:hAnsi="宋体" w:eastAsia="宋体" w:cs="宋体"/>
                      <w:i w:val="0"/>
                      <w:iCs w:val="0"/>
                      <w:color w:val="auto"/>
                      <w:kern w:val="0"/>
                      <w:sz w:val="21"/>
                      <w:szCs w:val="21"/>
                      <w:u w:val="none"/>
                      <w:lang w:val="en-US" w:eastAsia="zh-CN" w:bidi="ar"/>
                    </w:rPr>
                    <w:t>人</w:t>
                  </w:r>
                </w:p>
              </w:tc>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FAF5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r>
            <w:tr w14:paraId="1369E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497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声环境</w:t>
                  </w:r>
                </w:p>
              </w:tc>
              <w:tc>
                <w:tcPr>
                  <w:tcW w:w="4586"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22A7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lang w:val="en-US" w:eastAsia="zh-CN"/>
                    </w:rPr>
                    <w:t>项目周边50m范围内无声环境关心点</w:t>
                  </w:r>
                </w:p>
              </w:tc>
            </w:tr>
            <w:tr w14:paraId="34507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3D1D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地表水环境</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816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清水河</w:t>
                  </w:r>
                </w:p>
              </w:tc>
              <w:tc>
                <w:tcPr>
                  <w:tcW w:w="339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E6546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i w:val="0"/>
                      <w:iCs w:val="0"/>
                      <w:color w:val="auto"/>
                      <w:sz w:val="21"/>
                      <w:szCs w:val="21"/>
                      <w:u w:val="none"/>
                    </w:rPr>
                  </w:pPr>
                  <w:r>
                    <w:rPr>
                      <w:rFonts w:hint="eastAsia" w:ascii="Times New Roman" w:hAnsi="Times New Roman" w:cs="Times New Roman"/>
                      <w:color w:val="auto"/>
                      <w:sz w:val="21"/>
                      <w:szCs w:val="22"/>
                      <w:highlight w:val="none"/>
                      <w:lang w:val="en-US" w:eastAsia="zh-CN"/>
                    </w:rPr>
                    <w:t>位于项目南面，由西向东径流过项目区，下游汇入螳螂川，本项目与清水河最近距离为2.2km。</w:t>
                  </w:r>
                </w:p>
              </w:tc>
              <w:tc>
                <w:tcPr>
                  <w:tcW w:w="719" w:type="pct"/>
                  <w:vMerge w:val="restart"/>
                  <w:tcBorders>
                    <w:top w:val="single" w:color="000000" w:sz="4" w:space="0"/>
                    <w:left w:val="single" w:color="000000" w:sz="4" w:space="0"/>
                    <w:right w:val="single" w:color="000000" w:sz="4" w:space="0"/>
                  </w:tcBorders>
                  <w:shd w:val="clear" w:color="auto" w:fill="auto"/>
                  <w:vAlign w:val="center"/>
                </w:tcPr>
                <w:p w14:paraId="2C3168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《地表水环境质量标准》（</w:t>
                  </w:r>
                  <w:r>
                    <w:rPr>
                      <w:rFonts w:hint="default" w:ascii="Times New Roman" w:hAnsi="Times New Roman" w:eastAsia="宋体" w:cs="Times New Roman"/>
                      <w:i w:val="0"/>
                      <w:iCs w:val="0"/>
                      <w:color w:val="auto"/>
                      <w:kern w:val="0"/>
                      <w:sz w:val="21"/>
                      <w:szCs w:val="21"/>
                      <w:u w:val="none"/>
                      <w:lang w:val="en-US" w:eastAsia="zh-CN" w:bidi="ar"/>
                    </w:rPr>
                    <w:t>GB3838- 2002</w:t>
                  </w:r>
                  <w:r>
                    <w:rPr>
                      <w:rFonts w:hint="eastAsia" w:ascii="宋体" w:hAnsi="宋体" w:eastAsia="宋体" w:cs="宋体"/>
                      <w:i w:val="0"/>
                      <w:iCs w:val="0"/>
                      <w:color w:val="auto"/>
                      <w:kern w:val="0"/>
                      <w:sz w:val="21"/>
                      <w:szCs w:val="21"/>
                      <w:u w:val="none"/>
                      <w:lang w:val="en-US" w:eastAsia="zh-CN" w:bidi="ar"/>
                    </w:rPr>
                    <w:t>）Ⅳ类标准</w:t>
                  </w:r>
                </w:p>
              </w:tc>
            </w:tr>
            <w:tr w14:paraId="3DD72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DD9C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848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螳螂川</w:t>
                  </w:r>
                </w:p>
              </w:tc>
              <w:tc>
                <w:tcPr>
                  <w:tcW w:w="339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B66BE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i w:val="0"/>
                      <w:iCs w:val="0"/>
                      <w:color w:val="auto"/>
                      <w:sz w:val="21"/>
                      <w:szCs w:val="21"/>
                      <w:u w:val="none"/>
                    </w:rPr>
                  </w:pPr>
                  <w:r>
                    <w:rPr>
                      <w:rFonts w:hint="eastAsia" w:ascii="Times New Roman" w:hAnsi="Times New Roman" w:cs="Times New Roman"/>
                      <w:color w:val="auto"/>
                      <w:sz w:val="21"/>
                      <w:szCs w:val="22"/>
                      <w:highlight w:val="none"/>
                      <w:lang w:val="en-US" w:eastAsia="zh-CN"/>
                    </w:rPr>
                    <w:t>位于项目</w:t>
                  </w:r>
                  <w:r>
                    <w:rPr>
                      <w:rFonts w:hint="default" w:ascii="Times New Roman" w:hAnsi="Times New Roman" w:cs="Times New Roman"/>
                      <w:color w:val="auto"/>
                      <w:sz w:val="21"/>
                      <w:szCs w:val="22"/>
                      <w:highlight w:val="none"/>
                      <w:lang w:val="en-US" w:eastAsia="zh-CN"/>
                    </w:rPr>
                    <w:t>东</w:t>
                  </w:r>
                  <w:r>
                    <w:rPr>
                      <w:rFonts w:hint="eastAsia" w:ascii="Times New Roman" w:hAnsi="Times New Roman" w:cs="Times New Roman"/>
                      <w:color w:val="auto"/>
                      <w:sz w:val="21"/>
                      <w:szCs w:val="22"/>
                      <w:highlight w:val="none"/>
                      <w:lang w:val="en-US" w:eastAsia="zh-CN"/>
                    </w:rPr>
                    <w:t>面，由南向北径流过项目区，本项目与螳螂川最近距离为1.3km。</w:t>
                  </w:r>
                </w:p>
              </w:tc>
              <w:tc>
                <w:tcPr>
                  <w:tcW w:w="719" w:type="pct"/>
                  <w:vMerge w:val="continue"/>
                  <w:tcBorders>
                    <w:left w:val="single" w:color="000000" w:sz="4" w:space="0"/>
                    <w:bottom w:val="single" w:color="000000" w:sz="4" w:space="0"/>
                    <w:right w:val="single" w:color="000000" w:sz="4" w:space="0"/>
                  </w:tcBorders>
                  <w:shd w:val="clear" w:color="auto" w:fill="auto"/>
                  <w:vAlign w:val="center"/>
                </w:tcPr>
                <w:p w14:paraId="69CE2DC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r>
            <w:tr w14:paraId="16590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F7B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生态环境</w:t>
                  </w:r>
                </w:p>
              </w:tc>
              <w:tc>
                <w:tcPr>
                  <w:tcW w:w="386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D4CA5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cs="Times New Roman"/>
                      <w:color w:val="auto"/>
                      <w:sz w:val="21"/>
                      <w:szCs w:val="21"/>
                      <w:highlight w:val="none"/>
                      <w:lang w:val="en-US" w:eastAsia="zh-CN"/>
                    </w:rPr>
                    <w:t>项目位于富民</w:t>
                  </w:r>
                  <w:r>
                    <w:rPr>
                      <w:rFonts w:hint="default" w:ascii="Times New Roman" w:hAnsi="Times New Roman" w:cs="Times New Roman"/>
                      <w:color w:val="auto"/>
                      <w:sz w:val="21"/>
                      <w:szCs w:val="21"/>
                      <w:highlight w:val="none"/>
                      <w:lang w:val="en-US" w:eastAsia="zh-CN"/>
                    </w:rPr>
                    <w:t>工业园区</w:t>
                  </w:r>
                  <w:r>
                    <w:rPr>
                      <w:rFonts w:hint="eastAsia" w:ascii="Times New Roman" w:hAnsi="Times New Roman" w:eastAsia="宋体" w:cs="Times New Roman"/>
                      <w:color w:val="auto"/>
                      <w:sz w:val="21"/>
                      <w:szCs w:val="21"/>
                      <w:highlight w:val="none"/>
                      <w:lang w:val="en-US" w:eastAsia="zh-CN"/>
                    </w:rPr>
                    <w:t>白石岩—大白坡片区</w:t>
                  </w:r>
                  <w:r>
                    <w:rPr>
                      <w:rFonts w:hint="eastAsia" w:cs="Times New Roman"/>
                      <w:color w:val="auto"/>
                      <w:sz w:val="21"/>
                      <w:szCs w:val="21"/>
                      <w:highlight w:val="none"/>
                      <w:lang w:val="en-US" w:eastAsia="zh-CN"/>
                    </w:rPr>
                    <w:t>哨箐</w:t>
                  </w:r>
                  <w:r>
                    <w:rPr>
                      <w:rFonts w:hint="eastAsia" w:ascii="Times New Roman" w:hAnsi="Times New Roman" w:eastAsia="宋体" w:cs="Times New Roman"/>
                      <w:color w:val="auto"/>
                      <w:sz w:val="21"/>
                      <w:szCs w:val="21"/>
                      <w:highlight w:val="none"/>
                      <w:lang w:val="en-US" w:eastAsia="zh-CN"/>
                    </w:rPr>
                    <w:t>组团</w:t>
                  </w:r>
                  <w:r>
                    <w:rPr>
                      <w:rFonts w:hint="eastAsia" w:ascii="Times New Roman" w:hAnsi="Times New Roman" w:cs="Times New Roman"/>
                      <w:color w:val="auto"/>
                      <w:sz w:val="21"/>
                      <w:szCs w:val="21"/>
                      <w:highlight w:val="none"/>
                      <w:lang w:val="en-US" w:eastAsia="zh-CN"/>
                    </w:rPr>
                    <w:t>内</w:t>
                  </w:r>
                  <w:r>
                    <w:rPr>
                      <w:rFonts w:hint="default" w:ascii="Times New Roman" w:hAnsi="Times New Roman" w:cs="Times New Roman"/>
                      <w:color w:val="auto"/>
                      <w:sz w:val="21"/>
                      <w:szCs w:val="21"/>
                      <w:highlight w:val="none"/>
                    </w:rPr>
                    <w:t>，无生态环境保护目标</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93C8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bl>
          <w:p w14:paraId="20661C45">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0"/>
                <w:szCs w:val="21"/>
              </w:rPr>
            </w:pPr>
          </w:p>
        </w:tc>
      </w:tr>
      <w:tr w14:paraId="6C557D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tcMar>
              <w:left w:w="28" w:type="dxa"/>
              <w:right w:w="28" w:type="dxa"/>
            </w:tcMar>
            <w:vAlign w:val="center"/>
          </w:tcPr>
          <w:p w14:paraId="3A6D91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污染</w:t>
            </w:r>
          </w:p>
          <w:p w14:paraId="7B03A79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物排</w:t>
            </w:r>
          </w:p>
          <w:p w14:paraId="2C47662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放控</w:t>
            </w:r>
          </w:p>
          <w:p w14:paraId="3D074BF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制标</w:t>
            </w:r>
          </w:p>
          <w:p w14:paraId="12B3606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4"/>
                <w:szCs w:val="24"/>
              </w:rPr>
              <w:t>准</w:t>
            </w:r>
          </w:p>
        </w:tc>
        <w:tc>
          <w:tcPr>
            <w:tcW w:w="8190" w:type="dxa"/>
            <w:noWrap w:val="0"/>
            <w:vAlign w:val="center"/>
          </w:tcPr>
          <w:p w14:paraId="11692D54">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一、大气污染物排放标准</w:t>
            </w:r>
          </w:p>
          <w:p w14:paraId="66D4D1A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（1）施工期</w:t>
            </w:r>
          </w:p>
          <w:p w14:paraId="7DB9504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扬尘执行《大气污染物综合排放标准》（GB16297-1996）表2中的无组织排放监控浓度限值。污染物排放标准见表3-</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w:t>
            </w:r>
          </w:p>
          <w:p w14:paraId="45DF48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 xml:space="preserve">  颗粒物大气污染物排放浓度限值</w:t>
            </w:r>
          </w:p>
          <w:tbl>
            <w:tblPr>
              <w:tblStyle w:val="28"/>
              <w:tblW w:w="83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751"/>
              <w:gridCol w:w="2751"/>
              <w:gridCol w:w="2824"/>
            </w:tblGrid>
            <w:tr w14:paraId="7D40B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 w:hRule="atLeast"/>
              </w:trPr>
              <w:tc>
                <w:tcPr>
                  <w:tcW w:w="2751" w:type="dxa"/>
                  <w:vMerge w:val="restart"/>
                  <w:vAlign w:val="center"/>
                </w:tcPr>
                <w:p w14:paraId="4448BE56">
                  <w:pPr>
                    <w:keepNext w:val="0"/>
                    <w:keepLines w:val="0"/>
                    <w:suppressLineNumbers w:val="0"/>
                    <w:adjustRightInd w:val="0"/>
                    <w:snapToGrid w:val="0"/>
                    <w:spacing w:before="0" w:beforeAutospacing="0" w:after="0" w:afterAutospacing="0" w:line="320" w:lineRule="exact"/>
                    <w:ind w:left="0" w:right="0" w:firstLine="422" w:firstLineChars="200"/>
                    <w:jc w:val="center"/>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污染物</w:t>
                  </w:r>
                </w:p>
              </w:tc>
              <w:tc>
                <w:tcPr>
                  <w:tcW w:w="5575" w:type="dxa"/>
                  <w:gridSpan w:val="2"/>
                  <w:vAlign w:val="center"/>
                </w:tcPr>
                <w:p w14:paraId="481F8116">
                  <w:pPr>
                    <w:keepNext w:val="0"/>
                    <w:keepLines w:val="0"/>
                    <w:suppressLineNumbers w:val="0"/>
                    <w:adjustRightInd w:val="0"/>
                    <w:snapToGrid w:val="0"/>
                    <w:spacing w:before="0" w:beforeAutospacing="0" w:after="0" w:afterAutospacing="0" w:line="320" w:lineRule="exact"/>
                    <w:ind w:left="0" w:right="0" w:firstLine="422" w:firstLineChars="200"/>
                    <w:jc w:val="center"/>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无组织排放浓度监控限值</w:t>
                  </w:r>
                </w:p>
              </w:tc>
            </w:tr>
            <w:tr w14:paraId="545D4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2751" w:type="dxa"/>
                  <w:vMerge w:val="continue"/>
                  <w:vAlign w:val="center"/>
                </w:tcPr>
                <w:p w14:paraId="49007B0B">
                  <w:pPr>
                    <w:keepNext w:val="0"/>
                    <w:keepLines w:val="0"/>
                    <w:suppressLineNumbers w:val="0"/>
                    <w:adjustRightInd w:val="0"/>
                    <w:snapToGrid w:val="0"/>
                    <w:spacing w:before="0" w:beforeAutospacing="0" w:after="0" w:afterAutospacing="0" w:line="320" w:lineRule="exact"/>
                    <w:ind w:left="0" w:right="0" w:firstLine="422" w:firstLineChars="200"/>
                    <w:jc w:val="center"/>
                    <w:rPr>
                      <w:rFonts w:hint="default" w:ascii="Times New Roman" w:hAnsi="Times New Roman" w:eastAsia="宋体" w:cs="Times New Roman"/>
                      <w:b/>
                      <w:bCs w:val="0"/>
                      <w:color w:val="auto"/>
                      <w:szCs w:val="21"/>
                    </w:rPr>
                  </w:pPr>
                </w:p>
              </w:tc>
              <w:tc>
                <w:tcPr>
                  <w:tcW w:w="2751" w:type="dxa"/>
                  <w:vAlign w:val="center"/>
                </w:tcPr>
                <w:p w14:paraId="3852F2A0">
                  <w:pPr>
                    <w:keepNext w:val="0"/>
                    <w:keepLines w:val="0"/>
                    <w:suppressLineNumbers w:val="0"/>
                    <w:adjustRightInd w:val="0"/>
                    <w:snapToGrid w:val="0"/>
                    <w:spacing w:before="0" w:beforeAutospacing="0" w:after="0" w:afterAutospacing="0" w:line="320" w:lineRule="exact"/>
                    <w:ind w:left="0" w:right="0" w:firstLine="422" w:firstLineChars="200"/>
                    <w:jc w:val="center"/>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监控点</w:t>
                  </w:r>
                </w:p>
              </w:tc>
              <w:tc>
                <w:tcPr>
                  <w:tcW w:w="2824" w:type="dxa"/>
                  <w:vAlign w:val="center"/>
                </w:tcPr>
                <w:p w14:paraId="1150EC5E">
                  <w:pPr>
                    <w:keepNext w:val="0"/>
                    <w:keepLines w:val="0"/>
                    <w:suppressLineNumbers w:val="0"/>
                    <w:adjustRightInd w:val="0"/>
                    <w:snapToGrid w:val="0"/>
                    <w:spacing w:before="0" w:beforeAutospacing="0" w:after="0" w:afterAutospacing="0" w:line="320" w:lineRule="exact"/>
                    <w:ind w:left="0" w:right="0" w:firstLine="422" w:firstLineChars="200"/>
                    <w:jc w:val="center"/>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浓度限值（mg/m</w:t>
                  </w:r>
                  <w:r>
                    <w:rPr>
                      <w:rFonts w:hint="default" w:ascii="Times New Roman" w:hAnsi="Times New Roman" w:eastAsia="宋体" w:cs="Times New Roman"/>
                      <w:b/>
                      <w:bCs w:val="0"/>
                      <w:color w:val="auto"/>
                      <w:szCs w:val="21"/>
                      <w:vertAlign w:val="superscript"/>
                    </w:rPr>
                    <w:t>3</w:t>
                  </w:r>
                  <w:r>
                    <w:rPr>
                      <w:rFonts w:hint="default" w:ascii="Times New Roman" w:hAnsi="Times New Roman" w:eastAsia="宋体" w:cs="Times New Roman"/>
                      <w:b/>
                      <w:bCs w:val="0"/>
                      <w:color w:val="auto"/>
                      <w:szCs w:val="21"/>
                    </w:rPr>
                    <w:t>）</w:t>
                  </w:r>
                </w:p>
              </w:tc>
            </w:tr>
            <w:tr w14:paraId="51A36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 w:hRule="atLeast"/>
              </w:trPr>
              <w:tc>
                <w:tcPr>
                  <w:tcW w:w="2751" w:type="dxa"/>
                  <w:vAlign w:val="center"/>
                </w:tcPr>
                <w:p w14:paraId="6BFF5CE5">
                  <w:pPr>
                    <w:keepNext w:val="0"/>
                    <w:keepLines w:val="0"/>
                    <w:suppressLineNumbers w:val="0"/>
                    <w:adjustRightInd w:val="0"/>
                    <w:snapToGrid w:val="0"/>
                    <w:spacing w:before="0" w:beforeAutospacing="0" w:after="0" w:afterAutospacing="0" w:line="320" w:lineRule="exact"/>
                    <w:ind w:left="0" w:right="0" w:firstLine="420" w:firstLineChars="20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tc>
              <w:tc>
                <w:tcPr>
                  <w:tcW w:w="2751" w:type="dxa"/>
                  <w:vAlign w:val="center"/>
                </w:tcPr>
                <w:p w14:paraId="53CF09E9">
                  <w:pPr>
                    <w:keepNext w:val="0"/>
                    <w:keepLines w:val="0"/>
                    <w:suppressLineNumbers w:val="0"/>
                    <w:adjustRightInd w:val="0"/>
                    <w:snapToGrid w:val="0"/>
                    <w:spacing w:before="0" w:beforeAutospacing="0" w:after="0" w:afterAutospacing="0" w:line="320" w:lineRule="exact"/>
                    <w:ind w:left="0" w:right="0" w:firstLine="420" w:firstLineChars="20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周界外浓度最高点</w:t>
                  </w:r>
                </w:p>
              </w:tc>
              <w:tc>
                <w:tcPr>
                  <w:tcW w:w="2824" w:type="dxa"/>
                  <w:vAlign w:val="center"/>
                </w:tcPr>
                <w:p w14:paraId="1B1B96CE">
                  <w:pPr>
                    <w:keepNext w:val="0"/>
                    <w:keepLines w:val="0"/>
                    <w:suppressLineNumbers w:val="0"/>
                    <w:adjustRightInd w:val="0"/>
                    <w:snapToGrid w:val="0"/>
                    <w:spacing w:before="0" w:beforeAutospacing="0" w:after="0" w:afterAutospacing="0" w:line="320" w:lineRule="exact"/>
                    <w:ind w:left="0" w:right="0" w:firstLine="420" w:firstLineChars="20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r>
          </w:tbl>
          <w:p w14:paraId="36EA237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（2）运营期</w:t>
            </w:r>
          </w:p>
          <w:p w14:paraId="606152CD">
            <w:pPr>
              <w:keepNext w:val="0"/>
              <w:keepLines w:val="0"/>
              <w:suppressLineNumbers w:val="0"/>
              <w:kinsoku/>
              <w:wordWrap/>
              <w:topLinePunct w:val="0"/>
              <w:bidi w:val="0"/>
              <w:snapToGrid/>
              <w:spacing w:before="0" w:beforeAutospacing="0" w:after="0" w:afterAutospacing="0" w:line="360" w:lineRule="auto"/>
              <w:ind w:left="0" w:right="0" w:firstLine="480" w:firstLineChars="200"/>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lang w:val="en-US" w:eastAsia="zh-CN"/>
              </w:rPr>
              <w:t>项目运营期涂料生产产生的粉尘</w:t>
            </w:r>
            <w:r>
              <w:rPr>
                <w:rFonts w:hint="eastAsia" w:ascii="Times New Roman" w:hAnsi="Times New Roman" w:eastAsia="宋体" w:cs="Times New Roman"/>
                <w:color w:val="auto"/>
                <w:sz w:val="24"/>
                <w:szCs w:val="24"/>
                <w:lang w:val="en-US" w:eastAsia="zh-CN"/>
              </w:rPr>
              <w:t>、非甲烷总烃</w:t>
            </w:r>
            <w:r>
              <w:rPr>
                <w:rFonts w:hint="default" w:ascii="Times New Roman" w:hAnsi="Times New Roman" w:eastAsia="宋体" w:cs="Times New Roman"/>
                <w:color w:val="auto"/>
                <w:sz w:val="24"/>
                <w:szCs w:val="24"/>
                <w:lang w:val="en-US" w:eastAsia="zh-CN"/>
              </w:rPr>
              <w:t>排放执行《涂料、油墨、胶粘剂工业大气污染物排放标准》（GB37824-2019）表1中允许排放浓度限值</w:t>
            </w:r>
            <w:r>
              <w:rPr>
                <w:rFonts w:hint="eastAsia" w:ascii="Times New Roman" w:hAnsi="Times New Roman" w:eastAsia="宋体" w:cs="Times New Roman"/>
                <w:color w:val="auto"/>
                <w:sz w:val="24"/>
                <w:szCs w:val="24"/>
                <w:lang w:val="en-US" w:eastAsia="zh-CN"/>
              </w:rPr>
              <w:t>，</w:t>
            </w:r>
          </w:p>
          <w:p w14:paraId="10E7C24A">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表3-</w:t>
            </w:r>
            <w:r>
              <w:rPr>
                <w:rFonts w:hint="eastAsia" w:cs="Times New Roman"/>
                <w:b/>
                <w:bCs/>
                <w:color w:val="auto"/>
                <w:lang w:val="en-US" w:eastAsia="zh-CN"/>
              </w:rPr>
              <w:t>7</w:t>
            </w:r>
            <w:r>
              <w:rPr>
                <w:rFonts w:hint="default" w:ascii="Times New Roman" w:hAnsi="Times New Roman" w:eastAsia="宋体" w:cs="Times New Roman"/>
                <w:b/>
                <w:bCs/>
                <w:color w:val="auto"/>
                <w:lang w:val="en-US" w:eastAsia="zh-CN"/>
              </w:rPr>
              <w:t xml:space="preserve">  《涂料、油墨、胶粘剂工业大气污染物排放标准》（GB37824-2019）</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2031"/>
              <w:gridCol w:w="2048"/>
              <w:gridCol w:w="1682"/>
              <w:gridCol w:w="1682"/>
            </w:tblGrid>
            <w:tr w14:paraId="0F4F2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0" w:type="pct"/>
                  <w:noWrap w:val="0"/>
                  <w:vAlign w:val="center"/>
                </w:tcPr>
                <w:p w14:paraId="26D6EE5E">
                  <w:pPr>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污染物项目</w:t>
                  </w:r>
                </w:p>
              </w:tc>
              <w:tc>
                <w:tcPr>
                  <w:tcW w:w="1208" w:type="pct"/>
                  <w:noWrap w:val="0"/>
                  <w:vAlign w:val="center"/>
                </w:tcPr>
                <w:p w14:paraId="53F9C76F">
                  <w:pPr>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涂料制造、油墨及类似产品制造(mg/m</w:t>
                  </w:r>
                  <w:r>
                    <w:rPr>
                      <w:rFonts w:hint="default" w:ascii="Times New Roman" w:hAnsi="Times New Roman" w:eastAsia="宋体" w:cs="Times New Roman"/>
                      <w:b/>
                      <w:bCs/>
                      <w:color w:val="auto"/>
                      <w:szCs w:val="21"/>
                      <w:vertAlign w:val="superscript"/>
                    </w:rPr>
                    <w:t>3</w:t>
                  </w:r>
                  <w:r>
                    <w:rPr>
                      <w:rFonts w:hint="default" w:ascii="Times New Roman" w:hAnsi="Times New Roman" w:eastAsia="宋体" w:cs="Times New Roman"/>
                      <w:b/>
                      <w:bCs/>
                      <w:color w:val="auto"/>
                      <w:szCs w:val="21"/>
                    </w:rPr>
                    <w:t>)</w:t>
                  </w:r>
                </w:p>
              </w:tc>
              <w:tc>
                <w:tcPr>
                  <w:tcW w:w="1218" w:type="pct"/>
                  <w:noWrap w:val="0"/>
                  <w:vAlign w:val="center"/>
                </w:tcPr>
                <w:p w14:paraId="15F930DD">
                  <w:pPr>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排放监控位置</w:t>
                  </w:r>
                </w:p>
              </w:tc>
              <w:tc>
                <w:tcPr>
                  <w:tcW w:w="1000" w:type="pct"/>
                  <w:noWrap w:val="0"/>
                  <w:vAlign w:val="center"/>
                </w:tcPr>
                <w:p w14:paraId="1016949E">
                  <w:pPr>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排气筒高度</w:t>
                  </w:r>
                </w:p>
              </w:tc>
              <w:tc>
                <w:tcPr>
                  <w:tcW w:w="1000" w:type="pct"/>
                  <w:noWrap w:val="0"/>
                  <w:vAlign w:val="center"/>
                </w:tcPr>
                <w:p w14:paraId="20BD9D56">
                  <w:pPr>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zCs w:val="21"/>
                      <w:lang w:eastAsia="zh-CN"/>
                    </w:rPr>
                  </w:pPr>
                  <w:r>
                    <w:rPr>
                      <w:rFonts w:hint="eastAsia" w:cs="Times New Roman"/>
                      <w:b/>
                      <w:bCs/>
                      <w:color w:val="auto"/>
                      <w:szCs w:val="21"/>
                      <w:lang w:eastAsia="zh-CN"/>
                    </w:rPr>
                    <w:t>无组织排放限值</w:t>
                  </w:r>
                </w:p>
              </w:tc>
            </w:tr>
            <w:tr w14:paraId="5CD28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0" w:type="pct"/>
                  <w:noWrap w:val="0"/>
                  <w:vAlign w:val="center"/>
                </w:tcPr>
                <w:p w14:paraId="71007F61">
                  <w:pPr>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非甲烷总烃</w:t>
                  </w:r>
                </w:p>
              </w:tc>
              <w:tc>
                <w:tcPr>
                  <w:tcW w:w="1208" w:type="pct"/>
                  <w:noWrap w:val="0"/>
                  <w:vAlign w:val="center"/>
                </w:tcPr>
                <w:p w14:paraId="6D8BEE1A">
                  <w:pPr>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120</w:t>
                  </w:r>
                </w:p>
              </w:tc>
              <w:tc>
                <w:tcPr>
                  <w:tcW w:w="1218" w:type="pct"/>
                  <w:vMerge w:val="restart"/>
                  <w:noWrap w:val="0"/>
                  <w:vAlign w:val="center"/>
                </w:tcPr>
                <w:p w14:paraId="5AD6A942">
                  <w:pPr>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车间或生产设施</w:t>
                  </w:r>
                </w:p>
                <w:p w14:paraId="2A8C7CBA">
                  <w:pPr>
                    <w:pStyle w:val="37"/>
                    <w:keepNext w:val="0"/>
                    <w:keepLines w:val="0"/>
                    <w:pageBreakBefore w:val="0"/>
                    <w:widowControl w:val="0"/>
                    <w:suppressLineNumbers w:val="0"/>
                    <w:wordWrap/>
                    <w:topLinePunct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1"/>
                    </w:rPr>
                    <w:t>排气筒</w:t>
                  </w:r>
                </w:p>
              </w:tc>
              <w:tc>
                <w:tcPr>
                  <w:tcW w:w="1000" w:type="pct"/>
                  <w:noWrap w:val="0"/>
                  <w:vAlign w:val="center"/>
                </w:tcPr>
                <w:p w14:paraId="5CDD1971">
                  <w:pPr>
                    <w:pStyle w:val="37"/>
                    <w:keepNext w:val="0"/>
                    <w:keepLines w:val="0"/>
                    <w:pageBreakBefore w:val="0"/>
                    <w:widowControl w:val="0"/>
                    <w:suppressLineNumbers w:val="0"/>
                    <w:wordWrap/>
                    <w:topLinePunct w:val="0"/>
                    <w:bidi w:val="0"/>
                    <w:adjustRightInd/>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15m</w:t>
                  </w:r>
                  <w:r>
                    <w:rPr>
                      <w:rFonts w:hint="eastAsia" w:hAnsi="Times New Roman" w:cs="Times New Roman"/>
                      <w:color w:val="auto"/>
                      <w:szCs w:val="21"/>
                      <w:lang w:eastAsia="zh-CN"/>
                    </w:rPr>
                    <w:t>高的排气筒</w:t>
                  </w:r>
                </w:p>
              </w:tc>
              <w:tc>
                <w:tcPr>
                  <w:tcW w:w="1000" w:type="pct"/>
                  <w:noWrap w:val="0"/>
                  <w:vAlign w:val="center"/>
                </w:tcPr>
                <w:p w14:paraId="45CFBD87">
                  <w:pPr>
                    <w:pStyle w:val="37"/>
                    <w:keepNext w:val="0"/>
                    <w:keepLines w:val="0"/>
                    <w:pageBreakBefore w:val="0"/>
                    <w:widowControl w:val="0"/>
                    <w:suppressLineNumbers w:val="0"/>
                    <w:wordWrap/>
                    <w:topLinePunct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Cs w:val="21"/>
                      <w:lang w:val="en-US" w:eastAsia="zh-CN"/>
                    </w:rPr>
                  </w:pPr>
                  <w:r>
                    <w:rPr>
                      <w:rFonts w:hint="eastAsia" w:hAnsi="Times New Roman" w:cs="Times New Roman"/>
                      <w:color w:val="auto"/>
                      <w:szCs w:val="21"/>
                      <w:lang w:val="en-US" w:eastAsia="zh-CN"/>
                    </w:rPr>
                    <w:t>4.0</w:t>
                  </w:r>
                </w:p>
              </w:tc>
            </w:tr>
            <w:tr w14:paraId="6D5D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0" w:type="pct"/>
                  <w:noWrap w:val="0"/>
                  <w:vAlign w:val="center"/>
                </w:tcPr>
                <w:p w14:paraId="3D7BCDF5">
                  <w:pPr>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粉尘</w:t>
                  </w:r>
                </w:p>
              </w:tc>
              <w:tc>
                <w:tcPr>
                  <w:tcW w:w="1208" w:type="pct"/>
                  <w:noWrap w:val="0"/>
                  <w:vAlign w:val="center"/>
                </w:tcPr>
                <w:p w14:paraId="3CB74122">
                  <w:pPr>
                    <w:keepNext w:val="0"/>
                    <w:keepLines w:val="0"/>
                    <w:pageBreakBefore w:val="0"/>
                    <w:widowControl w:val="0"/>
                    <w:suppressLineNumbers w:val="0"/>
                    <w:tabs>
                      <w:tab w:val="left" w:pos="480"/>
                      <w:tab w:val="left" w:pos="960"/>
                      <w:tab w:val="left" w:pos="1440"/>
                      <w:tab w:val="left" w:pos="1920"/>
                      <w:tab w:val="left" w:pos="2400"/>
                      <w:tab w:val="left" w:pos="2880"/>
                      <w:tab w:val="left" w:pos="3360"/>
                      <w:tab w:val="left" w:pos="3840"/>
                      <w:tab w:val="left" w:pos="4320"/>
                    </w:tabs>
                    <w:kinsoku w:val="0"/>
                    <w:wordWrap/>
                    <w:overflowPunct w:val="0"/>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w:t>
                  </w:r>
                </w:p>
              </w:tc>
              <w:tc>
                <w:tcPr>
                  <w:tcW w:w="1218" w:type="pct"/>
                  <w:vMerge w:val="continue"/>
                  <w:noWrap w:val="0"/>
                  <w:vAlign w:val="center"/>
                </w:tcPr>
                <w:p w14:paraId="25A6B639">
                  <w:pPr>
                    <w:pStyle w:val="37"/>
                    <w:keepNext w:val="0"/>
                    <w:keepLines w:val="0"/>
                    <w:pageBreakBefore w:val="0"/>
                    <w:widowControl w:val="0"/>
                    <w:suppressLineNumbers w:val="0"/>
                    <w:wordWrap/>
                    <w:topLinePunct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Cs w:val="21"/>
                    </w:rPr>
                  </w:pPr>
                </w:p>
              </w:tc>
              <w:tc>
                <w:tcPr>
                  <w:tcW w:w="1000" w:type="pct"/>
                  <w:noWrap w:val="0"/>
                  <w:vAlign w:val="center"/>
                </w:tcPr>
                <w:p w14:paraId="66A2C625">
                  <w:pPr>
                    <w:pStyle w:val="37"/>
                    <w:keepNext w:val="0"/>
                    <w:keepLines w:val="0"/>
                    <w:pageBreakBefore w:val="0"/>
                    <w:widowControl w:val="0"/>
                    <w:suppressLineNumbers w:val="0"/>
                    <w:wordWrap/>
                    <w:topLinePunct w:val="0"/>
                    <w:bidi w:val="0"/>
                    <w:adjustRightInd/>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15m</w:t>
                  </w:r>
                  <w:r>
                    <w:rPr>
                      <w:rFonts w:hint="eastAsia" w:hAnsi="Times New Roman" w:cs="Times New Roman"/>
                      <w:color w:val="auto"/>
                      <w:szCs w:val="21"/>
                      <w:lang w:eastAsia="zh-CN"/>
                    </w:rPr>
                    <w:t>高的排气筒</w:t>
                  </w:r>
                </w:p>
              </w:tc>
              <w:tc>
                <w:tcPr>
                  <w:tcW w:w="1000" w:type="pct"/>
                  <w:noWrap w:val="0"/>
                  <w:vAlign w:val="center"/>
                </w:tcPr>
                <w:p w14:paraId="7AAF3598">
                  <w:pPr>
                    <w:pStyle w:val="37"/>
                    <w:keepNext w:val="0"/>
                    <w:keepLines w:val="0"/>
                    <w:pageBreakBefore w:val="0"/>
                    <w:widowControl w:val="0"/>
                    <w:suppressLineNumbers w:val="0"/>
                    <w:wordWrap/>
                    <w:topLinePunct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Cs w:val="21"/>
                      <w:lang w:val="en-US" w:eastAsia="zh-CN"/>
                    </w:rPr>
                  </w:pPr>
                  <w:r>
                    <w:rPr>
                      <w:rFonts w:hint="eastAsia" w:hAnsi="Times New Roman" w:cs="Times New Roman"/>
                      <w:color w:val="auto"/>
                      <w:szCs w:val="21"/>
                      <w:lang w:val="en-US" w:eastAsia="zh-CN"/>
                    </w:rPr>
                    <w:t>1.0</w:t>
                  </w:r>
                </w:p>
              </w:tc>
            </w:tr>
          </w:tbl>
          <w:p w14:paraId="2AE2368B">
            <w:pPr>
              <w:keepNext w:val="0"/>
              <w:keepLines w:val="0"/>
              <w:suppressLineNumbers w:val="0"/>
              <w:kinsoku/>
              <w:wordWrap/>
              <w:topLinePunct w:val="0"/>
              <w:bidi w:val="0"/>
              <w:snapToGrid/>
              <w:spacing w:before="0" w:beforeAutospacing="0" w:after="0" w:afterAutospacing="0" w:line="360" w:lineRule="auto"/>
              <w:ind w:left="0" w:right="0" w:firstLine="480" w:firstLineChars="200"/>
              <w:outlineLvl w:val="9"/>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②</w:t>
            </w:r>
            <w:r>
              <w:rPr>
                <w:rFonts w:hint="default" w:ascii="Times New Roman" w:hAnsi="Times New Roman" w:cs="Times New Roman"/>
                <w:color w:val="auto"/>
                <w:sz w:val="24"/>
                <w:szCs w:val="24"/>
              </w:rPr>
              <w:t>厂区内</w:t>
            </w:r>
            <w:r>
              <w:rPr>
                <w:rFonts w:hint="eastAsia" w:cs="Times New Roman"/>
                <w:color w:val="auto"/>
                <w:sz w:val="24"/>
                <w:szCs w:val="24"/>
                <w:lang w:val="en-US" w:eastAsia="zh-CN"/>
              </w:rPr>
              <w:t>挥发性有机废气</w:t>
            </w:r>
            <w:r>
              <w:rPr>
                <w:rFonts w:hint="default" w:ascii="Times New Roman" w:hAnsi="Times New Roman" w:cs="Times New Roman"/>
                <w:color w:val="auto"/>
                <w:sz w:val="24"/>
                <w:szCs w:val="24"/>
              </w:rPr>
              <w:t>排放执行</w:t>
            </w:r>
            <w:r>
              <w:rPr>
                <w:rFonts w:hint="default" w:ascii="Times New Roman" w:hAnsi="Times New Roman" w:cs="Times New Roman"/>
                <w:color w:val="auto"/>
                <w:sz w:val="24"/>
                <w:szCs w:val="24"/>
                <w:lang w:val="en-US" w:eastAsia="zh-CN"/>
              </w:rPr>
              <w:t>《涂料、油墨、胶粘剂工业大气污染物排放标准》（GB37824-2019）表B.1厂区内VOCs无组织排放限值</w:t>
            </w:r>
            <w:r>
              <w:rPr>
                <w:rFonts w:hint="eastAsia" w:cs="Times New Roman"/>
                <w:color w:val="auto"/>
                <w:sz w:val="24"/>
                <w:szCs w:val="24"/>
                <w:lang w:val="en-US" w:eastAsia="zh-CN"/>
              </w:rPr>
              <w:t>。</w:t>
            </w:r>
          </w:p>
          <w:p w14:paraId="1B09C85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表3-</w:t>
            </w:r>
            <w:r>
              <w:rPr>
                <w:rFonts w:hint="eastAsia" w:cs="Times New Roman"/>
                <w:b/>
                <w:bCs/>
                <w:color w:val="auto"/>
                <w:szCs w:val="21"/>
                <w:lang w:val="en-US" w:eastAsia="zh-CN"/>
              </w:rPr>
              <w:t>8</w:t>
            </w:r>
            <w:r>
              <w:rPr>
                <w:rFonts w:hint="default" w:ascii="Times New Roman" w:hAnsi="Times New Roman" w:eastAsia="宋体" w:cs="Times New Roman"/>
                <w:b/>
                <w:bCs/>
                <w:color w:val="auto"/>
                <w:szCs w:val="21"/>
              </w:rPr>
              <w:t xml:space="preserve">  厂区内VOCs无组织排放限值</w:t>
            </w:r>
          </w:p>
          <w:tbl>
            <w:tblPr>
              <w:tblStyle w:val="28"/>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1"/>
              <w:gridCol w:w="1352"/>
              <w:gridCol w:w="1367"/>
              <w:gridCol w:w="2569"/>
              <w:gridCol w:w="2009"/>
            </w:tblGrid>
            <w:tr w14:paraId="0254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221" w:type="dxa"/>
                  <w:vAlign w:val="center"/>
                </w:tcPr>
                <w:p w14:paraId="5EACC3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污染物项目</w:t>
                  </w:r>
                </w:p>
              </w:tc>
              <w:tc>
                <w:tcPr>
                  <w:tcW w:w="1352" w:type="dxa"/>
                  <w:vAlign w:val="center"/>
                </w:tcPr>
                <w:p w14:paraId="7AADBC3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vertAlign w:val="superscript"/>
                    </w:rPr>
                  </w:pPr>
                  <w:r>
                    <w:rPr>
                      <w:rFonts w:hint="default" w:ascii="Times New Roman" w:hAnsi="Times New Roman" w:eastAsia="宋体" w:cs="Times New Roman"/>
                      <w:b/>
                      <w:bCs/>
                      <w:color w:val="auto"/>
                    </w:rPr>
                    <w:t>排放限值mg/m</w:t>
                  </w:r>
                  <w:r>
                    <w:rPr>
                      <w:rFonts w:hint="default" w:ascii="Times New Roman" w:hAnsi="Times New Roman" w:eastAsia="宋体" w:cs="Times New Roman"/>
                      <w:b/>
                      <w:bCs/>
                      <w:color w:val="auto"/>
                      <w:vertAlign w:val="superscript"/>
                    </w:rPr>
                    <w:t>3</w:t>
                  </w:r>
                </w:p>
              </w:tc>
              <w:tc>
                <w:tcPr>
                  <w:tcW w:w="1367" w:type="dxa"/>
                  <w:vAlign w:val="center"/>
                </w:tcPr>
                <w:p w14:paraId="1B30ECC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特别排放限值</w:t>
                  </w:r>
                  <w:r>
                    <w:rPr>
                      <w:rFonts w:hint="default" w:ascii="Times New Roman" w:hAnsi="Times New Roman" w:eastAsia="宋体" w:cs="Times New Roman"/>
                      <w:b/>
                      <w:bCs/>
                      <w:color w:val="auto"/>
                    </w:rPr>
                    <w:t>mg/m</w:t>
                  </w:r>
                  <w:r>
                    <w:rPr>
                      <w:rFonts w:hint="default" w:ascii="Times New Roman" w:hAnsi="Times New Roman" w:eastAsia="宋体" w:cs="Times New Roman"/>
                      <w:b/>
                      <w:bCs/>
                      <w:color w:val="auto"/>
                      <w:vertAlign w:val="superscript"/>
                    </w:rPr>
                    <w:t>3</w:t>
                  </w:r>
                </w:p>
              </w:tc>
              <w:tc>
                <w:tcPr>
                  <w:tcW w:w="2569" w:type="dxa"/>
                  <w:vAlign w:val="center"/>
                </w:tcPr>
                <w:p w14:paraId="207ABEA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限值含义</w:t>
                  </w:r>
                </w:p>
              </w:tc>
              <w:tc>
                <w:tcPr>
                  <w:tcW w:w="2009" w:type="dxa"/>
                  <w:vAlign w:val="center"/>
                </w:tcPr>
                <w:p w14:paraId="248B181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无组织排放监控位置</w:t>
                  </w:r>
                </w:p>
              </w:tc>
            </w:tr>
            <w:tr w14:paraId="25E6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221" w:type="dxa"/>
                  <w:vMerge w:val="restart"/>
                  <w:vAlign w:val="center"/>
                </w:tcPr>
                <w:p w14:paraId="2BD8E9A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NMHC</w:t>
                  </w:r>
                </w:p>
              </w:tc>
              <w:tc>
                <w:tcPr>
                  <w:tcW w:w="1352" w:type="dxa"/>
                  <w:vAlign w:val="center"/>
                </w:tcPr>
                <w:p w14:paraId="15600A2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1367" w:type="dxa"/>
                  <w:vAlign w:val="center"/>
                </w:tcPr>
                <w:p w14:paraId="4A2BB32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w:t>
                  </w:r>
                </w:p>
              </w:tc>
              <w:tc>
                <w:tcPr>
                  <w:tcW w:w="2569" w:type="dxa"/>
                  <w:vAlign w:val="center"/>
                </w:tcPr>
                <w:p w14:paraId="47FFB30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监控点处1h平均浓度值</w:t>
                  </w:r>
                </w:p>
              </w:tc>
              <w:tc>
                <w:tcPr>
                  <w:tcW w:w="2009" w:type="dxa"/>
                  <w:vMerge w:val="restart"/>
                  <w:vAlign w:val="center"/>
                </w:tcPr>
                <w:p w14:paraId="4D001B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在厂房外设置监控点</w:t>
                  </w:r>
                </w:p>
              </w:tc>
            </w:tr>
            <w:tr w14:paraId="4E545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21" w:type="dxa"/>
                  <w:vMerge w:val="continue"/>
                  <w:vAlign w:val="center"/>
                </w:tcPr>
                <w:p w14:paraId="05155EA1">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rPr>
                  </w:pPr>
                </w:p>
              </w:tc>
              <w:tc>
                <w:tcPr>
                  <w:tcW w:w="1352" w:type="dxa"/>
                  <w:vAlign w:val="center"/>
                </w:tcPr>
                <w:p w14:paraId="06D4BFA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30</w:t>
                  </w:r>
                </w:p>
              </w:tc>
              <w:tc>
                <w:tcPr>
                  <w:tcW w:w="1367" w:type="dxa"/>
                  <w:vAlign w:val="center"/>
                </w:tcPr>
                <w:p w14:paraId="676FC7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w:t>
                  </w:r>
                </w:p>
              </w:tc>
              <w:tc>
                <w:tcPr>
                  <w:tcW w:w="2569" w:type="dxa"/>
                  <w:vAlign w:val="center"/>
                </w:tcPr>
                <w:p w14:paraId="2AA1893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监控点处任意一次浓度值</w:t>
                  </w:r>
                </w:p>
              </w:tc>
              <w:tc>
                <w:tcPr>
                  <w:tcW w:w="2009" w:type="dxa"/>
                  <w:vMerge w:val="continue"/>
                  <w:vAlign w:val="center"/>
                </w:tcPr>
                <w:p w14:paraId="1A90DBDC">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rPr>
                  </w:pPr>
                </w:p>
              </w:tc>
            </w:tr>
          </w:tbl>
          <w:p w14:paraId="217A07EE">
            <w:pPr>
              <w:keepNext w:val="0"/>
              <w:keepLines w:val="0"/>
              <w:suppressLineNumbers w:val="0"/>
              <w:kinsoku/>
              <w:wordWrap/>
              <w:topLinePunct w:val="0"/>
              <w:bidi w:val="0"/>
              <w:snapToGrid/>
              <w:spacing w:before="0" w:beforeAutospacing="0" w:after="0" w:afterAutospacing="0" w:line="360" w:lineRule="auto"/>
              <w:ind w:left="0" w:right="0" w:firstLine="464" w:firstLineChars="200"/>
              <w:outlineLvl w:val="9"/>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cs="Times New Roman"/>
                <w:color w:val="auto"/>
                <w:spacing w:val="-4"/>
                <w:sz w:val="24"/>
                <w:szCs w:val="24"/>
                <w:lang w:eastAsia="zh-CN"/>
              </w:rPr>
              <w:t>③生产车间无组织</w:t>
            </w:r>
            <w:r>
              <w:rPr>
                <w:rFonts w:hint="eastAsia" w:ascii="Times New Roman" w:hAnsi="Times New Roman" w:cs="Times New Roman"/>
                <w:color w:val="auto"/>
                <w:sz w:val="24"/>
                <w:szCs w:val="24"/>
                <w:lang w:eastAsia="zh-CN"/>
              </w:rPr>
              <w:t>氨、污水处理系统</w:t>
            </w:r>
            <w:r>
              <w:rPr>
                <w:rFonts w:hint="eastAsia" w:ascii="Times New Roman" w:hAnsi="Times New Roman" w:cs="Times New Roman"/>
                <w:color w:val="auto"/>
                <w:sz w:val="24"/>
                <w:szCs w:val="24"/>
                <w:lang w:val="en-US" w:eastAsia="zh-CN"/>
              </w:rPr>
              <w:t>臭气浓度排放</w:t>
            </w:r>
            <w:r>
              <w:rPr>
                <w:rFonts w:hint="eastAsia" w:ascii="Times New Roman" w:hAnsi="Times New Roman" w:cs="Times New Roman"/>
                <w:color w:val="auto"/>
                <w:sz w:val="24"/>
                <w:szCs w:val="24"/>
              </w:rPr>
              <w:t>执行《恶臭污染物排放标准》（GB14554-93）中</w:t>
            </w:r>
            <w:r>
              <w:rPr>
                <w:rFonts w:hint="eastAsia" w:ascii="Times New Roman" w:hAnsi="Times New Roman" w:cs="Times New Roman"/>
                <w:color w:val="auto"/>
                <w:sz w:val="24"/>
                <w:szCs w:val="24"/>
                <w:lang w:val="en-US" w:eastAsia="zh-CN"/>
              </w:rPr>
              <w:t>表1</w:t>
            </w:r>
            <w:r>
              <w:rPr>
                <w:rFonts w:hint="eastAsia" w:ascii="Times New Roman" w:hAnsi="Times New Roman" w:cs="Times New Roman"/>
                <w:color w:val="auto"/>
                <w:sz w:val="24"/>
                <w:szCs w:val="24"/>
                <w:lang w:eastAsia="zh-CN"/>
              </w:rPr>
              <w:t>二级标准。相关标准值见表。</w:t>
            </w:r>
          </w:p>
          <w:p w14:paraId="4B3CD376">
            <w:pPr>
              <w:keepNext w:val="0"/>
              <w:keepLines w:val="0"/>
              <w:widowControl w:val="0"/>
              <w:suppressLineNumbers w:val="0"/>
              <w:autoSpaceDE w:val="0"/>
              <w:autoSpaceDN w:val="0"/>
              <w:spacing w:before="0" w:beforeAutospacing="0" w:after="0" w:afterAutospacing="0"/>
              <w:ind w:left="0" w:right="0" w:firstLine="0" w:firstLineChars="0"/>
              <w:jc w:val="center"/>
              <w:rPr>
                <w:rFonts w:hint="default" w:ascii="Times New Roman" w:hAnsi="Times New Roman" w:eastAsia="宋体" w:cs="Times New Roman"/>
                <w:b/>
                <w:bCs w:val="0"/>
                <w:color w:val="auto"/>
                <w:kern w:val="24"/>
                <w:sz w:val="21"/>
                <w:szCs w:val="21"/>
              </w:rPr>
            </w:pPr>
            <w:r>
              <w:rPr>
                <w:rFonts w:hint="default" w:ascii="Times New Roman" w:hAnsi="Times New Roman" w:eastAsia="宋体" w:cs="Times New Roman"/>
                <w:b/>
                <w:bCs w:val="0"/>
                <w:color w:val="auto"/>
                <w:kern w:val="24"/>
                <w:sz w:val="21"/>
                <w:szCs w:val="21"/>
                <w:lang w:val="en-US" w:eastAsia="zh-CN" w:bidi="ar"/>
              </w:rPr>
              <w:t>表3-</w:t>
            </w:r>
            <w:r>
              <w:rPr>
                <w:rFonts w:hint="eastAsia" w:cs="Times New Roman"/>
                <w:b/>
                <w:bCs w:val="0"/>
                <w:color w:val="auto"/>
                <w:kern w:val="24"/>
                <w:sz w:val="21"/>
                <w:szCs w:val="21"/>
                <w:lang w:val="en-US" w:eastAsia="zh-CN" w:bidi="ar"/>
              </w:rPr>
              <w:t>9</w:t>
            </w:r>
            <w:r>
              <w:rPr>
                <w:rFonts w:hint="default" w:ascii="Times New Roman" w:hAnsi="Times New Roman" w:eastAsia="宋体" w:cs="Times New Roman"/>
                <w:b/>
                <w:bCs w:val="0"/>
                <w:color w:val="auto"/>
                <w:kern w:val="24"/>
                <w:sz w:val="21"/>
                <w:szCs w:val="21"/>
                <w:lang w:val="en-US" w:eastAsia="zh-CN" w:bidi="ar"/>
              </w:rPr>
              <w:t xml:space="preserve">   恶臭污染物排放标准（表2）</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32"/>
              <w:gridCol w:w="3285"/>
              <w:gridCol w:w="3586"/>
            </w:tblGrid>
            <w:tr w14:paraId="68A2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91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0F32440">
                  <w:pPr>
                    <w:keepNext w:val="0"/>
                    <w:keepLines w:val="0"/>
                    <w:widowControl w:val="0"/>
                    <w:suppressLineNumbers w:val="0"/>
                    <w:spacing w:before="0" w:beforeAutospacing="0" w:after="0" w:afterAutospacing="0" w:line="240" w:lineRule="atLeast"/>
                    <w:ind w:left="0" w:right="0"/>
                    <w:jc w:val="center"/>
                    <w:textAlignment w:val="baseline"/>
                    <w:rPr>
                      <w:rFonts w:hint="default" w:ascii="Times New Roman" w:hAnsi="Times New Roman" w:eastAsia="宋体" w:cs="Times New Roman"/>
                      <w:b/>
                      <w:bCs/>
                      <w:color w:val="auto"/>
                      <w:kern w:val="2"/>
                      <w:sz w:val="21"/>
                      <w:szCs w:val="21"/>
                      <w:vertAlign w:val="baseline"/>
                    </w:rPr>
                  </w:pPr>
                  <w:r>
                    <w:rPr>
                      <w:rFonts w:hint="default" w:ascii="Times New Roman" w:hAnsi="Times New Roman" w:eastAsia="宋体" w:cs="Times New Roman"/>
                      <w:b/>
                      <w:bCs/>
                      <w:color w:val="auto"/>
                      <w:kern w:val="2"/>
                      <w:sz w:val="21"/>
                      <w:szCs w:val="21"/>
                      <w:vertAlign w:val="baseline"/>
                      <w:lang w:val="en-US" w:eastAsia="zh-CN" w:bidi="ar"/>
                    </w:rPr>
                    <w:t>污染物</w:t>
                  </w:r>
                </w:p>
              </w:tc>
              <w:tc>
                <w:tcPr>
                  <w:tcW w:w="1954" w:type="pct"/>
                  <w:vMerge w:val="restart"/>
                  <w:tcBorders>
                    <w:top w:val="single" w:color="auto" w:sz="4" w:space="0"/>
                    <w:left w:val="nil"/>
                    <w:bottom w:val="single" w:color="auto" w:sz="4" w:space="0"/>
                    <w:right w:val="single" w:color="auto" w:sz="4" w:space="0"/>
                  </w:tcBorders>
                  <w:shd w:val="clear" w:color="auto" w:fill="auto"/>
                  <w:vAlign w:val="center"/>
                </w:tcPr>
                <w:p w14:paraId="30894BF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无组织排放监控浓度限值（mg/m</w:t>
                  </w:r>
                  <w:r>
                    <w:rPr>
                      <w:rFonts w:hint="default" w:ascii="Times New Roman" w:hAnsi="Times New Roman" w:eastAsia="宋体" w:cs="Times New Roman"/>
                      <w:b/>
                      <w:bCs/>
                      <w:color w:val="auto"/>
                      <w:kern w:val="2"/>
                      <w:sz w:val="21"/>
                      <w:szCs w:val="21"/>
                      <w:vertAlign w:val="superscript"/>
                      <w:lang w:val="en-US" w:eastAsia="zh-CN" w:bidi="ar"/>
                    </w:rPr>
                    <w:t>3</w:t>
                  </w:r>
                  <w:r>
                    <w:rPr>
                      <w:rFonts w:hint="default" w:ascii="Times New Roman" w:hAnsi="Times New Roman" w:eastAsia="宋体" w:cs="Times New Roman"/>
                      <w:b/>
                      <w:bCs/>
                      <w:color w:val="auto"/>
                      <w:kern w:val="2"/>
                      <w:sz w:val="21"/>
                      <w:szCs w:val="21"/>
                      <w:lang w:val="en-US" w:eastAsia="zh-CN" w:bidi="ar"/>
                    </w:rPr>
                    <w:t>）</w:t>
                  </w:r>
                </w:p>
              </w:tc>
              <w:tc>
                <w:tcPr>
                  <w:tcW w:w="2133" w:type="pct"/>
                  <w:vMerge w:val="restart"/>
                  <w:tcBorders>
                    <w:top w:val="single" w:color="auto" w:sz="4" w:space="0"/>
                    <w:left w:val="nil"/>
                    <w:bottom w:val="single" w:color="auto" w:sz="4" w:space="0"/>
                    <w:right w:val="single" w:color="auto" w:sz="4" w:space="0"/>
                  </w:tcBorders>
                  <w:shd w:val="clear" w:color="auto" w:fill="auto"/>
                  <w:vAlign w:val="center"/>
                </w:tcPr>
                <w:p w14:paraId="5664A27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执行标准</w:t>
                  </w:r>
                </w:p>
              </w:tc>
            </w:tr>
            <w:tr w14:paraId="3BDAE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9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3F26C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rPr>
                  </w:pPr>
                </w:p>
              </w:tc>
              <w:tc>
                <w:tcPr>
                  <w:tcW w:w="1954" w:type="pct"/>
                  <w:vMerge w:val="continue"/>
                  <w:tcBorders>
                    <w:top w:val="single" w:color="auto" w:sz="4" w:space="0"/>
                    <w:left w:val="nil"/>
                    <w:bottom w:val="single" w:color="auto" w:sz="4" w:space="0"/>
                    <w:right w:val="single" w:color="auto" w:sz="4" w:space="0"/>
                  </w:tcBorders>
                  <w:shd w:val="clear" w:color="auto" w:fill="auto"/>
                  <w:vAlign w:val="center"/>
                </w:tcPr>
                <w:p w14:paraId="03D0C83F">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rPr>
                  </w:pPr>
                </w:p>
              </w:tc>
              <w:tc>
                <w:tcPr>
                  <w:tcW w:w="2133" w:type="pct"/>
                  <w:vMerge w:val="continue"/>
                  <w:tcBorders>
                    <w:top w:val="single" w:color="auto" w:sz="4" w:space="0"/>
                    <w:left w:val="nil"/>
                    <w:bottom w:val="single" w:color="auto" w:sz="4" w:space="0"/>
                    <w:right w:val="single" w:color="auto" w:sz="4" w:space="0"/>
                  </w:tcBorders>
                  <w:shd w:val="clear" w:color="auto" w:fill="auto"/>
                  <w:vAlign w:val="center"/>
                </w:tcPr>
                <w:p w14:paraId="3BBE1951">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rPr>
                  </w:pPr>
                </w:p>
              </w:tc>
            </w:tr>
            <w:tr w14:paraId="01927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912" w:type="pct"/>
                  <w:tcBorders>
                    <w:top w:val="single" w:color="auto" w:sz="4" w:space="0"/>
                    <w:left w:val="single" w:color="auto" w:sz="4" w:space="0"/>
                    <w:bottom w:val="single" w:color="auto" w:sz="4" w:space="0"/>
                    <w:right w:val="single" w:color="auto" w:sz="4" w:space="0"/>
                  </w:tcBorders>
                  <w:shd w:val="clear" w:color="auto" w:fill="auto"/>
                  <w:vAlign w:val="center"/>
                </w:tcPr>
                <w:p w14:paraId="4D1A6608">
                  <w:pPr>
                    <w:keepNext w:val="0"/>
                    <w:keepLines w:val="0"/>
                    <w:widowControl w:val="0"/>
                    <w:suppressLineNumbers w:val="0"/>
                    <w:spacing w:before="0" w:beforeAutospacing="0" w:after="0" w:afterAutospacing="0" w:line="240" w:lineRule="atLeast"/>
                    <w:ind w:left="0" w:right="0"/>
                    <w:jc w:val="center"/>
                    <w:textAlignment w:val="baseline"/>
                    <w:rPr>
                      <w:rFonts w:hint="default" w:ascii="Times New Roman" w:hAnsi="Times New Roman" w:eastAsia="宋体" w:cs="Times New Roman"/>
                      <w:color w:val="auto"/>
                      <w:kern w:val="2"/>
                      <w:sz w:val="21"/>
                      <w:szCs w:val="21"/>
                      <w:vertAlign w:val="subscript"/>
                    </w:rPr>
                  </w:pPr>
                  <w:r>
                    <w:rPr>
                      <w:rFonts w:hint="default" w:ascii="Times New Roman" w:hAnsi="Times New Roman" w:eastAsia="宋体" w:cs="Times New Roman"/>
                      <w:color w:val="auto"/>
                      <w:kern w:val="2"/>
                      <w:sz w:val="21"/>
                      <w:szCs w:val="21"/>
                      <w:vertAlign w:val="baseline"/>
                      <w:lang w:val="en-US" w:eastAsia="zh-CN" w:bidi="ar"/>
                    </w:rPr>
                    <w:t>NH</w:t>
                  </w:r>
                  <w:r>
                    <w:rPr>
                      <w:rFonts w:hint="default" w:ascii="Times New Roman" w:hAnsi="Times New Roman" w:eastAsia="宋体" w:cs="Times New Roman"/>
                      <w:color w:val="auto"/>
                      <w:kern w:val="2"/>
                      <w:sz w:val="21"/>
                      <w:szCs w:val="21"/>
                      <w:vertAlign w:val="subscript"/>
                      <w:lang w:val="en-US" w:eastAsia="zh-CN" w:bidi="ar"/>
                    </w:rPr>
                    <w:t>3</w:t>
                  </w:r>
                </w:p>
              </w:tc>
              <w:tc>
                <w:tcPr>
                  <w:tcW w:w="1954" w:type="pct"/>
                  <w:tcBorders>
                    <w:top w:val="single" w:color="auto" w:sz="4" w:space="0"/>
                    <w:left w:val="nil"/>
                    <w:bottom w:val="single" w:color="auto" w:sz="4" w:space="0"/>
                    <w:right w:val="single" w:color="auto" w:sz="4" w:space="0"/>
                  </w:tcBorders>
                  <w:shd w:val="clear" w:color="auto" w:fill="auto"/>
                  <w:vAlign w:val="center"/>
                </w:tcPr>
                <w:p w14:paraId="658B87A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kern w:val="2"/>
                      <w:sz w:val="21"/>
                      <w:szCs w:val="21"/>
                      <w:vertAlign w:val="baseline"/>
                    </w:rPr>
                  </w:pPr>
                  <w:r>
                    <w:rPr>
                      <w:rFonts w:hint="default" w:ascii="Times New Roman" w:hAnsi="Times New Roman" w:eastAsia="宋体" w:cs="Times New Roman"/>
                      <w:color w:val="auto"/>
                      <w:kern w:val="2"/>
                      <w:sz w:val="21"/>
                      <w:szCs w:val="21"/>
                      <w:vertAlign w:val="baseline"/>
                      <w:lang w:val="en-US" w:eastAsia="zh-CN" w:bidi="ar"/>
                    </w:rPr>
                    <w:t>1.5</w:t>
                  </w:r>
                </w:p>
              </w:tc>
              <w:tc>
                <w:tcPr>
                  <w:tcW w:w="2133" w:type="pct"/>
                  <w:vMerge w:val="restart"/>
                  <w:tcBorders>
                    <w:top w:val="nil"/>
                    <w:left w:val="nil"/>
                    <w:bottom w:val="single" w:color="auto" w:sz="4" w:space="0"/>
                    <w:right w:val="single" w:color="auto" w:sz="4" w:space="0"/>
                  </w:tcBorders>
                  <w:shd w:val="clear" w:color="auto" w:fill="auto"/>
                  <w:vAlign w:val="center"/>
                </w:tcPr>
                <w:p w14:paraId="64E2DAE4">
                  <w:pPr>
                    <w:keepNext w:val="0"/>
                    <w:keepLines w:val="0"/>
                    <w:widowControl w:val="0"/>
                    <w:suppressLineNumbers w:val="0"/>
                    <w:spacing w:before="0" w:beforeAutospacing="0" w:after="0" w:afterAutospacing="0" w:line="240" w:lineRule="atLeast"/>
                    <w:ind w:left="0" w:right="0"/>
                    <w:jc w:val="center"/>
                    <w:textAlignment w:val="baseline"/>
                    <w:rPr>
                      <w:rFonts w:hint="default" w:ascii="Times New Roman" w:hAnsi="Times New Roman" w:eastAsia="宋体" w:cs="Times New Roman"/>
                      <w:color w:val="auto"/>
                      <w:kern w:val="2"/>
                      <w:sz w:val="21"/>
                      <w:szCs w:val="21"/>
                      <w:vertAlign w:val="baseline"/>
                    </w:rPr>
                  </w:pPr>
                  <w:r>
                    <w:rPr>
                      <w:rFonts w:hint="default" w:ascii="Times New Roman" w:hAnsi="Times New Roman" w:eastAsia="宋体" w:cs="Times New Roman"/>
                      <w:color w:val="auto"/>
                      <w:kern w:val="2"/>
                      <w:sz w:val="21"/>
                      <w:szCs w:val="21"/>
                      <w:vertAlign w:val="baseline"/>
                      <w:lang w:val="en-US" w:eastAsia="zh-CN" w:bidi="ar"/>
                    </w:rPr>
                    <w:t>《恶臭污染物排放标准》（GB14554-93）</w:t>
                  </w:r>
                </w:p>
              </w:tc>
            </w:tr>
            <w:tr w14:paraId="78B7B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912" w:type="pct"/>
                  <w:tcBorders>
                    <w:top w:val="single" w:color="auto" w:sz="4" w:space="0"/>
                    <w:left w:val="single" w:color="auto" w:sz="4" w:space="0"/>
                    <w:bottom w:val="single" w:color="auto" w:sz="4" w:space="0"/>
                    <w:right w:val="single" w:color="auto" w:sz="4" w:space="0"/>
                  </w:tcBorders>
                  <w:shd w:val="clear" w:color="auto" w:fill="auto"/>
                  <w:vAlign w:val="center"/>
                </w:tcPr>
                <w:p w14:paraId="2CE64794">
                  <w:pPr>
                    <w:keepNext w:val="0"/>
                    <w:keepLines w:val="0"/>
                    <w:widowControl w:val="0"/>
                    <w:suppressLineNumbers w:val="0"/>
                    <w:spacing w:before="0" w:beforeAutospacing="0" w:after="0" w:afterAutospacing="0" w:line="240" w:lineRule="atLeast"/>
                    <w:ind w:left="0" w:right="0"/>
                    <w:jc w:val="center"/>
                    <w:textAlignment w:val="baseline"/>
                    <w:rPr>
                      <w:rFonts w:hint="default" w:ascii="Times New Roman" w:hAnsi="Times New Roman" w:eastAsia="宋体" w:cs="Times New Roman"/>
                      <w:color w:val="auto"/>
                      <w:kern w:val="2"/>
                      <w:sz w:val="21"/>
                      <w:szCs w:val="21"/>
                      <w:vertAlign w:val="baseline"/>
                    </w:rPr>
                  </w:pPr>
                  <w:r>
                    <w:rPr>
                      <w:rFonts w:hint="default" w:ascii="Times New Roman" w:hAnsi="Times New Roman" w:eastAsia="宋体" w:cs="Times New Roman"/>
                      <w:color w:val="auto"/>
                      <w:kern w:val="2"/>
                      <w:sz w:val="21"/>
                      <w:szCs w:val="21"/>
                      <w:vertAlign w:val="baseline"/>
                      <w:lang w:val="en-US" w:eastAsia="zh-CN" w:bidi="ar"/>
                    </w:rPr>
                    <w:t>臭气浓度</w:t>
                  </w:r>
                </w:p>
              </w:tc>
              <w:tc>
                <w:tcPr>
                  <w:tcW w:w="1954" w:type="pct"/>
                  <w:tcBorders>
                    <w:top w:val="single" w:color="auto" w:sz="4" w:space="0"/>
                    <w:left w:val="nil"/>
                    <w:bottom w:val="single" w:color="auto" w:sz="4" w:space="0"/>
                    <w:right w:val="single" w:color="auto" w:sz="4" w:space="0"/>
                  </w:tcBorders>
                  <w:shd w:val="clear" w:color="auto" w:fill="auto"/>
                  <w:vAlign w:val="center"/>
                </w:tcPr>
                <w:p w14:paraId="286A83F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kern w:val="2"/>
                      <w:sz w:val="21"/>
                      <w:szCs w:val="21"/>
                      <w:vertAlign w:val="baseline"/>
                    </w:rPr>
                  </w:pPr>
                  <w:r>
                    <w:rPr>
                      <w:rFonts w:hint="default" w:ascii="Times New Roman" w:hAnsi="Times New Roman" w:eastAsia="宋体" w:cs="Times New Roman"/>
                      <w:color w:val="auto"/>
                      <w:kern w:val="2"/>
                      <w:sz w:val="21"/>
                      <w:szCs w:val="21"/>
                      <w:vertAlign w:val="baseline"/>
                      <w:lang w:val="en-US" w:eastAsia="zh-CN" w:bidi="ar"/>
                    </w:rPr>
                    <w:t>20（无量纲）</w:t>
                  </w:r>
                </w:p>
              </w:tc>
              <w:tc>
                <w:tcPr>
                  <w:tcW w:w="2133" w:type="pct"/>
                  <w:vMerge w:val="continue"/>
                  <w:tcBorders>
                    <w:top w:val="nil"/>
                    <w:left w:val="nil"/>
                    <w:bottom w:val="single" w:color="auto" w:sz="4" w:space="0"/>
                    <w:right w:val="single" w:color="auto" w:sz="4" w:space="0"/>
                  </w:tcBorders>
                  <w:shd w:val="clear" w:color="auto" w:fill="auto"/>
                  <w:vAlign w:val="center"/>
                </w:tcPr>
                <w:p w14:paraId="5C41FAFD">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rPr>
                  </w:pPr>
                </w:p>
              </w:tc>
            </w:tr>
          </w:tbl>
          <w:p w14:paraId="413F40CF">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eastAsia" w:cs="Times New Roman"/>
                <w:color w:val="auto"/>
                <w:sz w:val="24"/>
                <w:szCs w:val="24"/>
                <w:lang w:val="en-US" w:eastAsia="zh-CN"/>
              </w:rPr>
              <w:t>④</w:t>
            </w:r>
            <w:r>
              <w:rPr>
                <w:rFonts w:hint="default" w:ascii="Times New Roman" w:hAnsi="Times New Roman" w:eastAsia="宋体" w:cs="Times New Roman"/>
                <w:color w:val="auto"/>
                <w:sz w:val="24"/>
              </w:rPr>
              <w:t>项目运营期食堂</w:t>
            </w:r>
            <w:r>
              <w:rPr>
                <w:rFonts w:hint="default" w:ascii="Times New Roman" w:hAnsi="Times New Roman" w:eastAsia="宋体" w:cs="Times New Roman"/>
                <w:color w:val="auto"/>
                <w:sz w:val="24"/>
                <w:lang w:eastAsia="zh-CN"/>
              </w:rPr>
              <w:t>根据总发热功率和灶面投影总面积折算</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项目基准灶头数为</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食堂油烟执行《饮食业油烟排放标准》（GB18483-2001）小型标准，具体数值详见表3-</w:t>
            </w:r>
            <w:r>
              <w:rPr>
                <w:rFonts w:hint="eastAsia" w:cs="Times New Roman"/>
                <w:color w:val="auto"/>
                <w:sz w:val="24"/>
                <w:lang w:val="en-US" w:eastAsia="zh-CN"/>
              </w:rPr>
              <w:t>10</w:t>
            </w:r>
            <w:r>
              <w:rPr>
                <w:rFonts w:hint="default" w:ascii="Times New Roman" w:hAnsi="Times New Roman" w:eastAsia="宋体" w:cs="Times New Roman"/>
                <w:color w:val="auto"/>
                <w:sz w:val="24"/>
              </w:rPr>
              <w:t>。</w:t>
            </w:r>
          </w:p>
          <w:p w14:paraId="64BDD09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表3-</w:t>
            </w:r>
            <w:r>
              <w:rPr>
                <w:rFonts w:hint="eastAsia" w:cs="Times New Roman"/>
                <w:b/>
                <w:bCs/>
                <w:color w:val="auto"/>
                <w:szCs w:val="21"/>
                <w:lang w:val="en-US" w:eastAsia="zh-CN"/>
              </w:rPr>
              <w:t>10</w:t>
            </w:r>
            <w:r>
              <w:rPr>
                <w:rFonts w:hint="default" w:ascii="Times New Roman" w:hAnsi="Times New Roman" w:eastAsia="宋体" w:cs="Times New Roman"/>
                <w:b/>
                <w:bCs/>
                <w:color w:val="auto"/>
                <w:szCs w:val="21"/>
              </w:rPr>
              <w:t xml:space="preserve"> </w:t>
            </w:r>
            <w:r>
              <w:rPr>
                <w:rFonts w:hint="default" w:ascii="Times New Roman" w:hAnsi="Times New Roman" w:eastAsia="宋体" w:cs="Times New Roman"/>
                <w:b/>
                <w:bCs/>
                <w:color w:val="auto"/>
                <w:szCs w:val="21"/>
                <w:lang w:val="en-US" w:eastAsia="zh-CN"/>
              </w:rPr>
              <w:t xml:space="preserve"> </w:t>
            </w:r>
            <w:r>
              <w:rPr>
                <w:rFonts w:hint="default" w:ascii="Times New Roman" w:hAnsi="Times New Roman" w:eastAsia="宋体" w:cs="Times New Roman"/>
                <w:b/>
                <w:bCs/>
                <w:color w:val="auto"/>
                <w:szCs w:val="21"/>
              </w:rPr>
              <w:t>饮食业油烟排放标准</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545"/>
              <w:gridCol w:w="1861"/>
            </w:tblGrid>
            <w:tr w14:paraId="698A1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893" w:type="pct"/>
                  <w:vAlign w:val="center"/>
                </w:tcPr>
                <w:p w14:paraId="171472D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规模</w:t>
                  </w:r>
                </w:p>
              </w:tc>
              <w:tc>
                <w:tcPr>
                  <w:tcW w:w="1106" w:type="pct"/>
                  <w:vAlign w:val="center"/>
                </w:tcPr>
                <w:p w14:paraId="33E24B2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小型</w:t>
                  </w:r>
                </w:p>
              </w:tc>
            </w:tr>
            <w:tr w14:paraId="64173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893" w:type="pct"/>
                  <w:vAlign w:val="center"/>
                </w:tcPr>
                <w:p w14:paraId="2C039C3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基准灶头数</w:t>
                  </w:r>
                </w:p>
              </w:tc>
              <w:tc>
                <w:tcPr>
                  <w:tcW w:w="1106" w:type="pct"/>
                  <w:vAlign w:val="center"/>
                </w:tcPr>
                <w:p w14:paraId="7F6EDCE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≥1，＜3</w:t>
                  </w:r>
                </w:p>
              </w:tc>
            </w:tr>
            <w:tr w14:paraId="5B47B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893" w:type="pct"/>
                  <w:vAlign w:val="center"/>
                </w:tcPr>
                <w:p w14:paraId="097AD07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eastAsia="zh-CN"/>
                    </w:rPr>
                  </w:pPr>
                  <w:r>
                    <w:rPr>
                      <w:rFonts w:hint="default" w:ascii="Times New Roman" w:hAnsi="Times New Roman" w:eastAsia="宋体" w:cs="Times New Roman"/>
                      <w:b w:val="0"/>
                      <w:bCs w:val="0"/>
                      <w:color w:val="auto"/>
                      <w:kern w:val="2"/>
                      <w:sz w:val="21"/>
                      <w:szCs w:val="21"/>
                      <w:lang w:eastAsia="zh-CN"/>
                    </w:rPr>
                    <w:t>对应灶头总功率（</w:t>
                  </w:r>
                  <w:r>
                    <w:rPr>
                      <w:rFonts w:hint="default" w:ascii="Times New Roman" w:hAnsi="Times New Roman" w:eastAsia="宋体" w:cs="Times New Roman"/>
                      <w:b w:val="0"/>
                      <w:bCs w:val="0"/>
                      <w:color w:val="auto"/>
                      <w:kern w:val="2"/>
                      <w:sz w:val="21"/>
                      <w:szCs w:val="21"/>
                      <w:lang w:val="en-US" w:eastAsia="zh-CN"/>
                    </w:rPr>
                    <w:t>108J/h</w:t>
                  </w:r>
                  <w:r>
                    <w:rPr>
                      <w:rFonts w:hint="default" w:ascii="Times New Roman" w:hAnsi="Times New Roman" w:eastAsia="宋体" w:cs="Times New Roman"/>
                      <w:b w:val="0"/>
                      <w:bCs w:val="0"/>
                      <w:color w:val="auto"/>
                      <w:kern w:val="2"/>
                      <w:sz w:val="21"/>
                      <w:szCs w:val="21"/>
                      <w:lang w:eastAsia="zh-CN"/>
                    </w:rPr>
                    <w:t>）</w:t>
                  </w:r>
                </w:p>
              </w:tc>
              <w:tc>
                <w:tcPr>
                  <w:tcW w:w="1106" w:type="pct"/>
                  <w:vAlign w:val="center"/>
                </w:tcPr>
                <w:p w14:paraId="534FFE6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1.67，</w:t>
                  </w:r>
                  <w:r>
                    <w:rPr>
                      <w:rFonts w:hint="default" w:ascii="Times New Roman" w:hAnsi="Times New Roman" w:eastAsia="宋体" w:cs="Times New Roman"/>
                      <w:b w:val="0"/>
                      <w:bCs w:val="0"/>
                      <w:color w:val="auto"/>
                      <w:kern w:val="2"/>
                      <w:sz w:val="21"/>
                      <w:szCs w:val="21"/>
                    </w:rPr>
                    <w:t>＜</w:t>
                  </w:r>
                  <w:r>
                    <w:rPr>
                      <w:rFonts w:hint="default" w:ascii="Times New Roman" w:hAnsi="Times New Roman" w:eastAsia="宋体" w:cs="Times New Roman"/>
                      <w:b w:val="0"/>
                      <w:bCs w:val="0"/>
                      <w:color w:val="auto"/>
                      <w:kern w:val="2"/>
                      <w:sz w:val="21"/>
                      <w:szCs w:val="21"/>
                      <w:lang w:val="en-US" w:eastAsia="zh-CN"/>
                    </w:rPr>
                    <w:t>5.00</w:t>
                  </w:r>
                </w:p>
              </w:tc>
            </w:tr>
            <w:tr w14:paraId="75C14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893" w:type="pct"/>
                  <w:vAlign w:val="center"/>
                </w:tcPr>
                <w:p w14:paraId="1298D78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eastAsia="zh-CN"/>
                    </w:rPr>
                  </w:pPr>
                  <w:r>
                    <w:rPr>
                      <w:rFonts w:hint="default" w:ascii="Times New Roman" w:hAnsi="Times New Roman" w:eastAsia="宋体" w:cs="Times New Roman"/>
                      <w:b w:val="0"/>
                      <w:bCs w:val="0"/>
                      <w:color w:val="auto"/>
                      <w:kern w:val="2"/>
                      <w:sz w:val="21"/>
                      <w:szCs w:val="21"/>
                      <w:lang w:eastAsia="zh-CN"/>
                    </w:rPr>
                    <w:t>对应排气罩灶面总投影面积（</w:t>
                  </w:r>
                  <w:r>
                    <w:rPr>
                      <w:rFonts w:hint="default" w:ascii="Times New Roman" w:hAnsi="Times New Roman" w:eastAsia="宋体" w:cs="Times New Roman"/>
                      <w:b w:val="0"/>
                      <w:bCs w:val="0"/>
                      <w:color w:val="auto"/>
                      <w:kern w:val="2"/>
                      <w:sz w:val="21"/>
                      <w:szCs w:val="21"/>
                      <w:lang w:val="en-US" w:eastAsia="zh-CN"/>
                    </w:rPr>
                    <w:t>m</w:t>
                  </w:r>
                  <w:r>
                    <w:rPr>
                      <w:rFonts w:hint="default" w:ascii="Times New Roman" w:hAnsi="Times New Roman" w:eastAsia="宋体" w:cs="Times New Roman"/>
                      <w:b w:val="0"/>
                      <w:bCs w:val="0"/>
                      <w:color w:val="auto"/>
                      <w:kern w:val="2"/>
                      <w:sz w:val="21"/>
                      <w:szCs w:val="21"/>
                      <w:vertAlign w:val="superscript"/>
                      <w:lang w:val="en-US" w:eastAsia="zh-CN"/>
                    </w:rPr>
                    <w:t>2</w:t>
                  </w:r>
                  <w:r>
                    <w:rPr>
                      <w:rFonts w:hint="default" w:ascii="Times New Roman" w:hAnsi="Times New Roman" w:eastAsia="宋体" w:cs="Times New Roman"/>
                      <w:b w:val="0"/>
                      <w:bCs w:val="0"/>
                      <w:color w:val="auto"/>
                      <w:kern w:val="2"/>
                      <w:sz w:val="21"/>
                      <w:szCs w:val="21"/>
                      <w:lang w:eastAsia="zh-CN"/>
                    </w:rPr>
                    <w:t>）</w:t>
                  </w:r>
                </w:p>
              </w:tc>
              <w:tc>
                <w:tcPr>
                  <w:tcW w:w="1106" w:type="pct"/>
                  <w:vAlign w:val="center"/>
                </w:tcPr>
                <w:p w14:paraId="0DF5A71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rPr>
                    <w:t>≥1</w:t>
                  </w:r>
                  <w:r>
                    <w:rPr>
                      <w:rFonts w:hint="default" w:ascii="Times New Roman" w:hAnsi="Times New Roman" w:eastAsia="宋体" w:cs="Times New Roman"/>
                      <w:b w:val="0"/>
                      <w:bCs w:val="0"/>
                      <w:color w:val="auto"/>
                      <w:kern w:val="2"/>
                      <w:sz w:val="21"/>
                      <w:szCs w:val="21"/>
                      <w:lang w:val="en-US" w:eastAsia="zh-CN"/>
                    </w:rPr>
                    <w:t>.1</w:t>
                  </w:r>
                  <w:r>
                    <w:rPr>
                      <w:rFonts w:hint="default" w:ascii="Times New Roman" w:hAnsi="Times New Roman" w:eastAsia="宋体" w:cs="Times New Roman"/>
                      <w:b w:val="0"/>
                      <w:bCs w:val="0"/>
                      <w:color w:val="auto"/>
                      <w:kern w:val="2"/>
                      <w:sz w:val="21"/>
                      <w:szCs w:val="21"/>
                    </w:rPr>
                    <w:t>，＜3</w:t>
                  </w:r>
                  <w:r>
                    <w:rPr>
                      <w:rFonts w:hint="default" w:ascii="Times New Roman" w:hAnsi="Times New Roman" w:eastAsia="宋体" w:cs="Times New Roman"/>
                      <w:b w:val="0"/>
                      <w:bCs w:val="0"/>
                      <w:color w:val="auto"/>
                      <w:kern w:val="2"/>
                      <w:sz w:val="21"/>
                      <w:szCs w:val="21"/>
                      <w:lang w:val="en-US" w:eastAsia="zh-CN"/>
                    </w:rPr>
                    <w:t>.3</w:t>
                  </w:r>
                </w:p>
              </w:tc>
            </w:tr>
            <w:tr w14:paraId="26535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893" w:type="pct"/>
                  <w:vAlign w:val="center"/>
                </w:tcPr>
                <w:p w14:paraId="43E876C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油烟最高允许排放浓度(mg/m</w:t>
                  </w:r>
                  <w:r>
                    <w:rPr>
                      <w:rFonts w:hint="default" w:ascii="Times New Roman" w:hAnsi="Times New Roman" w:eastAsia="宋体" w:cs="Times New Roman"/>
                      <w:b w:val="0"/>
                      <w:bCs w:val="0"/>
                      <w:color w:val="auto"/>
                      <w:kern w:val="2"/>
                      <w:sz w:val="21"/>
                      <w:szCs w:val="21"/>
                      <w:vertAlign w:val="superscript"/>
                    </w:rPr>
                    <w:t>3</w:t>
                  </w:r>
                  <w:r>
                    <w:rPr>
                      <w:rFonts w:hint="default" w:ascii="Times New Roman" w:hAnsi="Times New Roman" w:eastAsia="宋体" w:cs="Times New Roman"/>
                      <w:b w:val="0"/>
                      <w:bCs w:val="0"/>
                      <w:color w:val="auto"/>
                      <w:kern w:val="2"/>
                      <w:sz w:val="21"/>
                      <w:szCs w:val="21"/>
                    </w:rPr>
                    <w:t>)</w:t>
                  </w:r>
                </w:p>
              </w:tc>
              <w:tc>
                <w:tcPr>
                  <w:tcW w:w="1106" w:type="pct"/>
                  <w:vAlign w:val="center"/>
                </w:tcPr>
                <w:p w14:paraId="5615AA5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2.0</w:t>
                  </w:r>
                </w:p>
              </w:tc>
            </w:tr>
            <w:tr w14:paraId="4D02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893" w:type="pct"/>
                  <w:vAlign w:val="center"/>
                </w:tcPr>
                <w:p w14:paraId="78C58EE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净化设施最低去除效率(%)</w:t>
                  </w:r>
                </w:p>
              </w:tc>
              <w:tc>
                <w:tcPr>
                  <w:tcW w:w="1106" w:type="pct"/>
                  <w:vAlign w:val="center"/>
                </w:tcPr>
                <w:p w14:paraId="141951F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rPr>
                    <w:t>60</w:t>
                  </w:r>
                </w:p>
              </w:tc>
            </w:tr>
            <w:tr w14:paraId="032F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5000" w:type="pct"/>
                  <w:gridSpan w:val="2"/>
                  <w:vAlign w:val="center"/>
                </w:tcPr>
                <w:p w14:paraId="648CCD52">
                  <w:pPr>
                    <w:keepNext w:val="0"/>
                    <w:keepLines w:val="0"/>
                    <w:suppressLineNumbers w:val="0"/>
                    <w:autoSpaceDE w:val="0"/>
                    <w:autoSpaceDN w:val="0"/>
                    <w:snapToGrid w:val="0"/>
                    <w:spacing w:before="0" w:beforeAutospacing="0" w:after="0" w:afterAutospacing="0"/>
                    <w:ind w:left="0" w:right="0"/>
                    <w:jc w:val="left"/>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bCs/>
                      <w:color w:val="auto"/>
                      <w:sz w:val="18"/>
                      <w:szCs w:val="18"/>
                      <w:lang w:eastAsia="zh-CN"/>
                    </w:rPr>
                    <w:t>注：基准灶头数按灶的总发热功率或排气罩灶面投影总面积折算</w:t>
                  </w:r>
                  <w:r>
                    <w:rPr>
                      <w:rFonts w:hint="default" w:ascii="Times New Roman" w:hAnsi="Times New Roman" w:eastAsia="宋体" w:cs="Times New Roman"/>
                      <w:b/>
                      <w:bCs/>
                      <w:color w:val="auto"/>
                      <w:sz w:val="18"/>
                      <w:szCs w:val="18"/>
                      <w:lang w:val="en-US" w:eastAsia="zh-CN"/>
                    </w:rPr>
                    <w:t>.</w:t>
                  </w:r>
                </w:p>
              </w:tc>
            </w:tr>
          </w:tbl>
          <w:p w14:paraId="12E9F49F">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二、水污染物排放标准</w:t>
            </w:r>
          </w:p>
          <w:p w14:paraId="47F3D44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项目运营期产生的</w:t>
            </w:r>
            <w:r>
              <w:rPr>
                <w:rFonts w:hint="eastAsia" w:cs="Times New Roman"/>
                <w:color w:val="auto"/>
                <w:sz w:val="24"/>
                <w:szCs w:val="24"/>
                <w:lang w:val="en-US" w:eastAsia="zh-CN"/>
              </w:rPr>
              <w:t>生活污水经隔油池、化粪池预处理后</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同生产废水一并进入自建的污水处理系统进行处理，处理达</w:t>
            </w:r>
            <w:r>
              <w:rPr>
                <w:rFonts w:hint="default" w:ascii="Times New Roman" w:hAnsi="Times New Roman" w:eastAsia="宋体" w:cs="Times New Roman"/>
                <w:color w:val="auto"/>
                <w:sz w:val="24"/>
                <w:szCs w:val="24"/>
                <w:highlight w:val="none"/>
                <w:lang w:val="en-US" w:eastAsia="zh-CN"/>
              </w:rPr>
              <w:t xml:space="preserve">《污水排入城镇下水道水质标准》（GB/T31962-2015）表1 中 </w:t>
            </w:r>
            <w:r>
              <w:rPr>
                <w:rFonts w:hint="eastAsia"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val="en-US" w:eastAsia="zh-CN"/>
              </w:rPr>
              <w:t xml:space="preserve"> 等级标准</w:t>
            </w:r>
            <w:r>
              <w:rPr>
                <w:rFonts w:hint="eastAsia" w:cs="Times New Roman"/>
                <w:color w:val="auto"/>
                <w:sz w:val="24"/>
                <w:szCs w:val="24"/>
                <w:highlight w:val="none"/>
                <w:lang w:val="en-US" w:eastAsia="zh-CN"/>
              </w:rPr>
              <w:t>进入</w:t>
            </w:r>
            <w:r>
              <w:rPr>
                <w:rFonts w:hint="eastAsia" w:ascii="Times New Roman" w:hAnsi="Times New Roman" w:eastAsia="宋体" w:cs="Times New Roman"/>
                <w:color w:val="auto"/>
                <w:sz w:val="24"/>
                <w:szCs w:val="24"/>
                <w:highlight w:val="none"/>
                <w:lang w:val="en-US" w:eastAsia="zh-CN"/>
              </w:rPr>
              <w:t>园区污水管网，进入</w:t>
            </w:r>
            <w:r>
              <w:rPr>
                <w:rFonts w:hint="eastAsia" w:cs="Times New Roman"/>
                <w:color w:val="auto"/>
                <w:sz w:val="24"/>
                <w:szCs w:val="24"/>
                <w:highlight w:val="none"/>
                <w:lang w:val="en-US" w:eastAsia="zh-CN"/>
              </w:rPr>
              <w:t>富民工业园区哨箐机械加工园污水处理厂</w:t>
            </w:r>
            <w:r>
              <w:rPr>
                <w:rFonts w:hint="default" w:ascii="Times New Roman" w:hAnsi="Times New Roman" w:eastAsia="宋体" w:cs="Times New Roman"/>
                <w:color w:val="auto"/>
                <w:sz w:val="24"/>
                <w:szCs w:val="24"/>
                <w:lang w:val="en-US" w:eastAsia="zh-CN"/>
              </w:rPr>
              <w:t>。标准值详见表3-</w:t>
            </w:r>
            <w:r>
              <w:rPr>
                <w:rFonts w:hint="eastAsia"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w:t>
            </w:r>
          </w:p>
          <w:p w14:paraId="632C112D">
            <w:pPr>
              <w:keepNext w:val="0"/>
              <w:keepLines w:val="0"/>
              <w:suppressLineNumbers w:val="0"/>
              <w:shd w:val="clear" w:color="auto" w:fill="auto"/>
              <w:spacing w:before="0" w:beforeAutospacing="0" w:after="0" w:afterAutospacing="0" w:line="240" w:lineRule="auto"/>
              <w:ind w:left="0" w:right="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sz w:val="21"/>
                <w:szCs w:val="21"/>
                <w:highlight w:val="none"/>
                <w:lang w:bidi="ar"/>
              </w:rPr>
              <w:t>表</w:t>
            </w:r>
            <w:r>
              <w:rPr>
                <w:rFonts w:hint="default" w:ascii="Times New Roman" w:hAnsi="Times New Roman" w:eastAsia="宋体" w:cs="Times New Roman"/>
                <w:b/>
                <w:bCs/>
                <w:color w:val="auto"/>
                <w:sz w:val="21"/>
                <w:szCs w:val="21"/>
                <w:highlight w:val="none"/>
                <w:lang w:val="en-US" w:eastAsia="zh-CN" w:bidi="ar"/>
              </w:rPr>
              <w:t>3-</w:t>
            </w:r>
            <w:r>
              <w:rPr>
                <w:rFonts w:hint="eastAsia" w:cs="Times New Roman"/>
                <w:b/>
                <w:bCs/>
                <w:color w:val="auto"/>
                <w:sz w:val="21"/>
                <w:szCs w:val="21"/>
                <w:highlight w:val="none"/>
                <w:lang w:val="en-US" w:eastAsia="zh-CN" w:bidi="ar"/>
              </w:rPr>
              <w:t>11</w:t>
            </w:r>
            <w:r>
              <w:rPr>
                <w:rFonts w:hint="default" w:ascii="Times New Roman" w:hAnsi="Times New Roman" w:eastAsia="宋体" w:cs="Times New Roman"/>
                <w:b/>
                <w:bCs/>
                <w:color w:val="auto"/>
                <w:sz w:val="21"/>
                <w:szCs w:val="21"/>
                <w:highlight w:val="none"/>
                <w:lang w:bidi="ar"/>
              </w:rPr>
              <w:t xml:space="preserve"> </w:t>
            </w:r>
            <w:r>
              <w:rPr>
                <w:rFonts w:hint="default" w:ascii="Times New Roman" w:hAnsi="Times New Roman" w:eastAsia="宋体" w:cs="Times New Roman"/>
                <w:b/>
                <w:bCs/>
                <w:color w:val="auto"/>
                <w:sz w:val="21"/>
                <w:szCs w:val="21"/>
                <w:highlight w:val="none"/>
                <w:lang w:val="en-US" w:eastAsia="zh-CN" w:bidi="ar"/>
              </w:rPr>
              <w:t xml:space="preserve">  </w:t>
            </w:r>
            <w:r>
              <w:rPr>
                <w:rFonts w:hint="default" w:ascii="Times New Roman" w:hAnsi="Times New Roman" w:eastAsia="宋体" w:cs="Times New Roman"/>
                <w:b/>
                <w:bCs/>
                <w:color w:val="auto"/>
                <w:sz w:val="21"/>
                <w:szCs w:val="21"/>
                <w:highlight w:val="none"/>
                <w:lang w:val="en-US" w:eastAsia="zh-CN"/>
              </w:rPr>
              <w:t>污水排入城镇下水道水质标准限值   单位：mg/m</w:t>
            </w:r>
            <w:r>
              <w:rPr>
                <w:rFonts w:hint="default" w:ascii="Times New Roman" w:hAnsi="Times New Roman" w:eastAsia="宋体" w:cs="Times New Roman"/>
                <w:b/>
                <w:bCs/>
                <w:color w:val="auto"/>
                <w:sz w:val="21"/>
                <w:szCs w:val="21"/>
                <w:highlight w:val="none"/>
                <w:vertAlign w:val="superscript"/>
                <w:lang w:val="en-US" w:eastAsia="zh-CN"/>
              </w:rPr>
              <w:t xml:space="preserve">3  </w:t>
            </w:r>
            <w:r>
              <w:rPr>
                <w:rFonts w:hint="default" w:ascii="Times New Roman" w:hAnsi="Times New Roman" w:eastAsia="宋体" w:cs="Times New Roman"/>
                <w:b/>
                <w:bCs/>
                <w:color w:val="auto"/>
                <w:sz w:val="21"/>
                <w:szCs w:val="21"/>
                <w:highlight w:val="none"/>
                <w:lang w:val="en-US" w:eastAsia="zh-CN"/>
              </w:rPr>
              <w:t>（ 无量纲）</w:t>
            </w:r>
          </w:p>
          <w:tbl>
            <w:tblPr>
              <w:tblStyle w:val="28"/>
              <w:tblW w:w="49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85"/>
              <w:gridCol w:w="1042"/>
              <w:gridCol w:w="775"/>
              <w:gridCol w:w="664"/>
              <w:gridCol w:w="672"/>
              <w:gridCol w:w="995"/>
              <w:gridCol w:w="573"/>
              <w:gridCol w:w="673"/>
              <w:gridCol w:w="673"/>
              <w:gridCol w:w="673"/>
              <w:gridCol w:w="673"/>
            </w:tblGrid>
            <w:tr w14:paraId="62A37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86" w:type="pct"/>
                  <w:vAlign w:val="center"/>
                </w:tcPr>
                <w:p w14:paraId="02835FA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标准类别</w:t>
                  </w:r>
                </w:p>
              </w:tc>
              <w:tc>
                <w:tcPr>
                  <w:tcW w:w="620" w:type="pct"/>
                  <w:vAlign w:val="center"/>
                </w:tcPr>
                <w:p w14:paraId="5330B59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PH</w:t>
                  </w:r>
                </w:p>
              </w:tc>
              <w:tc>
                <w:tcPr>
                  <w:tcW w:w="461" w:type="pct"/>
                  <w:vAlign w:val="center"/>
                </w:tcPr>
                <w:p w14:paraId="0CF7C60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CODcr</w:t>
                  </w:r>
                </w:p>
              </w:tc>
              <w:tc>
                <w:tcPr>
                  <w:tcW w:w="395" w:type="pct"/>
                  <w:vAlign w:val="center"/>
                </w:tcPr>
                <w:p w14:paraId="35A6D3F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SS</w:t>
                  </w:r>
                </w:p>
              </w:tc>
              <w:tc>
                <w:tcPr>
                  <w:tcW w:w="400" w:type="pct"/>
                  <w:vAlign w:val="center"/>
                </w:tcPr>
                <w:p w14:paraId="7A86B89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BOD</w:t>
                  </w:r>
                  <w:r>
                    <w:rPr>
                      <w:rFonts w:hint="default" w:ascii="Times New Roman" w:hAnsi="Times New Roman" w:eastAsia="宋体" w:cs="Times New Roman"/>
                      <w:b/>
                      <w:bCs/>
                      <w:color w:val="auto"/>
                      <w:sz w:val="21"/>
                      <w:szCs w:val="21"/>
                      <w:vertAlign w:val="subscript"/>
                    </w:rPr>
                    <w:t>5</w:t>
                  </w:r>
                </w:p>
              </w:tc>
              <w:tc>
                <w:tcPr>
                  <w:tcW w:w="592" w:type="pct"/>
                  <w:vAlign w:val="center"/>
                </w:tcPr>
                <w:p w14:paraId="4ED7E66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动植物油</w:t>
                  </w:r>
                </w:p>
              </w:tc>
              <w:tc>
                <w:tcPr>
                  <w:tcW w:w="341" w:type="pct"/>
                  <w:vAlign w:val="center"/>
                </w:tcPr>
                <w:p w14:paraId="47903C6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氨氮</w:t>
                  </w:r>
                </w:p>
              </w:tc>
              <w:tc>
                <w:tcPr>
                  <w:tcW w:w="400" w:type="pct"/>
                  <w:vAlign w:val="center"/>
                </w:tcPr>
                <w:p w14:paraId="17FA70B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总磷</w:t>
                  </w:r>
                </w:p>
              </w:tc>
              <w:tc>
                <w:tcPr>
                  <w:tcW w:w="400" w:type="pct"/>
                  <w:vAlign w:val="center"/>
                </w:tcPr>
                <w:p w14:paraId="02512B8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总氮</w:t>
                  </w:r>
                </w:p>
              </w:tc>
              <w:tc>
                <w:tcPr>
                  <w:tcW w:w="400" w:type="pct"/>
                  <w:vAlign w:val="center"/>
                </w:tcPr>
                <w:p w14:paraId="5D2A7B6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LAS</w:t>
                  </w:r>
                </w:p>
              </w:tc>
              <w:tc>
                <w:tcPr>
                  <w:tcW w:w="400" w:type="pct"/>
                  <w:vAlign w:val="center"/>
                </w:tcPr>
                <w:p w14:paraId="1C99A64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挥发酚</w:t>
                  </w:r>
                </w:p>
              </w:tc>
            </w:tr>
            <w:tr w14:paraId="6AE68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86" w:type="pct"/>
                  <w:vAlign w:val="center"/>
                </w:tcPr>
                <w:p w14:paraId="51072FE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 级标准值</w:t>
                  </w:r>
                </w:p>
              </w:tc>
              <w:tc>
                <w:tcPr>
                  <w:tcW w:w="620" w:type="pct"/>
                  <w:vAlign w:val="center"/>
                </w:tcPr>
                <w:p w14:paraId="2454B0E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6.5～9.5</w:t>
                  </w:r>
                </w:p>
              </w:tc>
              <w:tc>
                <w:tcPr>
                  <w:tcW w:w="461" w:type="pct"/>
                  <w:vAlign w:val="center"/>
                </w:tcPr>
                <w:p w14:paraId="2565EC9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395" w:type="pct"/>
                  <w:vAlign w:val="center"/>
                </w:tcPr>
                <w:p w14:paraId="497E8FA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400" w:type="pct"/>
                  <w:vAlign w:val="center"/>
                </w:tcPr>
                <w:p w14:paraId="2556762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w:t>
                  </w:r>
                </w:p>
              </w:tc>
              <w:tc>
                <w:tcPr>
                  <w:tcW w:w="592" w:type="pct"/>
                  <w:vAlign w:val="center"/>
                </w:tcPr>
                <w:p w14:paraId="6B69EB4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341" w:type="pct"/>
                  <w:vAlign w:val="center"/>
                </w:tcPr>
                <w:p w14:paraId="5E603BC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400" w:type="pct"/>
                  <w:vAlign w:val="center"/>
                </w:tcPr>
                <w:p w14:paraId="7F04890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400" w:type="pct"/>
                  <w:vAlign w:val="center"/>
                </w:tcPr>
                <w:p w14:paraId="4203073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400" w:type="pct"/>
                  <w:vAlign w:val="center"/>
                </w:tcPr>
                <w:p w14:paraId="4D86DDA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20</w:t>
                  </w:r>
                </w:p>
              </w:tc>
              <w:tc>
                <w:tcPr>
                  <w:tcW w:w="400" w:type="pct"/>
                  <w:vAlign w:val="center"/>
                </w:tcPr>
                <w:p w14:paraId="4FE18A3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1</w:t>
                  </w:r>
                </w:p>
              </w:tc>
            </w:tr>
          </w:tbl>
          <w:p w14:paraId="062A9737">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三、噪声排放标准</w:t>
            </w:r>
          </w:p>
          <w:p w14:paraId="17CABE0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（1）施工期噪声执行《建筑施工场界环境噪声排放标准》（GB12523-2011）声限值见表3-</w:t>
            </w:r>
            <w:r>
              <w:rPr>
                <w:rFonts w:hint="eastAsia" w:cs="Times New Roman"/>
                <w:color w:val="auto"/>
                <w:sz w:val="24"/>
                <w:szCs w:val="24"/>
                <w:lang w:val="en-US" w:eastAsia="zh-CN"/>
              </w:rPr>
              <w:t>12</w:t>
            </w:r>
            <w:r>
              <w:rPr>
                <w:rFonts w:hint="default" w:ascii="Times New Roman" w:hAnsi="Times New Roman" w:eastAsia="宋体" w:cs="Times New Roman"/>
                <w:color w:val="auto"/>
                <w:sz w:val="24"/>
                <w:szCs w:val="24"/>
                <w:lang w:val="en-US" w:eastAsia="zh-CN"/>
              </w:rPr>
              <w:t>。</w:t>
            </w:r>
          </w:p>
          <w:p w14:paraId="7E3E3E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12</w:t>
            </w:r>
            <w:r>
              <w:rPr>
                <w:rFonts w:hint="default" w:ascii="Times New Roman" w:hAnsi="Times New Roman" w:eastAsia="宋体" w:cs="Times New Roman"/>
                <w:b/>
                <w:bCs/>
                <w:color w:val="auto"/>
                <w:sz w:val="21"/>
                <w:szCs w:val="21"/>
                <w:lang w:val="en-US" w:eastAsia="zh-CN"/>
              </w:rPr>
              <w:t xml:space="preserve">  建筑施工场界环境噪声排放限值dB(A)</w:t>
            </w:r>
          </w:p>
          <w:tbl>
            <w:tblPr>
              <w:tblStyle w:val="28"/>
              <w:tblW w:w="842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4006"/>
              <w:gridCol w:w="4423"/>
            </w:tblGrid>
            <w:tr w14:paraId="0CA45A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1" w:hRule="atLeast"/>
                <w:jc w:val="center"/>
              </w:trPr>
              <w:tc>
                <w:tcPr>
                  <w:tcW w:w="4006" w:type="dxa"/>
                  <w:vAlign w:val="center"/>
                </w:tcPr>
                <w:p w14:paraId="37CC9E2B">
                  <w:pPr>
                    <w:keepNext w:val="0"/>
                    <w:keepLines w:val="0"/>
                    <w:suppressLineNumbers w:val="0"/>
                    <w:adjustRightInd w:val="0"/>
                    <w:snapToGrid w:val="0"/>
                    <w:spacing w:before="0" w:beforeAutospacing="0" w:after="0" w:afterAutospacing="0" w:line="320" w:lineRule="exact"/>
                    <w:ind w:left="0" w:right="0" w:firstLine="420" w:firstLineChars="20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昼间</w:t>
                  </w:r>
                </w:p>
              </w:tc>
              <w:tc>
                <w:tcPr>
                  <w:tcW w:w="4423" w:type="dxa"/>
                  <w:vAlign w:val="center"/>
                </w:tcPr>
                <w:p w14:paraId="3C72EF18">
                  <w:pPr>
                    <w:keepNext w:val="0"/>
                    <w:keepLines w:val="0"/>
                    <w:suppressLineNumbers w:val="0"/>
                    <w:adjustRightInd w:val="0"/>
                    <w:snapToGrid w:val="0"/>
                    <w:spacing w:before="0" w:beforeAutospacing="0" w:after="0" w:afterAutospacing="0" w:line="320" w:lineRule="exact"/>
                    <w:ind w:left="0" w:right="0" w:firstLine="420" w:firstLineChars="20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夜间</w:t>
                  </w:r>
                </w:p>
              </w:tc>
            </w:tr>
            <w:tr w14:paraId="6E0669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 w:hRule="atLeast"/>
                <w:jc w:val="center"/>
              </w:trPr>
              <w:tc>
                <w:tcPr>
                  <w:tcW w:w="4006" w:type="dxa"/>
                  <w:vAlign w:val="center"/>
                </w:tcPr>
                <w:p w14:paraId="0A6BD202">
                  <w:pPr>
                    <w:keepNext w:val="0"/>
                    <w:keepLines w:val="0"/>
                    <w:suppressLineNumbers w:val="0"/>
                    <w:adjustRightInd w:val="0"/>
                    <w:snapToGrid w:val="0"/>
                    <w:spacing w:before="0" w:beforeAutospacing="0" w:after="0" w:afterAutospacing="0" w:line="320" w:lineRule="exact"/>
                    <w:ind w:left="0" w:right="0" w:firstLine="420" w:firstLineChars="200"/>
                    <w:jc w:val="center"/>
                    <w:rPr>
                      <w:rFonts w:hint="default" w:ascii="Times New Roman" w:hAnsi="Times New Roman" w:eastAsia="宋体" w:cs="Times New Roman"/>
                      <w:color w:val="auto"/>
                    </w:rPr>
                  </w:pPr>
                  <w:r>
                    <w:rPr>
                      <w:rFonts w:hint="default" w:ascii="Times New Roman" w:hAnsi="Times New Roman" w:eastAsia="宋体" w:cs="Times New Roman"/>
                      <w:color w:val="auto"/>
                    </w:rPr>
                    <w:t>70</w:t>
                  </w:r>
                </w:p>
              </w:tc>
              <w:tc>
                <w:tcPr>
                  <w:tcW w:w="4423" w:type="dxa"/>
                  <w:vAlign w:val="center"/>
                </w:tcPr>
                <w:p w14:paraId="5FE4C38E">
                  <w:pPr>
                    <w:keepNext w:val="0"/>
                    <w:keepLines w:val="0"/>
                    <w:suppressLineNumbers w:val="0"/>
                    <w:adjustRightInd w:val="0"/>
                    <w:snapToGrid w:val="0"/>
                    <w:spacing w:before="0" w:beforeAutospacing="0" w:after="0" w:afterAutospacing="0" w:line="320" w:lineRule="exact"/>
                    <w:ind w:left="0" w:right="0" w:firstLine="420" w:firstLineChars="200"/>
                    <w:jc w:val="center"/>
                    <w:rPr>
                      <w:rFonts w:hint="default" w:ascii="Times New Roman" w:hAnsi="Times New Roman" w:eastAsia="宋体" w:cs="Times New Roman"/>
                      <w:color w:val="auto"/>
                    </w:rPr>
                  </w:pPr>
                  <w:r>
                    <w:rPr>
                      <w:rFonts w:hint="default" w:ascii="Times New Roman" w:hAnsi="Times New Roman" w:eastAsia="宋体" w:cs="Times New Roman"/>
                      <w:color w:val="auto"/>
                    </w:rPr>
                    <w:t>55</w:t>
                  </w:r>
                </w:p>
              </w:tc>
            </w:tr>
          </w:tbl>
          <w:p w14:paraId="2569600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（2）项目运营期厂界噪声执行《工业企业厂界环境噪声排放标准》（GB12348-2008）3类标准，噪声限值见表3-</w:t>
            </w:r>
            <w:r>
              <w:rPr>
                <w:rFonts w:hint="eastAsia" w:cs="Times New Roman"/>
                <w:color w:val="auto"/>
                <w:sz w:val="24"/>
                <w:szCs w:val="24"/>
                <w:lang w:val="en-US" w:eastAsia="zh-CN"/>
              </w:rPr>
              <w:t>13</w:t>
            </w:r>
            <w:r>
              <w:rPr>
                <w:rFonts w:hint="default" w:ascii="Times New Roman" w:hAnsi="Times New Roman" w:eastAsia="宋体" w:cs="Times New Roman"/>
                <w:color w:val="auto"/>
                <w:sz w:val="24"/>
                <w:szCs w:val="24"/>
                <w:lang w:val="en-US" w:eastAsia="zh-CN"/>
              </w:rPr>
              <w:t>。</w:t>
            </w:r>
          </w:p>
          <w:p w14:paraId="795B7D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13</w:t>
            </w:r>
            <w:r>
              <w:rPr>
                <w:rFonts w:hint="default" w:ascii="Times New Roman" w:hAnsi="Times New Roman" w:eastAsia="宋体" w:cs="Times New Roman"/>
                <w:b/>
                <w:bCs/>
                <w:color w:val="auto"/>
                <w:sz w:val="21"/>
                <w:szCs w:val="21"/>
                <w:lang w:val="en-US" w:eastAsia="zh-CN"/>
              </w:rPr>
              <w:t xml:space="preserve">  工业企业厂界环境噪声排放标准dB(A)</w:t>
            </w:r>
          </w:p>
          <w:tbl>
            <w:tblPr>
              <w:tblStyle w:val="28"/>
              <w:tblW w:w="843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264"/>
              <w:gridCol w:w="3086"/>
              <w:gridCol w:w="3082"/>
            </w:tblGrid>
            <w:tr w14:paraId="2A3892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9" w:hRule="atLeast"/>
                <w:jc w:val="center"/>
              </w:trPr>
              <w:tc>
                <w:tcPr>
                  <w:tcW w:w="2264" w:type="dxa"/>
                  <w:vMerge w:val="restart"/>
                  <w:vAlign w:val="center"/>
                </w:tcPr>
                <w:p w14:paraId="432B5B6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类别</w:t>
                  </w:r>
                </w:p>
              </w:tc>
              <w:tc>
                <w:tcPr>
                  <w:tcW w:w="6168" w:type="dxa"/>
                  <w:gridSpan w:val="2"/>
                  <w:vAlign w:val="center"/>
                </w:tcPr>
                <w:p w14:paraId="1A67D3B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等效声级[dB(A)]</w:t>
                  </w:r>
                </w:p>
              </w:tc>
            </w:tr>
            <w:tr w14:paraId="79B8D7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4" w:hRule="atLeast"/>
                <w:jc w:val="center"/>
              </w:trPr>
              <w:tc>
                <w:tcPr>
                  <w:tcW w:w="2264" w:type="dxa"/>
                  <w:vMerge w:val="continue"/>
                  <w:vAlign w:val="center"/>
                </w:tcPr>
                <w:p w14:paraId="307B8FDA">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rPr>
                  </w:pPr>
                </w:p>
              </w:tc>
              <w:tc>
                <w:tcPr>
                  <w:tcW w:w="3086" w:type="dxa"/>
                  <w:vAlign w:val="center"/>
                </w:tcPr>
                <w:p w14:paraId="280CE5E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昼间</w:t>
                  </w:r>
                </w:p>
              </w:tc>
              <w:tc>
                <w:tcPr>
                  <w:tcW w:w="3082" w:type="dxa"/>
                  <w:vAlign w:val="center"/>
                </w:tcPr>
                <w:p w14:paraId="0D78B32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夜间</w:t>
                  </w:r>
                </w:p>
              </w:tc>
            </w:tr>
            <w:tr w14:paraId="4BDB2A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9" w:hRule="atLeast"/>
                <w:jc w:val="center"/>
              </w:trPr>
              <w:tc>
                <w:tcPr>
                  <w:tcW w:w="2264" w:type="dxa"/>
                  <w:vAlign w:val="center"/>
                </w:tcPr>
                <w:p w14:paraId="495F464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3类</w:t>
                  </w:r>
                </w:p>
              </w:tc>
              <w:tc>
                <w:tcPr>
                  <w:tcW w:w="3086" w:type="dxa"/>
                  <w:vAlign w:val="center"/>
                </w:tcPr>
                <w:p w14:paraId="1E414DF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65</w:t>
                  </w:r>
                </w:p>
              </w:tc>
              <w:tc>
                <w:tcPr>
                  <w:tcW w:w="3082" w:type="dxa"/>
                  <w:vAlign w:val="center"/>
                </w:tcPr>
                <w:p w14:paraId="04ECDFE4">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55</w:t>
                  </w:r>
                </w:p>
              </w:tc>
            </w:tr>
          </w:tbl>
          <w:p w14:paraId="05A97199">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四、固体废弃物</w:t>
            </w:r>
          </w:p>
          <w:p w14:paraId="611058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4"/>
                <w:szCs w:val="24"/>
                <w:lang w:val="en-US" w:eastAsia="zh-CN"/>
              </w:rPr>
              <w:t>本项目产生的一般工业固废执行</w:t>
            </w:r>
            <w:r>
              <w:rPr>
                <w:rFonts w:hint="default" w:ascii="Times New Roman" w:hAnsi="Times New Roman" w:eastAsia="宋体" w:cs="Times New Roman"/>
                <w:color w:val="auto"/>
                <w:kern w:val="0"/>
                <w:sz w:val="24"/>
                <w:lang w:val="en-US" w:eastAsia="zh-CN"/>
              </w:rPr>
              <w:t>《一般工业固体废物贮存和填埋污染控制标准》（GB 18599-2020）</w:t>
            </w:r>
            <w:r>
              <w:rPr>
                <w:rFonts w:hint="default" w:ascii="Times New Roman" w:hAnsi="Times New Roman" w:eastAsia="宋体" w:cs="Times New Roman"/>
                <w:color w:val="auto"/>
                <w:sz w:val="24"/>
                <w:szCs w:val="24"/>
                <w:lang w:val="en-US" w:eastAsia="zh-CN"/>
              </w:rPr>
              <w:t>；危险废物执行《危险废物贮存污染控制标准》（GB18596-2001）标准及其2013年修改单要求。</w:t>
            </w:r>
          </w:p>
        </w:tc>
      </w:tr>
      <w:tr w14:paraId="450E98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0" w:type="dxa"/>
            <w:noWrap w:val="0"/>
            <w:vAlign w:val="center"/>
          </w:tcPr>
          <w:p w14:paraId="42EFC2E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总量</w:t>
            </w:r>
          </w:p>
          <w:p w14:paraId="6EC7E44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控制</w:t>
            </w:r>
          </w:p>
          <w:p w14:paraId="4F2D619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4"/>
                <w:szCs w:val="24"/>
              </w:rPr>
              <w:t>指标</w:t>
            </w:r>
          </w:p>
        </w:tc>
        <w:tc>
          <w:tcPr>
            <w:tcW w:w="8190" w:type="dxa"/>
            <w:noWrap w:val="0"/>
            <w:vAlign w:val="center"/>
          </w:tcPr>
          <w:p w14:paraId="3384B004">
            <w:pPr>
              <w:keepNext w:val="0"/>
              <w:keepLines w:val="0"/>
              <w:suppressLineNumbers w:val="0"/>
              <w:shd w:val="clear" w:color="auto" w:fill="auto"/>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一、据 “十</w:t>
            </w:r>
            <w:r>
              <w:rPr>
                <w:rFonts w:hint="default" w:ascii="Times New Roman" w:hAnsi="Times New Roman" w:eastAsia="宋体" w:cs="Times New Roman"/>
                <w:color w:val="auto"/>
                <w:kern w:val="0"/>
                <w:sz w:val="24"/>
                <w:lang w:val="en-US" w:eastAsia="zh-CN"/>
              </w:rPr>
              <w:t>四</w:t>
            </w:r>
            <w:r>
              <w:rPr>
                <w:rFonts w:hint="default" w:ascii="Times New Roman" w:hAnsi="Times New Roman" w:eastAsia="宋体" w:cs="Times New Roman"/>
                <w:color w:val="auto"/>
                <w:kern w:val="0"/>
                <w:sz w:val="24"/>
              </w:rPr>
              <w:t>五”主要污染物总量控制规划的相关规定，总量控制指标为COD、NH</w:t>
            </w:r>
            <w:r>
              <w:rPr>
                <w:rFonts w:hint="default" w:ascii="Times New Roman" w:hAnsi="Times New Roman" w:eastAsia="宋体" w:cs="Times New Roman"/>
                <w:color w:val="auto"/>
                <w:kern w:val="0"/>
                <w:sz w:val="24"/>
                <w:vertAlign w:val="subscript"/>
              </w:rPr>
              <w:t>3</w:t>
            </w:r>
            <w:r>
              <w:rPr>
                <w:rFonts w:hint="default" w:ascii="Times New Roman" w:hAnsi="Times New Roman" w:eastAsia="宋体" w:cs="Times New Roman"/>
                <w:color w:val="auto"/>
                <w:kern w:val="0"/>
                <w:sz w:val="24"/>
              </w:rPr>
              <w:t>-N、NO</w:t>
            </w:r>
            <w:r>
              <w:rPr>
                <w:rFonts w:hint="default" w:ascii="Times New Roman" w:hAnsi="Times New Roman" w:eastAsia="宋体" w:cs="Times New Roman"/>
                <w:color w:val="auto"/>
                <w:kern w:val="0"/>
                <w:sz w:val="24"/>
                <w:vertAlign w:val="subscript"/>
              </w:rPr>
              <w:t>X</w:t>
            </w:r>
            <w:r>
              <w:rPr>
                <w:rFonts w:hint="default" w:ascii="Times New Roman" w:hAnsi="Times New Roman" w:eastAsia="宋体" w:cs="Times New Roman"/>
                <w:color w:val="auto"/>
                <w:kern w:val="0"/>
                <w:sz w:val="24"/>
                <w:vertAlign w:val="baseline"/>
                <w:lang w:eastAsia="zh-CN"/>
              </w:rPr>
              <w:t>、</w:t>
            </w:r>
            <w:r>
              <w:rPr>
                <w:rFonts w:hint="default" w:ascii="Times New Roman" w:hAnsi="Times New Roman" w:eastAsia="宋体" w:cs="Times New Roman"/>
                <w:color w:val="auto"/>
                <w:kern w:val="0"/>
                <w:sz w:val="24"/>
                <w:vertAlign w:val="baseline"/>
                <w:lang w:val="en-US" w:eastAsia="zh-CN"/>
              </w:rPr>
              <w:t>VOCs</w:t>
            </w:r>
            <w:r>
              <w:rPr>
                <w:rFonts w:hint="default" w:ascii="Times New Roman" w:hAnsi="Times New Roman" w:eastAsia="宋体" w:cs="Times New Roman"/>
                <w:color w:val="auto"/>
                <w:kern w:val="0"/>
                <w:sz w:val="24"/>
              </w:rPr>
              <w:t>。</w:t>
            </w:r>
          </w:p>
          <w:p w14:paraId="5FF9AB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1、废水污染物</w:t>
            </w:r>
          </w:p>
          <w:p w14:paraId="3B13FB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本项目生活污水经隔油池、化粪池预处理后同生产废水一并进入自建污水处理系统处理，达</w:t>
            </w:r>
            <w:r>
              <w:rPr>
                <w:rFonts w:hint="default" w:ascii="Times New Roman" w:hAnsi="Times New Roman" w:eastAsia="宋体" w:cs="Times New Roman"/>
                <w:color w:val="auto"/>
                <w:sz w:val="24"/>
                <w:szCs w:val="24"/>
                <w:highlight w:val="none"/>
                <w:lang w:val="en-US" w:eastAsia="zh-CN"/>
              </w:rPr>
              <w:t>《污水排入城镇下水道水质标准》（GB/T31962-2015）表1 中</w:t>
            </w:r>
            <w:r>
              <w:rPr>
                <w:rFonts w:hint="eastAsia"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val="en-US" w:eastAsia="zh-CN"/>
              </w:rPr>
              <w:t xml:space="preserve"> 等级标准</w:t>
            </w:r>
            <w:r>
              <w:rPr>
                <w:rFonts w:hint="eastAsia" w:cs="Times New Roman"/>
                <w:color w:val="auto"/>
                <w:sz w:val="24"/>
                <w:szCs w:val="24"/>
                <w:highlight w:val="none"/>
                <w:lang w:val="en-US" w:eastAsia="zh-CN"/>
              </w:rPr>
              <w:t>进入</w:t>
            </w:r>
            <w:r>
              <w:rPr>
                <w:rFonts w:hint="eastAsia" w:ascii="Times New Roman" w:hAnsi="Times New Roman" w:eastAsia="宋体" w:cs="Times New Roman"/>
                <w:color w:val="auto"/>
                <w:sz w:val="24"/>
                <w:szCs w:val="24"/>
                <w:highlight w:val="none"/>
                <w:lang w:val="en-US" w:eastAsia="zh-CN"/>
              </w:rPr>
              <w:t>园区污水管网，最终进入</w:t>
            </w:r>
            <w:r>
              <w:rPr>
                <w:rFonts w:hint="eastAsia" w:cs="Times New Roman"/>
                <w:color w:val="auto"/>
                <w:sz w:val="24"/>
                <w:szCs w:val="24"/>
                <w:highlight w:val="none"/>
                <w:lang w:val="en-US" w:eastAsia="zh-CN"/>
              </w:rPr>
              <w:t>富民工业园区哨箐机械加工园污水处理厂，纳入富民工业园区哨箐机械加工园污水处理厂总量控制，因此本项目不设废水总量控制指标。</w:t>
            </w:r>
          </w:p>
          <w:p w14:paraId="74EA75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2、大气污染物</w:t>
            </w:r>
          </w:p>
          <w:p w14:paraId="379C65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本次评价建议项目废气总量控制指标为：</w:t>
            </w:r>
          </w:p>
          <w:p w14:paraId="66196B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s="Times New Roman"/>
                <w:color w:val="auto"/>
                <w:sz w:val="24"/>
                <w:szCs w:val="24"/>
                <w:lang w:val="en-US" w:eastAsia="zh-CN"/>
              </w:rPr>
            </w:pPr>
            <w:r>
              <w:rPr>
                <w:rFonts w:hint="eastAsia" w:cs="Times New Roman"/>
                <w:color w:val="auto"/>
                <w:kern w:val="0"/>
                <w:sz w:val="24"/>
                <w:szCs w:val="20"/>
                <w:lang w:val="en-US" w:eastAsia="zh-CN"/>
              </w:rPr>
              <w:t>DA001排气筒：</w:t>
            </w:r>
            <w:r>
              <w:rPr>
                <w:rFonts w:hint="default" w:ascii="Times New Roman" w:hAnsi="Times New Roman" w:eastAsia="宋体" w:cs="Times New Roman"/>
                <w:color w:val="auto"/>
                <w:kern w:val="0"/>
                <w:sz w:val="24"/>
                <w:szCs w:val="20"/>
              </w:rPr>
              <w:t>废气总排放量为</w:t>
            </w:r>
            <w:r>
              <w:rPr>
                <w:rFonts w:hint="eastAsia" w:cs="Times New Roman"/>
                <w:color w:val="auto"/>
                <w:kern w:val="0"/>
                <w:sz w:val="24"/>
                <w:szCs w:val="20"/>
                <w:lang w:val="en-US" w:eastAsia="zh-CN"/>
              </w:rPr>
              <w:t>23040</w:t>
            </w:r>
            <w:r>
              <w:rPr>
                <w:rFonts w:hint="default" w:ascii="Times New Roman" w:hAnsi="Times New Roman" w:eastAsia="宋体" w:cs="Times New Roman"/>
                <w:color w:val="auto"/>
                <w:kern w:val="0"/>
                <w:sz w:val="24"/>
                <w:szCs w:val="20"/>
              </w:rPr>
              <w:t>万</w:t>
            </w:r>
            <w:r>
              <w:rPr>
                <w:rFonts w:hint="default" w:ascii="Times New Roman" w:hAnsi="Times New Roman" w:eastAsia="宋体" w:cs="Times New Roman"/>
                <w:bCs/>
                <w:color w:val="auto"/>
                <w:kern w:val="0"/>
                <w:sz w:val="24"/>
                <w:szCs w:val="20"/>
              </w:rPr>
              <w:t>Nm</w:t>
            </w:r>
            <w:r>
              <w:rPr>
                <w:rFonts w:hint="default" w:ascii="Times New Roman" w:hAnsi="Times New Roman" w:eastAsia="宋体" w:cs="Times New Roman"/>
                <w:bCs/>
                <w:color w:val="auto"/>
                <w:kern w:val="0"/>
                <w:sz w:val="24"/>
                <w:szCs w:val="20"/>
                <w:vertAlign w:val="superscript"/>
              </w:rPr>
              <w:t>3</w:t>
            </w:r>
            <w:r>
              <w:rPr>
                <w:rFonts w:hint="default" w:ascii="Times New Roman" w:hAnsi="Times New Roman" w:eastAsia="宋体" w:cs="Times New Roman"/>
                <w:bCs/>
                <w:color w:val="auto"/>
                <w:kern w:val="0"/>
                <w:sz w:val="24"/>
                <w:szCs w:val="20"/>
              </w:rPr>
              <w:t>/a，</w:t>
            </w:r>
            <w:r>
              <w:rPr>
                <w:rFonts w:hint="default" w:ascii="Times New Roman" w:hAnsi="Times New Roman" w:eastAsia="宋体" w:cs="Times New Roman"/>
                <w:color w:val="auto"/>
                <w:sz w:val="24"/>
                <w:szCs w:val="24"/>
                <w:lang w:val="en-US" w:eastAsia="zh-CN"/>
              </w:rPr>
              <w:t>有组织颗粒物排放量为</w:t>
            </w:r>
            <w:r>
              <w:rPr>
                <w:rFonts w:hint="eastAsia" w:cs="Times New Roman"/>
                <w:color w:val="auto"/>
                <w:sz w:val="24"/>
                <w:szCs w:val="24"/>
                <w:lang w:val="en-US" w:eastAsia="zh-CN"/>
              </w:rPr>
              <w:t>4.6</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w:t>
            </w:r>
          </w:p>
          <w:p w14:paraId="0D0034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lang w:val="en-US" w:eastAsia="zh-CN"/>
              </w:rPr>
            </w:pPr>
            <w:r>
              <w:rPr>
                <w:rFonts w:hint="eastAsia" w:cs="Times New Roman"/>
                <w:color w:val="auto"/>
                <w:kern w:val="0"/>
                <w:sz w:val="24"/>
                <w:szCs w:val="20"/>
                <w:lang w:val="en-US" w:eastAsia="zh-CN"/>
              </w:rPr>
              <w:t>DA002排气筒：</w:t>
            </w:r>
            <w:r>
              <w:rPr>
                <w:rFonts w:hint="default" w:ascii="Times New Roman" w:hAnsi="Times New Roman" w:eastAsia="宋体" w:cs="Times New Roman"/>
                <w:color w:val="auto"/>
                <w:kern w:val="0"/>
                <w:sz w:val="24"/>
                <w:szCs w:val="20"/>
              </w:rPr>
              <w:t>废气总排放量为</w:t>
            </w:r>
            <w:r>
              <w:rPr>
                <w:rFonts w:hint="eastAsia" w:cs="Times New Roman"/>
                <w:color w:val="auto"/>
                <w:kern w:val="0"/>
                <w:sz w:val="24"/>
                <w:szCs w:val="20"/>
                <w:lang w:val="en-US" w:eastAsia="zh-CN"/>
              </w:rPr>
              <w:t>2640</w:t>
            </w:r>
            <w:r>
              <w:rPr>
                <w:rFonts w:hint="default" w:ascii="Times New Roman" w:hAnsi="Times New Roman" w:eastAsia="宋体" w:cs="Times New Roman"/>
                <w:color w:val="auto"/>
                <w:kern w:val="0"/>
                <w:sz w:val="24"/>
                <w:szCs w:val="20"/>
              </w:rPr>
              <w:t>万</w:t>
            </w:r>
            <w:r>
              <w:rPr>
                <w:rFonts w:hint="default" w:ascii="Times New Roman" w:hAnsi="Times New Roman" w:eastAsia="宋体" w:cs="Times New Roman"/>
                <w:bCs/>
                <w:color w:val="auto"/>
                <w:kern w:val="0"/>
                <w:sz w:val="24"/>
                <w:szCs w:val="20"/>
              </w:rPr>
              <w:t>Nm</w:t>
            </w:r>
            <w:r>
              <w:rPr>
                <w:rFonts w:hint="default" w:ascii="Times New Roman" w:hAnsi="Times New Roman" w:eastAsia="宋体" w:cs="Times New Roman"/>
                <w:bCs/>
                <w:color w:val="auto"/>
                <w:kern w:val="0"/>
                <w:sz w:val="24"/>
                <w:szCs w:val="20"/>
                <w:vertAlign w:val="superscript"/>
              </w:rPr>
              <w:t>3</w:t>
            </w:r>
            <w:r>
              <w:rPr>
                <w:rFonts w:hint="default" w:ascii="Times New Roman" w:hAnsi="Times New Roman" w:eastAsia="宋体" w:cs="Times New Roman"/>
                <w:bCs/>
                <w:color w:val="auto"/>
                <w:kern w:val="0"/>
                <w:sz w:val="24"/>
                <w:szCs w:val="20"/>
              </w:rPr>
              <w:t>/a，</w:t>
            </w:r>
            <w:r>
              <w:rPr>
                <w:rFonts w:hint="default" w:ascii="Times New Roman" w:hAnsi="Times New Roman" w:eastAsia="宋体" w:cs="Times New Roman"/>
                <w:color w:val="auto"/>
                <w:sz w:val="24"/>
                <w:szCs w:val="24"/>
                <w:lang w:val="en-US" w:eastAsia="zh-CN"/>
              </w:rPr>
              <w:t>有组织颗粒物排放量为</w:t>
            </w:r>
            <w:r>
              <w:rPr>
                <w:rFonts w:hint="eastAsia" w:cs="Times New Roman"/>
                <w:color w:val="auto"/>
                <w:sz w:val="24"/>
                <w:szCs w:val="24"/>
                <w:lang w:val="en-US" w:eastAsia="zh-CN"/>
              </w:rPr>
              <w:t>0.018</w:t>
            </w:r>
            <w:r>
              <w:rPr>
                <w:rFonts w:hint="default" w:ascii="Times New Roman" w:hAnsi="Times New Roman" w:eastAsia="宋体" w:cs="Times New Roman"/>
                <w:color w:val="auto"/>
                <w:kern w:val="0"/>
                <w:sz w:val="24"/>
                <w:szCs w:val="20"/>
                <w:lang w:val="en-US" w:eastAsia="zh-CN"/>
              </w:rPr>
              <w:t>t/a</w:t>
            </w:r>
            <w:r>
              <w:rPr>
                <w:rFonts w:hint="default" w:ascii="Times New Roman" w:hAnsi="Times New Roman" w:eastAsia="宋体" w:cs="Times New Roman"/>
                <w:bCs/>
                <w:color w:val="auto"/>
                <w:kern w:val="0"/>
                <w:sz w:val="24"/>
                <w:szCs w:val="20"/>
              </w:rPr>
              <w:t>，</w:t>
            </w:r>
            <w:r>
              <w:rPr>
                <w:rFonts w:hint="eastAsia" w:ascii="Times New Roman" w:hAnsi="Times New Roman" w:eastAsia="宋体" w:cs="Times New Roman"/>
                <w:color w:val="auto"/>
                <w:sz w:val="24"/>
                <w:szCs w:val="24"/>
                <w:lang w:val="en-US" w:eastAsia="zh-CN"/>
              </w:rPr>
              <w:t>非甲烷总烃</w:t>
            </w:r>
            <w:r>
              <w:rPr>
                <w:rFonts w:hint="default" w:ascii="Times New Roman" w:hAnsi="Times New Roman" w:eastAsia="宋体" w:cs="Times New Roman"/>
                <w:color w:val="auto"/>
                <w:sz w:val="24"/>
                <w:szCs w:val="24"/>
                <w:lang w:val="en-US" w:eastAsia="zh-CN"/>
              </w:rPr>
              <w:t>排放量为</w:t>
            </w:r>
            <w:r>
              <w:rPr>
                <w:rFonts w:hint="eastAsia" w:cs="Times New Roman"/>
                <w:color w:val="auto"/>
                <w:sz w:val="24"/>
                <w:szCs w:val="24"/>
                <w:lang w:val="en-US" w:eastAsia="zh-CN"/>
              </w:rPr>
              <w:t>0.069</w:t>
            </w:r>
            <w:r>
              <w:rPr>
                <w:rFonts w:hint="default" w:ascii="Times New Roman" w:hAnsi="Times New Roman" w:eastAsia="宋体" w:cs="Times New Roman"/>
                <w:color w:val="auto"/>
                <w:sz w:val="24"/>
                <w:szCs w:val="24"/>
                <w:lang w:val="en-US" w:eastAsia="zh-CN"/>
              </w:rPr>
              <w:t>t/a。</w:t>
            </w:r>
          </w:p>
          <w:p w14:paraId="661297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无组织颗粒物排放量为</w:t>
            </w:r>
            <w:r>
              <w:rPr>
                <w:rFonts w:hint="eastAsia" w:cs="Times New Roman"/>
                <w:color w:val="auto"/>
                <w:sz w:val="24"/>
                <w:szCs w:val="24"/>
                <w:lang w:val="en-US" w:eastAsia="zh-CN"/>
              </w:rPr>
              <w:t>2.233</w:t>
            </w:r>
            <w:r>
              <w:rPr>
                <w:rFonts w:hint="default" w:ascii="Times New Roman" w:hAnsi="Times New Roman" w:eastAsia="宋体" w:cs="Times New Roman"/>
                <w:color w:val="auto"/>
                <w:sz w:val="24"/>
                <w:szCs w:val="24"/>
                <w:lang w:val="en-US" w:eastAsia="zh-CN"/>
              </w:rPr>
              <w:t>t/a；无组织</w:t>
            </w:r>
            <w:r>
              <w:rPr>
                <w:rFonts w:hint="eastAsia" w:cs="Times New Roman"/>
                <w:color w:val="auto"/>
                <w:sz w:val="24"/>
                <w:szCs w:val="24"/>
                <w:lang w:val="en-US" w:eastAsia="zh-CN"/>
              </w:rPr>
              <w:t>非甲烷总烃</w:t>
            </w:r>
            <w:r>
              <w:rPr>
                <w:rFonts w:hint="default" w:ascii="Times New Roman" w:hAnsi="Times New Roman" w:eastAsia="宋体" w:cs="Times New Roman"/>
                <w:color w:val="auto"/>
                <w:sz w:val="24"/>
                <w:szCs w:val="24"/>
                <w:lang w:val="en-US" w:eastAsia="zh-CN"/>
              </w:rPr>
              <w:t>排放量为</w:t>
            </w:r>
            <w:r>
              <w:rPr>
                <w:rFonts w:hint="eastAsia" w:cs="Times New Roman"/>
                <w:color w:val="auto"/>
                <w:sz w:val="24"/>
                <w:szCs w:val="24"/>
                <w:lang w:val="en-US" w:eastAsia="zh-CN"/>
              </w:rPr>
              <w:t>0.058</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；无组织氨</w:t>
            </w:r>
            <w:r>
              <w:rPr>
                <w:rFonts w:hint="default" w:ascii="Times New Roman" w:hAnsi="Times New Roman" w:eastAsia="宋体" w:cs="Times New Roman"/>
                <w:color w:val="auto"/>
                <w:sz w:val="24"/>
                <w:szCs w:val="24"/>
                <w:lang w:val="en-US" w:eastAsia="zh-CN"/>
              </w:rPr>
              <w:t>排放量为</w:t>
            </w:r>
            <w:r>
              <w:rPr>
                <w:rFonts w:hint="eastAsia" w:cs="Times New Roman"/>
                <w:color w:val="auto"/>
                <w:sz w:val="24"/>
                <w:szCs w:val="24"/>
                <w:lang w:val="en-US" w:eastAsia="zh-CN"/>
              </w:rPr>
              <w:t>0.175</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w:t>
            </w:r>
          </w:p>
          <w:p w14:paraId="2C2FBD93">
            <w:pPr>
              <w:pStyle w:val="12"/>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color w:val="auto"/>
                <w:lang w:val="en-US" w:eastAsia="zh-CN"/>
              </w:rPr>
            </w:pPr>
            <w:r>
              <w:rPr>
                <w:rFonts w:hint="eastAsia" w:ascii="Times New Roman" w:hAnsi="Times New Roman" w:eastAsia="宋体" w:cs="Times New Roman"/>
                <w:color w:val="auto"/>
                <w:sz w:val="24"/>
                <w:szCs w:val="24"/>
                <w:lang w:val="en-US" w:eastAsia="zh-CN"/>
              </w:rPr>
              <w:t>全厂</w:t>
            </w:r>
            <w:r>
              <w:rPr>
                <w:rFonts w:hint="default" w:ascii="Times New Roman" w:hAnsi="Times New Roman" w:eastAsia="宋体" w:cs="Times New Roman"/>
                <w:color w:val="auto"/>
                <w:sz w:val="24"/>
                <w:szCs w:val="24"/>
                <w:lang w:val="en-US" w:eastAsia="zh-CN"/>
              </w:rPr>
              <w:t>颗粒物排放量为</w:t>
            </w:r>
            <w:r>
              <w:rPr>
                <w:rFonts w:hint="eastAsia" w:cs="Times New Roman"/>
                <w:color w:val="auto"/>
                <w:sz w:val="24"/>
                <w:szCs w:val="24"/>
                <w:lang w:val="en-US" w:eastAsia="zh-CN"/>
              </w:rPr>
              <w:t>6.851</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非甲烷总烃</w:t>
            </w:r>
            <w:r>
              <w:rPr>
                <w:rFonts w:hint="default" w:ascii="Times New Roman" w:hAnsi="Times New Roman" w:eastAsia="宋体" w:cs="Times New Roman"/>
                <w:color w:val="auto"/>
                <w:sz w:val="24"/>
                <w:szCs w:val="24"/>
                <w:lang w:val="en-US" w:eastAsia="zh-CN"/>
              </w:rPr>
              <w:t>排放量为</w:t>
            </w:r>
            <w:r>
              <w:rPr>
                <w:rFonts w:hint="eastAsia" w:cs="Times New Roman"/>
                <w:color w:val="auto"/>
                <w:sz w:val="24"/>
                <w:szCs w:val="24"/>
                <w:lang w:val="en-US" w:eastAsia="zh-CN"/>
              </w:rPr>
              <w:t>0.127</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；无组织氨</w:t>
            </w:r>
            <w:r>
              <w:rPr>
                <w:rFonts w:hint="default" w:ascii="Times New Roman" w:hAnsi="Times New Roman" w:eastAsia="宋体" w:cs="Times New Roman"/>
                <w:color w:val="auto"/>
                <w:sz w:val="24"/>
                <w:szCs w:val="24"/>
                <w:lang w:val="en-US" w:eastAsia="zh-CN"/>
              </w:rPr>
              <w:t>排放量为</w:t>
            </w:r>
            <w:r>
              <w:rPr>
                <w:rFonts w:hint="eastAsia" w:cs="Times New Roman"/>
                <w:color w:val="auto"/>
                <w:sz w:val="24"/>
                <w:szCs w:val="24"/>
                <w:lang w:val="en-US" w:eastAsia="zh-CN"/>
              </w:rPr>
              <w:t>0.175</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w:t>
            </w:r>
          </w:p>
          <w:p w14:paraId="3CF629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lang w:val="en-US" w:eastAsia="zh-CN"/>
              </w:rPr>
            </w:pPr>
            <w:r>
              <w:rPr>
                <w:rFonts w:hint="default" w:ascii="Times New Roman" w:hAnsi="Times New Roman" w:eastAsia="宋体" w:cs="Times New Roman"/>
                <w:color w:val="auto"/>
                <w:sz w:val="24"/>
                <w:szCs w:val="24"/>
                <w:lang w:val="en-US" w:eastAsia="zh-CN"/>
              </w:rPr>
              <w:t>3、固体废物处置率100%。</w:t>
            </w:r>
          </w:p>
          <w:p w14:paraId="11CCC5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Cs w:val="21"/>
              </w:rPr>
            </w:pPr>
          </w:p>
        </w:tc>
      </w:tr>
    </w:tbl>
    <w:p w14:paraId="7166FE62">
      <w:pPr>
        <w:pStyle w:val="26"/>
        <w:keepNext w:val="0"/>
        <w:keepLines w:val="0"/>
        <w:pageBreakBefore w:val="0"/>
        <w:widowControl/>
        <w:kinsoku/>
        <w:wordWrap/>
        <w:overflowPunct/>
        <w:topLinePunct w:val="0"/>
        <w:autoSpaceDE/>
        <w:autoSpaceDN/>
        <w:bidi w:val="0"/>
        <w:adjustRightInd/>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rPr>
      </w:pPr>
      <w:r>
        <w:rPr>
          <w:rFonts w:hint="default" w:ascii="Times New Roman" w:hAnsi="Times New Roman" w:eastAsia="宋体" w:cs="Times New Roman"/>
          <w:snapToGrid w:val="0"/>
          <w:color w:val="auto"/>
          <w:sz w:val="36"/>
          <w:szCs w:val="36"/>
        </w:rPr>
        <w:br w:type="page"/>
      </w:r>
      <w:bookmarkStart w:id="10" w:name="_Toc4006"/>
      <w:r>
        <w:rPr>
          <w:rFonts w:hint="default" w:ascii="Times New Roman" w:hAnsi="Times New Roman" w:eastAsia="宋体" w:cs="Times New Roman"/>
          <w:b/>
          <w:bCs/>
          <w:snapToGrid w:val="0"/>
          <w:color w:val="auto"/>
          <w:sz w:val="30"/>
          <w:szCs w:val="30"/>
        </w:rPr>
        <w:t>四、主要环境影响和保护措施</w:t>
      </w:r>
      <w:bookmarkEnd w:id="10"/>
    </w:p>
    <w:tbl>
      <w:tblPr>
        <w:tblStyle w:val="28"/>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31"/>
        <w:gridCol w:w="8650"/>
      </w:tblGrid>
      <w:tr w14:paraId="79C1B7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1" w:type="dxa"/>
            <w:noWrap w:val="0"/>
            <w:tcMar>
              <w:left w:w="28" w:type="dxa"/>
              <w:right w:w="28" w:type="dxa"/>
            </w:tcMar>
            <w:vAlign w:val="center"/>
          </w:tcPr>
          <w:p w14:paraId="3583DC10">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施工</w:t>
            </w:r>
          </w:p>
          <w:p w14:paraId="0ECB59C5">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期环</w:t>
            </w:r>
          </w:p>
          <w:p w14:paraId="5E62B0E8">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境保</w:t>
            </w:r>
          </w:p>
          <w:p w14:paraId="7BEC1193">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护措</w:t>
            </w:r>
          </w:p>
          <w:p w14:paraId="1738FC36">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color w:val="auto"/>
                <w:kern w:val="2"/>
                <w:sz w:val="24"/>
                <w:szCs w:val="24"/>
              </w:rPr>
              <w:t>施</w:t>
            </w:r>
          </w:p>
        </w:tc>
        <w:tc>
          <w:tcPr>
            <w:tcW w:w="8650" w:type="dxa"/>
            <w:noWrap w:val="0"/>
            <w:vAlign w:val="center"/>
          </w:tcPr>
          <w:p w14:paraId="120924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val="0"/>
                <w:color w:val="auto"/>
                <w:sz w:val="24"/>
                <w:szCs w:val="24"/>
                <w:highlight w:val="none"/>
                <w:lang w:val="en-US" w:eastAsia="zh-CN" w:bidi="ar"/>
              </w:rPr>
            </w:pPr>
            <w:r>
              <w:rPr>
                <w:rFonts w:hint="default" w:ascii="Times New Roman" w:hAnsi="Times New Roman" w:eastAsia="宋体" w:cs="Times New Roman"/>
                <w:b/>
                <w:bCs w:val="0"/>
                <w:color w:val="auto"/>
                <w:sz w:val="24"/>
                <w:szCs w:val="24"/>
                <w:highlight w:val="none"/>
                <w:lang w:val="en-US" w:eastAsia="zh-CN" w:bidi="ar"/>
              </w:rPr>
              <w:t>1、废气</w:t>
            </w:r>
          </w:p>
          <w:p w14:paraId="0FF907C8">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项目施工期</w:t>
            </w:r>
            <w:r>
              <w:rPr>
                <w:rFonts w:hint="default" w:ascii="Times New Roman" w:hAnsi="Times New Roman" w:eastAsia="宋体" w:cs="Times New Roman"/>
                <w:color w:val="auto"/>
                <w:sz w:val="24"/>
                <w:szCs w:val="24"/>
                <w:highlight w:val="none"/>
                <w:lang w:eastAsia="zh-CN"/>
              </w:rPr>
              <w:t>产生的废气主要为</w:t>
            </w:r>
            <w:r>
              <w:rPr>
                <w:rFonts w:hint="eastAsia" w:cs="Times New Roman"/>
                <w:color w:val="auto"/>
                <w:sz w:val="24"/>
                <w:szCs w:val="24"/>
                <w:highlight w:val="none"/>
                <w:lang w:val="en-US" w:eastAsia="zh-CN"/>
              </w:rPr>
              <w:t>施工</w:t>
            </w:r>
            <w:r>
              <w:rPr>
                <w:rFonts w:hint="default" w:ascii="Times New Roman" w:hAnsi="Times New Roman" w:eastAsia="宋体" w:cs="Times New Roman"/>
                <w:color w:val="auto"/>
                <w:sz w:val="24"/>
                <w:szCs w:val="24"/>
                <w:highlight w:val="none"/>
                <w:lang w:eastAsia="zh-CN"/>
              </w:rPr>
              <w:t>扬尘。</w:t>
            </w:r>
          </w:p>
          <w:p w14:paraId="1C3BEAF2">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zh-CN"/>
              </w:rPr>
            </w:pPr>
            <w:r>
              <w:rPr>
                <w:rFonts w:hint="default" w:ascii="Times New Roman" w:hAnsi="Times New Roman" w:eastAsia="宋体" w:cs="Times New Roman"/>
                <w:color w:val="auto"/>
                <w:kern w:val="0"/>
                <w:sz w:val="24"/>
                <w:szCs w:val="24"/>
                <w:highlight w:val="none"/>
                <w:lang w:val="zh-CN"/>
              </w:rPr>
              <w:t>建设单位应采取以下措施进行粉尘防治：</w:t>
            </w:r>
          </w:p>
          <w:p w14:paraId="6FEAF2C1">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zh-CN"/>
              </w:rPr>
            </w:pPr>
            <w:r>
              <w:rPr>
                <w:rFonts w:hint="default" w:ascii="Times New Roman" w:hAnsi="Times New Roman" w:eastAsia="宋体" w:cs="Times New Roman"/>
                <w:color w:val="auto"/>
                <w:kern w:val="0"/>
                <w:sz w:val="24"/>
                <w:szCs w:val="24"/>
                <w:highlight w:val="none"/>
                <w:lang w:val="zh-CN"/>
              </w:rPr>
              <w:fldChar w:fldCharType="begin"/>
            </w:r>
            <w:r>
              <w:rPr>
                <w:rFonts w:hint="default" w:ascii="Times New Roman" w:hAnsi="Times New Roman" w:eastAsia="宋体" w:cs="Times New Roman"/>
                <w:color w:val="auto"/>
                <w:kern w:val="0"/>
                <w:sz w:val="24"/>
                <w:szCs w:val="24"/>
                <w:highlight w:val="none"/>
                <w:lang w:val="zh-CN"/>
              </w:rPr>
              <w:instrText xml:space="preserve">= 1 \* GB3</w:instrText>
            </w:r>
            <w:r>
              <w:rPr>
                <w:rFonts w:hint="default" w:ascii="Times New Roman" w:hAnsi="Times New Roman" w:eastAsia="宋体" w:cs="Times New Roman"/>
                <w:color w:val="auto"/>
                <w:kern w:val="0"/>
                <w:sz w:val="24"/>
                <w:szCs w:val="24"/>
                <w:highlight w:val="none"/>
                <w:lang w:val="zh-CN"/>
              </w:rPr>
              <w:fldChar w:fldCharType="separate"/>
            </w:r>
            <w:r>
              <w:rPr>
                <w:rFonts w:hint="default" w:ascii="Times New Roman" w:hAnsi="Times New Roman" w:eastAsia="宋体" w:cs="Times New Roman"/>
                <w:color w:val="auto"/>
                <w:kern w:val="0"/>
                <w:sz w:val="24"/>
                <w:szCs w:val="24"/>
                <w:highlight w:val="none"/>
                <w:lang w:val="zh-CN"/>
              </w:rPr>
              <w:t>①</w:t>
            </w:r>
            <w:r>
              <w:rPr>
                <w:rFonts w:hint="default" w:ascii="Times New Roman" w:hAnsi="Times New Roman" w:eastAsia="宋体" w:cs="Times New Roman"/>
                <w:color w:val="auto"/>
                <w:kern w:val="0"/>
                <w:sz w:val="24"/>
                <w:szCs w:val="24"/>
                <w:highlight w:val="none"/>
                <w:lang w:val="zh-CN"/>
              </w:rPr>
              <w:fldChar w:fldCharType="end"/>
            </w:r>
            <w:r>
              <w:rPr>
                <w:rFonts w:hint="default" w:ascii="Times New Roman" w:hAnsi="Times New Roman" w:eastAsia="宋体" w:cs="Times New Roman"/>
                <w:color w:val="auto"/>
                <w:kern w:val="0"/>
                <w:sz w:val="24"/>
                <w:szCs w:val="24"/>
                <w:highlight w:val="none"/>
                <w:lang w:val="zh-CN"/>
              </w:rPr>
              <w:t>施工场地要定期进行洒水降尘；</w:t>
            </w:r>
          </w:p>
          <w:p w14:paraId="0614BDEA">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zh-CN"/>
              </w:rPr>
            </w:pPr>
            <w:r>
              <w:rPr>
                <w:rFonts w:hint="default" w:ascii="Times New Roman" w:hAnsi="Times New Roman" w:eastAsia="宋体" w:cs="Times New Roman"/>
                <w:color w:val="auto"/>
                <w:kern w:val="0"/>
                <w:sz w:val="24"/>
                <w:szCs w:val="24"/>
                <w:highlight w:val="none"/>
                <w:lang w:val="zh-CN"/>
              </w:rPr>
              <w:fldChar w:fldCharType="begin"/>
            </w:r>
            <w:r>
              <w:rPr>
                <w:rFonts w:hint="default" w:ascii="Times New Roman" w:hAnsi="Times New Roman" w:eastAsia="宋体" w:cs="Times New Roman"/>
                <w:color w:val="auto"/>
                <w:kern w:val="0"/>
                <w:sz w:val="24"/>
                <w:szCs w:val="24"/>
                <w:highlight w:val="none"/>
                <w:lang w:val="zh-CN"/>
              </w:rPr>
              <w:instrText xml:space="preserve">= 2 \* GB3</w:instrText>
            </w:r>
            <w:r>
              <w:rPr>
                <w:rFonts w:hint="default" w:ascii="Times New Roman" w:hAnsi="Times New Roman" w:eastAsia="宋体" w:cs="Times New Roman"/>
                <w:color w:val="auto"/>
                <w:kern w:val="0"/>
                <w:sz w:val="24"/>
                <w:szCs w:val="24"/>
                <w:highlight w:val="none"/>
                <w:lang w:val="zh-CN"/>
              </w:rPr>
              <w:fldChar w:fldCharType="separate"/>
            </w:r>
            <w:r>
              <w:rPr>
                <w:rFonts w:hint="default" w:ascii="Times New Roman" w:hAnsi="Times New Roman" w:eastAsia="宋体" w:cs="Times New Roman"/>
                <w:color w:val="auto"/>
                <w:kern w:val="0"/>
                <w:sz w:val="24"/>
                <w:szCs w:val="24"/>
                <w:highlight w:val="none"/>
                <w:lang w:val="zh-CN"/>
              </w:rPr>
              <w:t>②</w:t>
            </w:r>
            <w:r>
              <w:rPr>
                <w:rFonts w:hint="default" w:ascii="Times New Roman" w:hAnsi="Times New Roman" w:eastAsia="宋体" w:cs="Times New Roman"/>
                <w:color w:val="auto"/>
                <w:kern w:val="0"/>
                <w:sz w:val="24"/>
                <w:szCs w:val="24"/>
                <w:highlight w:val="none"/>
                <w:lang w:val="zh-CN"/>
              </w:rPr>
              <w:fldChar w:fldCharType="end"/>
            </w:r>
            <w:r>
              <w:rPr>
                <w:rFonts w:hint="default" w:ascii="Times New Roman" w:hAnsi="Times New Roman" w:eastAsia="宋体" w:cs="Times New Roman"/>
                <w:color w:val="auto"/>
                <w:kern w:val="0"/>
                <w:sz w:val="24"/>
                <w:szCs w:val="24"/>
                <w:highlight w:val="none"/>
                <w:lang w:val="zh-CN"/>
              </w:rPr>
              <w:t>装修过程</w:t>
            </w:r>
            <w:r>
              <w:rPr>
                <w:rFonts w:hint="default" w:ascii="Times New Roman" w:hAnsi="Times New Roman" w:eastAsia="宋体" w:cs="Times New Roman"/>
                <w:color w:val="auto"/>
                <w:sz w:val="24"/>
                <w:lang w:eastAsia="zh-CN"/>
              </w:rPr>
              <w:t>采取</w:t>
            </w:r>
            <w:r>
              <w:rPr>
                <w:rFonts w:hint="default" w:ascii="Times New Roman" w:hAnsi="Times New Roman" w:eastAsia="宋体" w:cs="Times New Roman"/>
                <w:color w:val="auto"/>
                <w:sz w:val="24"/>
              </w:rPr>
              <w:t>购置质量合格、通过国家质量检验的低污染材料及对施工人员配备必要的防护装备和保证足够的通风量等</w:t>
            </w:r>
            <w:r>
              <w:rPr>
                <w:rFonts w:hint="default" w:ascii="Times New Roman" w:hAnsi="Times New Roman" w:eastAsia="宋体" w:cs="Times New Roman"/>
                <w:color w:val="auto"/>
                <w:sz w:val="24"/>
                <w:lang w:eastAsia="zh-CN"/>
              </w:rPr>
              <w:t>措施</w:t>
            </w:r>
            <w:r>
              <w:rPr>
                <w:rFonts w:hint="default" w:ascii="Times New Roman" w:hAnsi="Times New Roman" w:eastAsia="宋体" w:cs="Times New Roman"/>
                <w:color w:val="auto"/>
                <w:sz w:val="24"/>
              </w:rPr>
              <w:t>。</w:t>
            </w:r>
          </w:p>
          <w:p w14:paraId="5510AD4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zh-CN"/>
              </w:rPr>
            </w:pPr>
            <w:r>
              <w:rPr>
                <w:rFonts w:hint="default" w:ascii="Times New Roman" w:hAnsi="Times New Roman" w:eastAsia="宋体" w:cs="Times New Roman"/>
                <w:color w:val="auto"/>
                <w:kern w:val="0"/>
                <w:sz w:val="24"/>
                <w:szCs w:val="24"/>
                <w:highlight w:val="none"/>
                <w:lang w:val="zh-CN"/>
              </w:rPr>
              <w:fldChar w:fldCharType="begin"/>
            </w:r>
            <w:r>
              <w:rPr>
                <w:rFonts w:hint="default" w:ascii="Times New Roman" w:hAnsi="Times New Roman" w:eastAsia="宋体" w:cs="Times New Roman"/>
                <w:color w:val="auto"/>
                <w:kern w:val="0"/>
                <w:sz w:val="24"/>
                <w:szCs w:val="24"/>
                <w:highlight w:val="none"/>
                <w:lang w:val="zh-CN"/>
              </w:rPr>
              <w:instrText xml:space="preserve">= 3 \* GB3</w:instrText>
            </w:r>
            <w:r>
              <w:rPr>
                <w:rFonts w:hint="default" w:ascii="Times New Roman" w:hAnsi="Times New Roman" w:eastAsia="宋体" w:cs="Times New Roman"/>
                <w:color w:val="auto"/>
                <w:kern w:val="0"/>
                <w:sz w:val="24"/>
                <w:szCs w:val="24"/>
                <w:highlight w:val="none"/>
                <w:lang w:val="zh-CN"/>
              </w:rPr>
              <w:fldChar w:fldCharType="separate"/>
            </w:r>
            <w:r>
              <w:rPr>
                <w:rFonts w:hint="default" w:ascii="Times New Roman" w:hAnsi="Times New Roman" w:eastAsia="宋体" w:cs="Times New Roman"/>
                <w:color w:val="auto"/>
                <w:kern w:val="0"/>
                <w:sz w:val="24"/>
                <w:szCs w:val="24"/>
                <w:highlight w:val="none"/>
                <w:lang w:val="zh-CN"/>
              </w:rPr>
              <w:t>③</w:t>
            </w:r>
            <w:r>
              <w:rPr>
                <w:rFonts w:hint="default" w:ascii="Times New Roman" w:hAnsi="Times New Roman" w:eastAsia="宋体" w:cs="Times New Roman"/>
                <w:color w:val="auto"/>
                <w:kern w:val="0"/>
                <w:sz w:val="24"/>
                <w:szCs w:val="24"/>
                <w:highlight w:val="none"/>
                <w:lang w:val="zh-CN"/>
              </w:rPr>
              <w:fldChar w:fldCharType="end"/>
            </w:r>
            <w:r>
              <w:rPr>
                <w:rFonts w:hint="default" w:ascii="Times New Roman" w:hAnsi="Times New Roman" w:eastAsia="宋体" w:cs="Times New Roman"/>
                <w:color w:val="auto"/>
                <w:kern w:val="0"/>
                <w:sz w:val="24"/>
                <w:szCs w:val="24"/>
                <w:highlight w:val="none"/>
                <w:lang w:val="zh-CN"/>
              </w:rPr>
              <w:t>散料应进行围隔和覆盖，施工垃圾应及时清运，适量洒水，减少扬尘。</w:t>
            </w:r>
          </w:p>
          <w:p w14:paraId="2A5CC019">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zh-CN"/>
              </w:rPr>
            </w:pPr>
            <w:r>
              <w:rPr>
                <w:rFonts w:hint="default" w:ascii="Times New Roman" w:hAnsi="Times New Roman" w:eastAsia="宋体" w:cs="Times New Roman"/>
                <w:color w:val="auto"/>
                <w:kern w:val="0"/>
                <w:sz w:val="24"/>
                <w:szCs w:val="24"/>
                <w:highlight w:val="none"/>
                <w:lang w:val="zh-CN"/>
              </w:rPr>
              <w:t>④施工车辆运作时会产生一定量的尾气，主要成分为碳氢化合物、CO和NOx等，属无组织排放，产生量较小，经大气稀释和扩散。</w:t>
            </w:r>
          </w:p>
          <w:p w14:paraId="163FDB62">
            <w:pPr>
              <w:pStyle w:val="20"/>
              <w:keepNext w:val="0"/>
              <w:keepLines w:val="0"/>
              <w:pageBreakBefore w:val="0"/>
              <w:widowControl w:val="0"/>
              <w:suppressLineNumbers w:val="0"/>
              <w:kinsoku/>
              <w:wordWrap/>
              <w:overflowPunct/>
              <w:topLinePunct w:val="0"/>
              <w:autoSpaceDE/>
              <w:autoSpaceDN/>
              <w:bidi w:val="0"/>
              <w:adjustRightInd/>
              <w:snapToGrid w:val="0"/>
              <w:spacing w:beforeAutospacing="0" w:after="0" w:afterAutospacing="0" w:line="360" w:lineRule="auto"/>
              <w:ind w:left="0" w:leftChars="0" w:right="0" w:firstLine="480" w:firstLineChars="200"/>
              <w:textAlignment w:val="auto"/>
              <w:rPr>
                <w:rFonts w:hint="default" w:ascii="Times New Roman" w:hAnsi="Times New Roman" w:eastAsia="宋体" w:cs="Times New Roman"/>
                <w:bCs/>
                <w:color w:val="auto"/>
                <w:sz w:val="24"/>
                <w:szCs w:val="24"/>
                <w:lang w:val="zh-CN"/>
              </w:rPr>
            </w:pPr>
            <w:r>
              <w:rPr>
                <w:rFonts w:hint="default" w:ascii="Times New Roman" w:hAnsi="Times New Roman" w:eastAsia="宋体" w:cs="Times New Roman"/>
                <w:color w:val="auto"/>
                <w:kern w:val="0"/>
                <w:sz w:val="24"/>
                <w:szCs w:val="24"/>
                <w:highlight w:val="none"/>
                <w:lang w:val="zh-CN"/>
              </w:rPr>
              <w:t>在采取上述措施治理后，扬尘可以得到有效控制，对周边环境影响较小。同时，施工期产生的扬尘污染是短期的，随着施工活动的结束，施工扬尘对环境空气的影响也就随之结束。综上，项目产生的扬尘对周围环境影响较小。</w:t>
            </w:r>
          </w:p>
          <w:p w14:paraId="22B81E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2、废水</w:t>
            </w:r>
          </w:p>
          <w:p w14:paraId="5E4E00AF">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项目施工期不设施工营地，施工人员均不在项目区食宿，</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lang w:val="en-US" w:eastAsia="zh-CN"/>
              </w:rPr>
              <w:t>施工废水</w:t>
            </w:r>
            <w:r>
              <w:rPr>
                <w:rFonts w:hint="default" w:ascii="Times New Roman" w:hAnsi="Times New Roman" w:eastAsia="宋体" w:cs="Times New Roman"/>
                <w:color w:val="auto"/>
                <w:sz w:val="24"/>
                <w:szCs w:val="24"/>
              </w:rPr>
              <w:t>主要为</w:t>
            </w:r>
            <w:r>
              <w:rPr>
                <w:rFonts w:hint="default" w:ascii="Times New Roman" w:hAnsi="Times New Roman" w:eastAsia="宋体" w:cs="Times New Roman"/>
                <w:color w:val="auto"/>
                <w:sz w:val="24"/>
                <w:szCs w:val="24"/>
                <w:lang w:eastAsia="zh-CN"/>
              </w:rPr>
              <w:t>设备</w:t>
            </w:r>
            <w:r>
              <w:rPr>
                <w:rFonts w:hint="default" w:ascii="Times New Roman" w:hAnsi="Times New Roman" w:eastAsia="宋体" w:cs="Times New Roman"/>
                <w:color w:val="auto"/>
                <w:sz w:val="24"/>
                <w:szCs w:val="24"/>
              </w:rPr>
              <w:t>清洗废水及施工人员</w:t>
            </w:r>
            <w:r>
              <w:rPr>
                <w:rFonts w:hint="default" w:ascii="Times New Roman" w:hAnsi="Times New Roman" w:eastAsia="宋体" w:cs="Times New Roman"/>
                <w:color w:val="auto"/>
                <w:sz w:val="24"/>
                <w:szCs w:val="24"/>
                <w:lang w:eastAsia="zh-CN"/>
              </w:rPr>
              <w:t>清洁污水，建议采取以下措施：</w:t>
            </w:r>
          </w:p>
          <w:p w14:paraId="6712825D">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施工人员</w:t>
            </w:r>
            <w:r>
              <w:rPr>
                <w:rFonts w:hint="default" w:ascii="Times New Roman" w:hAnsi="Times New Roman" w:eastAsia="宋体" w:cs="Times New Roman"/>
                <w:color w:val="auto"/>
                <w:sz w:val="24"/>
                <w:szCs w:val="24"/>
                <w:lang w:val="en-US" w:eastAsia="zh-CN"/>
              </w:rPr>
              <w:t>清洁</w:t>
            </w:r>
            <w:r>
              <w:rPr>
                <w:rFonts w:hint="default" w:ascii="Times New Roman" w:hAnsi="Times New Roman" w:eastAsia="宋体" w:cs="Times New Roman"/>
                <w:color w:val="auto"/>
                <w:sz w:val="24"/>
                <w:szCs w:val="24"/>
              </w:rPr>
              <w:t>污水</w:t>
            </w:r>
            <w:r>
              <w:rPr>
                <w:rFonts w:hint="default" w:ascii="Times New Roman" w:hAnsi="Times New Roman" w:eastAsia="宋体" w:cs="Times New Roman"/>
                <w:color w:val="auto"/>
                <w:sz w:val="24"/>
                <w:szCs w:val="24"/>
                <w:lang w:eastAsia="zh-CN"/>
              </w:rPr>
              <w:t>、设备清洗废水</w:t>
            </w:r>
            <w:r>
              <w:rPr>
                <w:rFonts w:hint="default" w:ascii="Times New Roman" w:hAnsi="Times New Roman" w:eastAsia="宋体" w:cs="Times New Roman"/>
                <w:color w:val="auto"/>
                <w:sz w:val="24"/>
                <w:szCs w:val="24"/>
              </w:rPr>
              <w:t>经</w:t>
            </w:r>
            <w:r>
              <w:rPr>
                <w:rFonts w:hint="default" w:ascii="Times New Roman" w:hAnsi="Times New Roman" w:eastAsia="宋体" w:cs="Times New Roman"/>
                <w:color w:val="auto"/>
                <w:sz w:val="24"/>
                <w:szCs w:val="24"/>
                <w:lang w:eastAsia="zh-CN"/>
              </w:rPr>
              <w:t>自建污水处理系统处理后进入园区污水管网，最终进入</w:t>
            </w:r>
            <w:r>
              <w:rPr>
                <w:rFonts w:hint="eastAsia" w:ascii="Times New Roman" w:hAnsi="Times New Roman" w:eastAsia="宋体" w:cs="Times New Roman"/>
                <w:color w:val="auto"/>
                <w:sz w:val="24"/>
                <w:szCs w:val="24"/>
                <w:lang w:eastAsia="zh-CN"/>
              </w:rPr>
              <w:t>富民工业园区哨箐机械加工园污水处理厂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Cs/>
                <w:color w:val="auto"/>
                <w:sz w:val="24"/>
                <w:szCs w:val="24"/>
              </w:rPr>
              <w:t>对周围</w:t>
            </w:r>
            <w:r>
              <w:rPr>
                <w:rFonts w:hint="default" w:ascii="Times New Roman" w:hAnsi="Times New Roman" w:eastAsia="宋体" w:cs="Times New Roman"/>
                <w:bCs/>
                <w:color w:val="auto"/>
                <w:sz w:val="24"/>
                <w:szCs w:val="24"/>
                <w:lang w:eastAsia="zh-CN"/>
              </w:rPr>
              <w:t>环境</w:t>
            </w:r>
            <w:r>
              <w:rPr>
                <w:rFonts w:hint="default" w:ascii="Times New Roman" w:hAnsi="Times New Roman" w:eastAsia="宋体" w:cs="Times New Roman"/>
                <w:bCs/>
                <w:color w:val="auto"/>
                <w:sz w:val="24"/>
                <w:szCs w:val="24"/>
              </w:rPr>
              <w:t>造成的</w:t>
            </w:r>
            <w:r>
              <w:rPr>
                <w:rFonts w:hint="default" w:ascii="Times New Roman" w:hAnsi="Times New Roman" w:eastAsia="宋体" w:cs="Times New Roman"/>
                <w:color w:val="auto"/>
                <w:sz w:val="24"/>
                <w:szCs w:val="24"/>
              </w:rPr>
              <w:t>影响</w:t>
            </w:r>
            <w:r>
              <w:rPr>
                <w:rFonts w:hint="default" w:ascii="Times New Roman" w:hAnsi="Times New Roman" w:eastAsia="宋体" w:cs="Times New Roman"/>
                <w:color w:val="auto"/>
                <w:sz w:val="24"/>
                <w:szCs w:val="24"/>
                <w:lang w:eastAsia="zh-CN"/>
              </w:rPr>
              <w:t>很</w:t>
            </w:r>
            <w:r>
              <w:rPr>
                <w:rFonts w:hint="default" w:ascii="Times New Roman" w:hAnsi="Times New Roman" w:eastAsia="宋体" w:cs="Times New Roman"/>
                <w:color w:val="auto"/>
                <w:sz w:val="24"/>
                <w:szCs w:val="24"/>
              </w:rPr>
              <w:t>小。</w:t>
            </w:r>
          </w:p>
          <w:p w14:paraId="6FCEA71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3、噪声</w:t>
            </w:r>
          </w:p>
          <w:p w14:paraId="5B8902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为减缓施工噪声的影响，本环评提出如下措施：</w:t>
            </w:r>
          </w:p>
          <w:p w14:paraId="1C7055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w:t>
            </w:r>
            <w:r>
              <w:rPr>
                <w:rFonts w:hint="default" w:ascii="Times New Roman" w:hAnsi="Times New Roman" w:eastAsia="宋体" w:cs="Times New Roman"/>
                <w:color w:val="auto"/>
                <w:kern w:val="0"/>
                <w:sz w:val="24"/>
                <w:szCs w:val="24"/>
                <w:highlight w:val="none"/>
              </w:rPr>
              <w:t>从声源上控制：</w:t>
            </w:r>
            <w:r>
              <w:rPr>
                <w:rFonts w:hint="default" w:ascii="Times New Roman" w:hAnsi="Times New Roman" w:eastAsia="宋体" w:cs="Times New Roman"/>
                <w:color w:val="auto"/>
                <w:sz w:val="24"/>
                <w:szCs w:val="24"/>
                <w:highlight w:val="none"/>
              </w:rPr>
              <w:t>选用噪声相对较低的</w:t>
            </w:r>
            <w:r>
              <w:rPr>
                <w:rFonts w:hint="default" w:ascii="Times New Roman" w:hAnsi="Times New Roman" w:eastAsia="宋体" w:cs="Times New Roman"/>
                <w:color w:val="auto"/>
                <w:sz w:val="24"/>
                <w:szCs w:val="24"/>
                <w:highlight w:val="none"/>
                <w:lang w:eastAsia="zh-CN"/>
              </w:rPr>
              <w:t>施工机械设备</w:t>
            </w:r>
            <w:r>
              <w:rPr>
                <w:rFonts w:hint="default" w:ascii="Times New Roman" w:hAnsi="Times New Roman" w:eastAsia="宋体" w:cs="Times New Roman"/>
                <w:color w:val="auto"/>
                <w:sz w:val="24"/>
                <w:szCs w:val="24"/>
                <w:highlight w:val="none"/>
              </w:rPr>
              <w:t>；</w:t>
            </w:r>
          </w:p>
          <w:p w14:paraId="31766A4F">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②严禁夜间施工，若必须进行夜间作业，需按要求提前向主管部门申请，并在将施工信息告知周边住户及单位。</w:t>
            </w:r>
          </w:p>
          <w:p w14:paraId="28C59919">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③施工场地内可固定设备应尽量设置在设备专用房或操作间内，避免露天作业。</w:t>
            </w:r>
          </w:p>
          <w:p w14:paraId="2A3D1D4E">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④车辆出入现场时应低速、禁鸣。</w:t>
            </w:r>
          </w:p>
          <w:p w14:paraId="3FF5851E">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eastAsia="zh-CN"/>
              </w:rPr>
              <w:t>⑤</w:t>
            </w:r>
            <w:r>
              <w:rPr>
                <w:rFonts w:hint="default" w:ascii="Times New Roman" w:hAnsi="Times New Roman" w:eastAsia="宋体" w:cs="Times New Roman"/>
                <w:color w:val="auto"/>
                <w:kern w:val="0"/>
                <w:sz w:val="24"/>
                <w:szCs w:val="24"/>
                <w:highlight w:val="none"/>
              </w:rPr>
              <w:t>建设管理部门应加强对施工场地的噪声管理，施工企业也应对施工噪声进行自律，合理安排工期，减短施工的施工时间；加强对施工人员的管理，做到文明施工，避免人为噪声的产生文明施工，避免因施工噪声产生纠纷。</w:t>
            </w:r>
          </w:p>
          <w:p w14:paraId="5F60B4C1">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Cs/>
                <w:color w:val="auto"/>
                <w:kern w:val="0"/>
                <w:sz w:val="24"/>
                <w:szCs w:val="24"/>
                <w:highlight w:val="none"/>
              </w:rPr>
              <w:t>本项目在采取了上述措施后，</w:t>
            </w:r>
            <w:r>
              <w:rPr>
                <w:rFonts w:hint="default" w:ascii="Times New Roman" w:hAnsi="Times New Roman" w:eastAsia="宋体" w:cs="Times New Roman"/>
                <w:bCs/>
                <w:color w:val="auto"/>
                <w:kern w:val="0"/>
                <w:sz w:val="24"/>
                <w:szCs w:val="24"/>
                <w:highlight w:val="none"/>
                <w:lang w:val="en-US" w:eastAsia="zh-CN"/>
              </w:rPr>
              <w:t>施工期噪声</w:t>
            </w:r>
            <w:r>
              <w:rPr>
                <w:rFonts w:hint="default" w:ascii="Times New Roman" w:hAnsi="Times New Roman" w:eastAsia="宋体" w:cs="Times New Roman"/>
                <w:color w:val="auto"/>
                <w:kern w:val="0"/>
                <w:sz w:val="24"/>
                <w:szCs w:val="24"/>
                <w:highlight w:val="none"/>
              </w:rPr>
              <w:t>对周围环境影响较小。</w:t>
            </w:r>
          </w:p>
          <w:p w14:paraId="68DE70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outlineLvl w:val="9"/>
              <w:rPr>
                <w:rFonts w:hint="default" w:ascii="Times New Roman" w:hAnsi="Times New Roman" w:eastAsia="宋体" w:cs="Times New Roman"/>
                <w:b/>
                <w:bCs w:val="0"/>
                <w:color w:val="auto"/>
                <w:sz w:val="24"/>
                <w:szCs w:val="24"/>
                <w:highlight w:val="none"/>
                <w:lang w:val="en-US" w:eastAsia="zh-CN" w:bidi="ar"/>
              </w:rPr>
            </w:pPr>
            <w:r>
              <w:rPr>
                <w:rFonts w:hint="default" w:ascii="Times New Roman" w:hAnsi="Times New Roman" w:eastAsia="宋体" w:cs="Times New Roman"/>
                <w:b/>
                <w:bCs w:val="0"/>
                <w:color w:val="auto"/>
                <w:sz w:val="24"/>
                <w:szCs w:val="24"/>
                <w:highlight w:val="none"/>
                <w:lang w:val="en-US" w:eastAsia="zh-CN" w:bidi="ar"/>
              </w:rPr>
              <w:t>4、固体废物</w:t>
            </w:r>
          </w:p>
          <w:p w14:paraId="1DECD455">
            <w:pPr>
              <w:keepNext w:val="0"/>
              <w:keepLines w:val="0"/>
              <w:pageBreakBefore w:val="0"/>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项目施工期</w:t>
            </w:r>
            <w:r>
              <w:rPr>
                <w:rFonts w:hint="default" w:ascii="Times New Roman" w:hAnsi="Times New Roman" w:eastAsia="宋体" w:cs="Times New Roman"/>
                <w:color w:val="auto"/>
                <w:sz w:val="24"/>
                <w:szCs w:val="24"/>
                <w:lang w:eastAsia="zh-CN"/>
              </w:rPr>
              <w:t>无需动土，施工期</w:t>
            </w:r>
            <w:r>
              <w:rPr>
                <w:rFonts w:hint="default" w:ascii="Times New Roman" w:hAnsi="Times New Roman" w:eastAsia="宋体" w:cs="Times New Roman"/>
                <w:color w:val="auto"/>
                <w:sz w:val="24"/>
                <w:szCs w:val="24"/>
              </w:rPr>
              <w:t>固体废弃物主要为</w:t>
            </w:r>
            <w:r>
              <w:rPr>
                <w:rFonts w:hint="default" w:ascii="Times New Roman" w:hAnsi="Times New Roman" w:eastAsia="宋体" w:cs="Times New Roman"/>
                <w:color w:val="auto"/>
                <w:sz w:val="24"/>
                <w:szCs w:val="24"/>
                <w:lang w:val="en-US" w:eastAsia="zh-CN"/>
              </w:rPr>
              <w:t>建筑垃圾</w:t>
            </w:r>
            <w:r>
              <w:rPr>
                <w:rFonts w:hint="default" w:ascii="Times New Roman" w:hAnsi="Times New Roman" w:eastAsia="宋体" w:cs="Times New Roman"/>
                <w:color w:val="auto"/>
                <w:sz w:val="24"/>
                <w:szCs w:val="24"/>
              </w:rPr>
              <w:t>和生活垃圾。</w:t>
            </w:r>
          </w:p>
          <w:p w14:paraId="01C09B04">
            <w:pPr>
              <w:keepNext w:val="0"/>
              <w:keepLines w:val="0"/>
              <w:pageBreakBefore w:val="0"/>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en-US" w:eastAsia="zh-CN"/>
              </w:rPr>
              <w:t>①将废包装材料和废弃施工材料进行简单分类，能够回收的回收利用，不能回收利用的运至政府部门指定地点妥善处置，禁止随意丢弃。</w:t>
            </w:r>
          </w:p>
          <w:p w14:paraId="74145147">
            <w:pPr>
              <w:keepNext w:val="0"/>
              <w:keepLines w:val="0"/>
              <w:pageBreakBefore w:val="0"/>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②施工人员每天产生的生活垃圾统一收集至公共垃圾房，由</w:t>
            </w:r>
            <w:r>
              <w:rPr>
                <w:rFonts w:hint="default" w:ascii="Times New Roman" w:hAnsi="Times New Roman" w:eastAsia="宋体" w:cs="Times New Roman"/>
                <w:color w:val="auto"/>
                <w:sz w:val="24"/>
                <w:szCs w:val="24"/>
                <w:lang w:val="en-US" w:eastAsia="zh-CN"/>
              </w:rPr>
              <w:t>当地</w:t>
            </w:r>
            <w:r>
              <w:rPr>
                <w:rFonts w:hint="default" w:ascii="Times New Roman" w:hAnsi="Times New Roman" w:eastAsia="宋体" w:cs="Times New Roman"/>
                <w:color w:val="auto"/>
                <w:sz w:val="24"/>
                <w:szCs w:val="24"/>
              </w:rPr>
              <w:t>环卫部门清运、处置。</w:t>
            </w:r>
          </w:p>
          <w:p w14:paraId="6A331F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highlight w:val="none"/>
                <w:lang w:eastAsia="zh-CN"/>
              </w:rPr>
              <w:t>综上分析，</w:t>
            </w:r>
            <w:r>
              <w:rPr>
                <w:rFonts w:hint="default" w:ascii="Times New Roman" w:hAnsi="Times New Roman" w:eastAsia="宋体" w:cs="Times New Roman"/>
                <w:color w:val="auto"/>
                <w:sz w:val="24"/>
                <w:szCs w:val="24"/>
                <w:highlight w:val="none"/>
              </w:rPr>
              <w:t>施工期固体废弃物产生量较少，处置方式合理、可行，去向明确，处置率达到100%，对周围环境影响不大</w:t>
            </w:r>
            <w:r>
              <w:rPr>
                <w:rFonts w:hint="default" w:ascii="Times New Roman" w:hAnsi="Times New Roman" w:eastAsia="宋体" w:cs="Times New Roman"/>
                <w:color w:val="auto"/>
                <w:spacing w:val="2"/>
                <w:sz w:val="24"/>
                <w:szCs w:val="24"/>
                <w:highlight w:val="none"/>
              </w:rPr>
              <w:t>。</w:t>
            </w:r>
          </w:p>
        </w:tc>
      </w:tr>
      <w:tr w14:paraId="15CA5A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1" w:type="dxa"/>
            <w:noWrap w:val="0"/>
            <w:tcMar>
              <w:left w:w="28" w:type="dxa"/>
              <w:right w:w="28" w:type="dxa"/>
            </w:tcMar>
            <w:vAlign w:val="center"/>
          </w:tcPr>
          <w:p w14:paraId="04F951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运营</w:t>
            </w:r>
          </w:p>
          <w:p w14:paraId="63B8DE3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期环</w:t>
            </w:r>
          </w:p>
          <w:p w14:paraId="6BCB7E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境影</w:t>
            </w:r>
          </w:p>
          <w:p w14:paraId="269E65B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响和</w:t>
            </w:r>
          </w:p>
          <w:p w14:paraId="19DDCA5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保护</w:t>
            </w:r>
          </w:p>
          <w:p w14:paraId="73DD9E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 w:val="24"/>
                <w:szCs w:val="24"/>
              </w:rPr>
              <w:t>措施</w:t>
            </w:r>
          </w:p>
        </w:tc>
        <w:tc>
          <w:tcPr>
            <w:tcW w:w="8650" w:type="dxa"/>
            <w:noWrap w:val="0"/>
            <w:vAlign w:val="center"/>
          </w:tcPr>
          <w:p w14:paraId="12D5E84C">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一、环境空气影响分析</w:t>
            </w:r>
          </w:p>
          <w:p w14:paraId="2E55715A">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（1）废气污染源分析</w:t>
            </w:r>
          </w:p>
          <w:p w14:paraId="509B96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1）有组织废气核算</w:t>
            </w:r>
          </w:p>
          <w:p w14:paraId="5EF26E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表4-1  有组织废气分析表</w:t>
            </w:r>
          </w:p>
          <w:tbl>
            <w:tblPr>
              <w:tblStyle w:val="28"/>
              <w:tblW w:w="849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81"/>
              <w:gridCol w:w="1186"/>
              <w:gridCol w:w="2332"/>
              <w:gridCol w:w="1532"/>
              <w:gridCol w:w="2163"/>
            </w:tblGrid>
            <w:tr w14:paraId="53570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 w:hRule="atLeast"/>
                <w:jc w:val="center"/>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3DC1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有组织废气排放情况</w:t>
                  </w:r>
                </w:p>
              </w:tc>
            </w:tr>
            <w:tr w14:paraId="51797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1452" w:type="pct"/>
                  <w:gridSpan w:val="2"/>
                  <w:tcBorders>
                    <w:top w:val="nil"/>
                    <w:left w:val="single" w:color="000000" w:sz="8" w:space="0"/>
                    <w:bottom w:val="single" w:color="000000" w:sz="8" w:space="0"/>
                    <w:right w:val="single" w:color="000000" w:sz="8" w:space="0"/>
                  </w:tcBorders>
                  <w:shd w:val="clear" w:color="auto" w:fill="auto"/>
                  <w:vAlign w:val="center"/>
                </w:tcPr>
                <w:p w14:paraId="502555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产污排污环节</w:t>
                  </w:r>
                </w:p>
              </w:tc>
              <w:tc>
                <w:tcPr>
                  <w:tcW w:w="1373" w:type="pct"/>
                  <w:tcBorders>
                    <w:top w:val="single" w:color="000000" w:sz="8" w:space="0"/>
                    <w:left w:val="nil"/>
                    <w:bottom w:val="single" w:color="000000" w:sz="8" w:space="0"/>
                    <w:right w:val="single" w:color="000000" w:sz="8" w:space="0"/>
                  </w:tcBorders>
                  <w:shd w:val="clear" w:color="auto" w:fill="auto"/>
                  <w:vAlign w:val="center"/>
                </w:tcPr>
                <w:p w14:paraId="47697D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腻子粉投料、配料、混料</w:t>
                  </w:r>
                </w:p>
              </w:tc>
              <w:tc>
                <w:tcPr>
                  <w:tcW w:w="902" w:type="pct"/>
                  <w:tcBorders>
                    <w:top w:val="single" w:color="000000" w:sz="8" w:space="0"/>
                    <w:left w:val="nil"/>
                    <w:bottom w:val="single" w:color="000000" w:sz="8" w:space="0"/>
                    <w:right w:val="single" w:color="000000" w:sz="8" w:space="0"/>
                  </w:tcBorders>
                  <w:shd w:val="clear" w:color="auto" w:fill="auto"/>
                  <w:vAlign w:val="center"/>
                </w:tcPr>
                <w:p w14:paraId="0EB38D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水性涂料生产投料</w:t>
                  </w:r>
                </w:p>
              </w:tc>
              <w:tc>
                <w:tcPr>
                  <w:tcW w:w="1270" w:type="pct"/>
                  <w:tcBorders>
                    <w:top w:val="single" w:color="000000" w:sz="8" w:space="0"/>
                    <w:left w:val="nil"/>
                    <w:bottom w:val="single" w:color="000000" w:sz="8" w:space="0"/>
                    <w:right w:val="single" w:color="000000" w:sz="8" w:space="0"/>
                  </w:tcBorders>
                  <w:shd w:val="clear" w:color="auto" w:fill="auto"/>
                  <w:vAlign w:val="center"/>
                </w:tcPr>
                <w:p w14:paraId="2FA306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包装环节有机废气挥发</w:t>
                  </w:r>
                </w:p>
              </w:tc>
            </w:tr>
            <w:tr w14:paraId="6AA34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452" w:type="pct"/>
                  <w:gridSpan w:val="2"/>
                  <w:tcBorders>
                    <w:top w:val="nil"/>
                    <w:left w:val="single" w:color="000000" w:sz="8" w:space="0"/>
                    <w:bottom w:val="single" w:color="000000" w:sz="8" w:space="0"/>
                    <w:right w:val="single" w:color="000000" w:sz="8" w:space="0"/>
                  </w:tcBorders>
                  <w:shd w:val="clear" w:color="auto" w:fill="auto"/>
                  <w:vAlign w:val="center"/>
                </w:tcPr>
                <w:p w14:paraId="56A164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污染物种类</w:t>
                  </w:r>
                </w:p>
              </w:tc>
              <w:tc>
                <w:tcPr>
                  <w:tcW w:w="1373" w:type="pct"/>
                  <w:tcBorders>
                    <w:top w:val="nil"/>
                    <w:left w:val="nil"/>
                    <w:bottom w:val="single" w:color="000000" w:sz="8" w:space="0"/>
                    <w:right w:val="single" w:color="000000" w:sz="8" w:space="0"/>
                  </w:tcBorders>
                  <w:shd w:val="clear" w:color="auto" w:fill="auto"/>
                  <w:vAlign w:val="center"/>
                </w:tcPr>
                <w:p w14:paraId="2815EA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颗粒物</w:t>
                  </w:r>
                </w:p>
              </w:tc>
              <w:tc>
                <w:tcPr>
                  <w:tcW w:w="902" w:type="pct"/>
                  <w:tcBorders>
                    <w:top w:val="nil"/>
                    <w:left w:val="nil"/>
                    <w:bottom w:val="single" w:color="000000" w:sz="8" w:space="0"/>
                    <w:right w:val="single" w:color="000000" w:sz="8" w:space="0"/>
                  </w:tcBorders>
                  <w:shd w:val="clear" w:color="auto" w:fill="auto"/>
                  <w:vAlign w:val="center"/>
                </w:tcPr>
                <w:p w14:paraId="7E9DD2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颗粒物</w:t>
                  </w:r>
                </w:p>
              </w:tc>
              <w:tc>
                <w:tcPr>
                  <w:tcW w:w="1270" w:type="pct"/>
                  <w:tcBorders>
                    <w:top w:val="nil"/>
                    <w:left w:val="nil"/>
                    <w:bottom w:val="single" w:color="000000" w:sz="8" w:space="0"/>
                    <w:right w:val="single" w:color="000000" w:sz="8" w:space="0"/>
                  </w:tcBorders>
                  <w:shd w:val="clear" w:color="auto" w:fill="auto"/>
                  <w:vAlign w:val="center"/>
                </w:tcPr>
                <w:p w14:paraId="070E0A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非甲烷总烃</w:t>
                  </w:r>
                </w:p>
              </w:tc>
            </w:tr>
            <w:tr w14:paraId="636C5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452" w:type="pct"/>
                  <w:gridSpan w:val="2"/>
                  <w:tcBorders>
                    <w:top w:val="nil"/>
                    <w:left w:val="single" w:color="000000" w:sz="8" w:space="0"/>
                    <w:bottom w:val="single" w:color="000000" w:sz="8" w:space="0"/>
                    <w:right w:val="single" w:color="000000" w:sz="8" w:space="0"/>
                  </w:tcBorders>
                  <w:shd w:val="clear" w:color="auto" w:fill="auto"/>
                  <w:vAlign w:val="center"/>
                </w:tcPr>
                <w:p w14:paraId="15809C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污染物产生量（</w:t>
                  </w:r>
                  <w:r>
                    <w:rPr>
                      <w:rFonts w:hint="default" w:ascii="Times New Roman" w:hAnsi="Times New Roman" w:eastAsia="宋体" w:cs="Times New Roman"/>
                      <w:b/>
                      <w:bCs/>
                      <w:i w:val="0"/>
                      <w:iCs w:val="0"/>
                      <w:color w:val="000000"/>
                      <w:kern w:val="0"/>
                      <w:sz w:val="21"/>
                      <w:szCs w:val="21"/>
                      <w:u w:val="none"/>
                      <w:lang w:val="en-US" w:eastAsia="zh-CN" w:bidi="ar"/>
                    </w:rPr>
                    <w:t>t/a</w:t>
                  </w:r>
                  <w:r>
                    <w:rPr>
                      <w:rFonts w:hint="eastAsia" w:ascii="宋体" w:hAnsi="宋体" w:eastAsia="宋体" w:cs="宋体"/>
                      <w:b/>
                      <w:bCs/>
                      <w:i w:val="0"/>
                      <w:iCs w:val="0"/>
                      <w:color w:val="000000"/>
                      <w:kern w:val="0"/>
                      <w:sz w:val="21"/>
                      <w:szCs w:val="21"/>
                      <w:u w:val="none"/>
                      <w:lang w:val="en-US" w:eastAsia="zh-CN" w:bidi="ar"/>
                    </w:rPr>
                    <w:t>）</w:t>
                  </w:r>
                </w:p>
              </w:tc>
              <w:tc>
                <w:tcPr>
                  <w:tcW w:w="1373" w:type="pct"/>
                  <w:tcBorders>
                    <w:top w:val="nil"/>
                    <w:left w:val="nil"/>
                    <w:bottom w:val="single" w:color="000000" w:sz="8" w:space="0"/>
                    <w:right w:val="single" w:color="000000" w:sz="8" w:space="0"/>
                  </w:tcBorders>
                  <w:shd w:val="clear" w:color="auto" w:fill="auto"/>
                  <w:vAlign w:val="center"/>
                </w:tcPr>
                <w:p w14:paraId="2E0B3A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460</w:t>
                  </w:r>
                </w:p>
              </w:tc>
              <w:tc>
                <w:tcPr>
                  <w:tcW w:w="902" w:type="pct"/>
                  <w:tcBorders>
                    <w:top w:val="nil"/>
                    <w:left w:val="nil"/>
                    <w:bottom w:val="single" w:color="000000" w:sz="8" w:space="0"/>
                    <w:right w:val="single" w:color="000000" w:sz="8" w:space="0"/>
                  </w:tcBorders>
                  <w:shd w:val="clear" w:color="auto" w:fill="auto"/>
                  <w:vAlign w:val="center"/>
                </w:tcPr>
                <w:p w14:paraId="42CA84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1.84</w:t>
                  </w:r>
                </w:p>
              </w:tc>
              <w:tc>
                <w:tcPr>
                  <w:tcW w:w="1270" w:type="pct"/>
                  <w:tcBorders>
                    <w:top w:val="nil"/>
                    <w:left w:val="nil"/>
                    <w:bottom w:val="single" w:color="000000" w:sz="8" w:space="0"/>
                    <w:right w:val="single" w:color="000000" w:sz="8" w:space="0"/>
                  </w:tcBorders>
                  <w:shd w:val="clear" w:color="auto" w:fill="auto"/>
                  <w:vAlign w:val="center"/>
                </w:tcPr>
                <w:p w14:paraId="4E8621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r>
            <w:tr w14:paraId="65CFF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452" w:type="pct"/>
                  <w:gridSpan w:val="2"/>
                  <w:tcBorders>
                    <w:top w:val="nil"/>
                    <w:left w:val="single" w:color="000000" w:sz="8" w:space="0"/>
                    <w:bottom w:val="single" w:color="000000" w:sz="8" w:space="0"/>
                    <w:right w:val="single" w:color="000000" w:sz="8" w:space="0"/>
                  </w:tcBorders>
                  <w:shd w:val="clear" w:color="auto" w:fill="auto"/>
                  <w:vAlign w:val="center"/>
                </w:tcPr>
                <w:p w14:paraId="5C6418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污染物产生浓度（</w:t>
                  </w:r>
                  <w:r>
                    <w:rPr>
                      <w:rFonts w:hint="default" w:ascii="Times New Roman" w:hAnsi="Times New Roman" w:eastAsia="宋体" w:cs="Times New Roman"/>
                      <w:b/>
                      <w:bCs/>
                      <w:i w:val="0"/>
                      <w:iCs w:val="0"/>
                      <w:color w:val="000000"/>
                      <w:kern w:val="0"/>
                      <w:sz w:val="21"/>
                      <w:szCs w:val="21"/>
                      <w:u w:val="none"/>
                      <w:lang w:val="en-US" w:eastAsia="zh-CN" w:bidi="ar"/>
                    </w:rPr>
                    <w:t>mg/m</w:t>
                  </w:r>
                  <w:r>
                    <w:rPr>
                      <w:rFonts w:hint="default" w:ascii="Times New Roman" w:hAnsi="Times New Roman" w:eastAsia="宋体" w:cs="Times New Roman"/>
                      <w:b/>
                      <w:bCs/>
                      <w:i w:val="0"/>
                      <w:iCs w:val="0"/>
                      <w:color w:val="000000"/>
                      <w:kern w:val="0"/>
                      <w:sz w:val="21"/>
                      <w:szCs w:val="21"/>
                      <w:u w:val="none"/>
                      <w:vertAlign w:val="superscript"/>
                      <w:lang w:val="en-US" w:eastAsia="zh-CN" w:bidi="ar"/>
                    </w:rPr>
                    <w:t>3</w:t>
                  </w:r>
                  <w:r>
                    <w:rPr>
                      <w:rFonts w:hint="eastAsia" w:ascii="宋体" w:hAnsi="宋体" w:eastAsia="宋体" w:cs="宋体"/>
                      <w:b/>
                      <w:bCs/>
                      <w:i w:val="0"/>
                      <w:iCs w:val="0"/>
                      <w:color w:val="000000"/>
                      <w:kern w:val="0"/>
                      <w:sz w:val="21"/>
                      <w:szCs w:val="21"/>
                      <w:u w:val="none"/>
                      <w:lang w:val="en-US" w:eastAsia="zh-CN" w:bidi="ar"/>
                    </w:rPr>
                    <w:t>）</w:t>
                  </w:r>
                </w:p>
              </w:tc>
              <w:tc>
                <w:tcPr>
                  <w:tcW w:w="1373" w:type="pct"/>
                  <w:tcBorders>
                    <w:top w:val="nil"/>
                    <w:left w:val="nil"/>
                    <w:bottom w:val="single" w:color="000000" w:sz="8" w:space="0"/>
                    <w:right w:val="single" w:color="000000" w:sz="8" w:space="0"/>
                  </w:tcBorders>
                  <w:shd w:val="clear" w:color="auto" w:fill="auto"/>
                  <w:vAlign w:val="center"/>
                </w:tcPr>
                <w:p w14:paraId="55809B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1996</w:t>
                  </w:r>
                </w:p>
              </w:tc>
              <w:tc>
                <w:tcPr>
                  <w:tcW w:w="902" w:type="pct"/>
                  <w:tcBorders>
                    <w:top w:val="nil"/>
                    <w:left w:val="nil"/>
                    <w:bottom w:val="single" w:color="000000" w:sz="8" w:space="0"/>
                    <w:right w:val="single" w:color="000000" w:sz="8" w:space="0"/>
                  </w:tcBorders>
                  <w:shd w:val="clear" w:color="auto" w:fill="auto"/>
                  <w:vAlign w:val="center"/>
                </w:tcPr>
                <w:p w14:paraId="47A614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132</w:t>
                  </w:r>
                </w:p>
              </w:tc>
              <w:tc>
                <w:tcPr>
                  <w:tcW w:w="1270" w:type="pct"/>
                  <w:tcBorders>
                    <w:top w:val="nil"/>
                    <w:left w:val="nil"/>
                    <w:bottom w:val="single" w:color="000000" w:sz="8" w:space="0"/>
                    <w:right w:val="single" w:color="000000" w:sz="8" w:space="0"/>
                  </w:tcBorders>
                  <w:shd w:val="clear" w:color="auto" w:fill="auto"/>
                  <w:vAlign w:val="center"/>
                </w:tcPr>
                <w:p w14:paraId="68AB29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42.5</w:t>
                  </w:r>
                </w:p>
              </w:tc>
            </w:tr>
            <w:tr w14:paraId="20752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452" w:type="pct"/>
                  <w:gridSpan w:val="2"/>
                  <w:tcBorders>
                    <w:top w:val="nil"/>
                    <w:left w:val="single" w:color="000000" w:sz="8" w:space="0"/>
                    <w:bottom w:val="single" w:color="000000" w:sz="8" w:space="0"/>
                    <w:right w:val="single" w:color="000000" w:sz="8" w:space="0"/>
                  </w:tcBorders>
                  <w:shd w:val="clear" w:color="auto" w:fill="auto"/>
                  <w:vAlign w:val="center"/>
                </w:tcPr>
                <w:p w14:paraId="36E5A6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排放形式</w:t>
                  </w:r>
                </w:p>
              </w:tc>
              <w:tc>
                <w:tcPr>
                  <w:tcW w:w="3547" w:type="pct"/>
                  <w:gridSpan w:val="3"/>
                  <w:tcBorders>
                    <w:top w:val="nil"/>
                    <w:left w:val="nil"/>
                    <w:bottom w:val="single" w:color="000000" w:sz="8" w:space="0"/>
                    <w:right w:val="single" w:color="000000" w:sz="8" w:space="0"/>
                  </w:tcBorders>
                  <w:shd w:val="clear" w:color="auto" w:fill="auto"/>
                  <w:vAlign w:val="center"/>
                </w:tcPr>
                <w:p w14:paraId="3AC391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有组织</w:t>
                  </w:r>
                </w:p>
              </w:tc>
            </w:tr>
            <w:tr w14:paraId="18A61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54" w:type="pct"/>
                  <w:vMerge w:val="restart"/>
                  <w:tcBorders>
                    <w:top w:val="nil"/>
                    <w:left w:val="single" w:color="000000" w:sz="8" w:space="0"/>
                    <w:bottom w:val="single" w:color="000000" w:sz="8" w:space="0"/>
                    <w:right w:val="single" w:color="000000" w:sz="8" w:space="0"/>
                  </w:tcBorders>
                  <w:shd w:val="clear" w:color="auto" w:fill="auto"/>
                  <w:vAlign w:val="center"/>
                </w:tcPr>
                <w:p w14:paraId="7F0DB4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治理设施</w:t>
                  </w:r>
                </w:p>
              </w:tc>
              <w:tc>
                <w:tcPr>
                  <w:tcW w:w="698" w:type="pct"/>
                  <w:tcBorders>
                    <w:top w:val="nil"/>
                    <w:left w:val="nil"/>
                    <w:bottom w:val="single" w:color="000000" w:sz="8" w:space="0"/>
                    <w:right w:val="single" w:color="000000" w:sz="8" w:space="0"/>
                  </w:tcBorders>
                  <w:shd w:val="clear" w:color="auto" w:fill="auto"/>
                  <w:vAlign w:val="center"/>
                </w:tcPr>
                <w:p w14:paraId="1FEC5C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处理能力</w:t>
                  </w:r>
                </w:p>
              </w:tc>
              <w:tc>
                <w:tcPr>
                  <w:tcW w:w="1373" w:type="pct"/>
                  <w:tcBorders>
                    <w:top w:val="single" w:color="000000" w:sz="8" w:space="0"/>
                    <w:left w:val="nil"/>
                    <w:bottom w:val="single" w:color="000000" w:sz="8" w:space="0"/>
                    <w:right w:val="single" w:color="000000" w:sz="8" w:space="0"/>
                  </w:tcBorders>
                  <w:shd w:val="clear" w:color="auto" w:fill="auto"/>
                  <w:vAlign w:val="center"/>
                </w:tcPr>
                <w:p w14:paraId="3E5DF7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48000m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/h</w:t>
                  </w:r>
                </w:p>
              </w:tc>
              <w:tc>
                <w:tcPr>
                  <w:tcW w:w="902" w:type="pct"/>
                  <w:tcBorders>
                    <w:top w:val="single" w:color="000000" w:sz="8" w:space="0"/>
                    <w:left w:val="nil"/>
                    <w:bottom w:val="single" w:color="000000" w:sz="8" w:space="0"/>
                    <w:right w:val="single" w:color="000000" w:sz="8" w:space="0"/>
                  </w:tcBorders>
                  <w:shd w:val="clear" w:color="auto" w:fill="auto"/>
                  <w:vAlign w:val="center"/>
                </w:tcPr>
                <w:p w14:paraId="328BFA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6000m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/h</w:t>
                  </w:r>
                </w:p>
              </w:tc>
              <w:tc>
                <w:tcPr>
                  <w:tcW w:w="1270" w:type="pct"/>
                  <w:tcBorders>
                    <w:top w:val="single" w:color="000000" w:sz="8" w:space="0"/>
                    <w:left w:val="nil"/>
                    <w:bottom w:val="single" w:color="000000" w:sz="8" w:space="0"/>
                    <w:right w:val="single" w:color="000000" w:sz="8" w:space="0"/>
                  </w:tcBorders>
                  <w:shd w:val="clear" w:color="auto" w:fill="auto"/>
                  <w:vAlign w:val="center"/>
                </w:tcPr>
                <w:p w14:paraId="70C942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6000m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/h</w:t>
                  </w:r>
                </w:p>
              </w:tc>
            </w:tr>
            <w:tr w14:paraId="11C4B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754" w:type="pct"/>
                  <w:vMerge w:val="continue"/>
                  <w:tcBorders>
                    <w:top w:val="nil"/>
                    <w:left w:val="single" w:color="000000" w:sz="8" w:space="0"/>
                    <w:bottom w:val="single" w:color="000000" w:sz="8" w:space="0"/>
                    <w:right w:val="single" w:color="000000" w:sz="8" w:space="0"/>
                  </w:tcBorders>
                  <w:shd w:val="clear" w:color="auto" w:fill="auto"/>
                  <w:vAlign w:val="center"/>
                </w:tcPr>
                <w:p w14:paraId="602D20F3">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p>
              </w:tc>
              <w:tc>
                <w:tcPr>
                  <w:tcW w:w="698" w:type="pct"/>
                  <w:tcBorders>
                    <w:top w:val="nil"/>
                    <w:left w:val="nil"/>
                    <w:bottom w:val="single" w:color="000000" w:sz="8" w:space="0"/>
                    <w:right w:val="single" w:color="000000" w:sz="8" w:space="0"/>
                  </w:tcBorders>
                  <w:shd w:val="clear" w:color="auto" w:fill="auto"/>
                  <w:vAlign w:val="center"/>
                </w:tcPr>
                <w:p w14:paraId="2143E8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收集效率</w:t>
                  </w:r>
                </w:p>
              </w:tc>
              <w:tc>
                <w:tcPr>
                  <w:tcW w:w="1373" w:type="pct"/>
                  <w:tcBorders>
                    <w:top w:val="nil"/>
                    <w:left w:val="nil"/>
                    <w:bottom w:val="single" w:color="000000" w:sz="8" w:space="0"/>
                    <w:right w:val="single" w:color="000000" w:sz="8" w:space="0"/>
                  </w:tcBorders>
                  <w:shd w:val="clear" w:color="auto" w:fill="auto"/>
                  <w:vAlign w:val="center"/>
                </w:tcPr>
                <w:p w14:paraId="798137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902" w:type="pct"/>
                  <w:tcBorders>
                    <w:top w:val="nil"/>
                    <w:left w:val="nil"/>
                    <w:bottom w:val="single" w:color="000000" w:sz="8" w:space="0"/>
                    <w:right w:val="single" w:color="000000" w:sz="8" w:space="0"/>
                  </w:tcBorders>
                  <w:shd w:val="clear" w:color="auto" w:fill="auto"/>
                  <w:vAlign w:val="center"/>
                </w:tcPr>
                <w:p w14:paraId="0E511A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270" w:type="pct"/>
                  <w:tcBorders>
                    <w:top w:val="nil"/>
                    <w:left w:val="nil"/>
                    <w:bottom w:val="single" w:color="000000" w:sz="8" w:space="0"/>
                    <w:right w:val="single" w:color="000000" w:sz="8" w:space="0"/>
                  </w:tcBorders>
                  <w:shd w:val="clear" w:color="auto" w:fill="auto"/>
                  <w:vAlign w:val="center"/>
                </w:tcPr>
                <w:p w14:paraId="6A5BFA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r>
            <w:tr w14:paraId="4042D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54" w:type="pct"/>
                  <w:vMerge w:val="continue"/>
                  <w:tcBorders>
                    <w:top w:val="nil"/>
                    <w:left w:val="single" w:color="000000" w:sz="8" w:space="0"/>
                    <w:bottom w:val="single" w:color="000000" w:sz="8" w:space="0"/>
                    <w:right w:val="single" w:color="000000" w:sz="8" w:space="0"/>
                  </w:tcBorders>
                  <w:shd w:val="clear" w:color="auto" w:fill="auto"/>
                  <w:vAlign w:val="center"/>
                </w:tcPr>
                <w:p w14:paraId="3AC3159E">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p>
              </w:tc>
              <w:tc>
                <w:tcPr>
                  <w:tcW w:w="698" w:type="pct"/>
                  <w:tcBorders>
                    <w:top w:val="nil"/>
                    <w:left w:val="nil"/>
                    <w:bottom w:val="single" w:color="000000" w:sz="8" w:space="0"/>
                    <w:right w:val="single" w:color="000000" w:sz="8" w:space="0"/>
                  </w:tcBorders>
                  <w:shd w:val="clear" w:color="auto" w:fill="auto"/>
                  <w:vAlign w:val="center"/>
                </w:tcPr>
                <w:p w14:paraId="3E13AC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治理工艺</w:t>
                  </w:r>
                </w:p>
              </w:tc>
              <w:tc>
                <w:tcPr>
                  <w:tcW w:w="1373" w:type="pct"/>
                  <w:tcBorders>
                    <w:top w:val="nil"/>
                    <w:left w:val="nil"/>
                    <w:bottom w:val="single" w:color="000000" w:sz="8" w:space="0"/>
                    <w:right w:val="single" w:color="000000" w:sz="8" w:space="0"/>
                  </w:tcBorders>
                  <w:shd w:val="clear" w:color="auto" w:fill="auto"/>
                  <w:vAlign w:val="center"/>
                </w:tcPr>
                <w:p w14:paraId="614F77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集中式滤筒除尘器</w:t>
                  </w:r>
                </w:p>
              </w:tc>
              <w:tc>
                <w:tcPr>
                  <w:tcW w:w="902" w:type="pct"/>
                  <w:tcBorders>
                    <w:top w:val="nil"/>
                    <w:left w:val="nil"/>
                    <w:bottom w:val="single" w:color="000000" w:sz="8" w:space="0"/>
                    <w:right w:val="single" w:color="000000" w:sz="8" w:space="0"/>
                  </w:tcBorders>
                  <w:shd w:val="clear" w:color="auto" w:fill="auto"/>
                  <w:vAlign w:val="center"/>
                </w:tcPr>
                <w:p w14:paraId="347ED8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脉冲布袋除尘器</w:t>
                  </w:r>
                </w:p>
              </w:tc>
              <w:tc>
                <w:tcPr>
                  <w:tcW w:w="1270" w:type="pct"/>
                  <w:tcBorders>
                    <w:top w:val="nil"/>
                    <w:left w:val="nil"/>
                    <w:bottom w:val="single" w:color="000000" w:sz="8" w:space="0"/>
                    <w:right w:val="single" w:color="000000" w:sz="8" w:space="0"/>
                  </w:tcBorders>
                  <w:shd w:val="clear" w:color="auto" w:fill="auto"/>
                  <w:vAlign w:val="center"/>
                </w:tcPr>
                <w:p w14:paraId="3AB5CC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UV</w:t>
                  </w:r>
                  <w:r>
                    <w:rPr>
                      <w:rFonts w:hint="eastAsia" w:ascii="宋体" w:hAnsi="宋体" w:eastAsia="宋体" w:cs="宋体"/>
                      <w:i w:val="0"/>
                      <w:iCs w:val="0"/>
                      <w:color w:val="000000"/>
                      <w:kern w:val="0"/>
                      <w:sz w:val="21"/>
                      <w:szCs w:val="21"/>
                      <w:u w:val="none"/>
                      <w:lang w:val="en-US" w:eastAsia="zh-CN" w:bidi="ar"/>
                    </w:rPr>
                    <w:t>光氧</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活性炭吸附</w:t>
                  </w:r>
                </w:p>
              </w:tc>
            </w:tr>
            <w:tr w14:paraId="097C3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754" w:type="pct"/>
                  <w:vMerge w:val="continue"/>
                  <w:tcBorders>
                    <w:top w:val="nil"/>
                    <w:left w:val="single" w:color="000000" w:sz="8" w:space="0"/>
                    <w:bottom w:val="single" w:color="000000" w:sz="8" w:space="0"/>
                    <w:right w:val="single" w:color="000000" w:sz="8" w:space="0"/>
                  </w:tcBorders>
                  <w:shd w:val="clear" w:color="auto" w:fill="auto"/>
                  <w:vAlign w:val="center"/>
                </w:tcPr>
                <w:p w14:paraId="7139C6E7">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p>
              </w:tc>
              <w:tc>
                <w:tcPr>
                  <w:tcW w:w="698" w:type="pct"/>
                  <w:tcBorders>
                    <w:top w:val="nil"/>
                    <w:left w:val="nil"/>
                    <w:bottom w:val="single" w:color="000000" w:sz="8" w:space="0"/>
                    <w:right w:val="single" w:color="000000" w:sz="8" w:space="0"/>
                  </w:tcBorders>
                  <w:shd w:val="clear" w:color="auto" w:fill="auto"/>
                  <w:vAlign w:val="center"/>
                </w:tcPr>
                <w:p w14:paraId="2541C6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治理工艺去除率</w:t>
                  </w:r>
                </w:p>
              </w:tc>
              <w:tc>
                <w:tcPr>
                  <w:tcW w:w="1373" w:type="pct"/>
                  <w:tcBorders>
                    <w:top w:val="nil"/>
                    <w:left w:val="nil"/>
                    <w:bottom w:val="single" w:color="000000" w:sz="8" w:space="0"/>
                    <w:right w:val="single" w:color="000000" w:sz="8" w:space="0"/>
                  </w:tcBorders>
                  <w:shd w:val="clear" w:color="auto" w:fill="auto"/>
                  <w:vAlign w:val="center"/>
                </w:tcPr>
                <w:p w14:paraId="5E6BE6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902" w:type="pct"/>
                  <w:tcBorders>
                    <w:top w:val="nil"/>
                    <w:left w:val="nil"/>
                    <w:bottom w:val="single" w:color="000000" w:sz="8" w:space="0"/>
                    <w:right w:val="single" w:color="000000" w:sz="8" w:space="0"/>
                  </w:tcBorders>
                  <w:shd w:val="clear" w:color="auto" w:fill="auto"/>
                  <w:vAlign w:val="center"/>
                </w:tcPr>
                <w:p w14:paraId="0AF6E5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1270" w:type="pct"/>
                  <w:tcBorders>
                    <w:top w:val="nil"/>
                    <w:left w:val="nil"/>
                    <w:bottom w:val="single" w:color="000000" w:sz="8" w:space="0"/>
                    <w:right w:val="single" w:color="000000" w:sz="8" w:space="0"/>
                  </w:tcBorders>
                  <w:shd w:val="clear" w:color="auto" w:fill="auto"/>
                  <w:vAlign w:val="center"/>
                </w:tcPr>
                <w:p w14:paraId="014DED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r>
            <w:tr w14:paraId="0C4A3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754" w:type="pct"/>
                  <w:vMerge w:val="continue"/>
                  <w:tcBorders>
                    <w:top w:val="nil"/>
                    <w:left w:val="single" w:color="000000" w:sz="8" w:space="0"/>
                    <w:bottom w:val="single" w:color="000000" w:sz="8" w:space="0"/>
                    <w:right w:val="single" w:color="000000" w:sz="8" w:space="0"/>
                  </w:tcBorders>
                  <w:shd w:val="clear" w:color="auto" w:fill="auto"/>
                  <w:vAlign w:val="center"/>
                </w:tcPr>
                <w:p w14:paraId="78E5A636">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p>
              </w:tc>
              <w:tc>
                <w:tcPr>
                  <w:tcW w:w="698" w:type="pct"/>
                  <w:tcBorders>
                    <w:top w:val="nil"/>
                    <w:left w:val="nil"/>
                    <w:bottom w:val="single" w:color="000000" w:sz="8" w:space="0"/>
                    <w:right w:val="single" w:color="000000" w:sz="8" w:space="0"/>
                  </w:tcBorders>
                  <w:shd w:val="clear" w:color="auto" w:fill="auto"/>
                  <w:vAlign w:val="center"/>
                </w:tcPr>
                <w:p w14:paraId="5C15C8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是否为可行技术</w:t>
                  </w:r>
                </w:p>
              </w:tc>
              <w:tc>
                <w:tcPr>
                  <w:tcW w:w="1373" w:type="pct"/>
                  <w:tcBorders>
                    <w:top w:val="nil"/>
                    <w:left w:val="nil"/>
                    <w:bottom w:val="single" w:color="000000" w:sz="8" w:space="0"/>
                    <w:right w:val="single" w:color="000000" w:sz="8" w:space="0"/>
                  </w:tcBorders>
                  <w:shd w:val="clear" w:color="auto" w:fill="auto"/>
                  <w:vAlign w:val="center"/>
                </w:tcPr>
                <w:p w14:paraId="636F78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902" w:type="pct"/>
                  <w:tcBorders>
                    <w:top w:val="nil"/>
                    <w:left w:val="nil"/>
                    <w:bottom w:val="single" w:color="000000" w:sz="8" w:space="0"/>
                    <w:right w:val="single" w:color="000000" w:sz="8" w:space="0"/>
                  </w:tcBorders>
                  <w:shd w:val="clear" w:color="auto" w:fill="auto"/>
                  <w:vAlign w:val="center"/>
                </w:tcPr>
                <w:p w14:paraId="153DBA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1270" w:type="pct"/>
                  <w:tcBorders>
                    <w:top w:val="nil"/>
                    <w:left w:val="nil"/>
                    <w:bottom w:val="single" w:color="000000" w:sz="8" w:space="0"/>
                    <w:right w:val="single" w:color="000000" w:sz="8" w:space="0"/>
                  </w:tcBorders>
                  <w:shd w:val="clear" w:color="auto" w:fill="auto"/>
                  <w:vAlign w:val="center"/>
                </w:tcPr>
                <w:p w14:paraId="78F1EE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r>
            <w:tr w14:paraId="78FE0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452" w:type="pct"/>
                  <w:gridSpan w:val="2"/>
                  <w:tcBorders>
                    <w:top w:val="nil"/>
                    <w:left w:val="single" w:color="000000" w:sz="8" w:space="0"/>
                    <w:bottom w:val="single" w:color="000000" w:sz="8" w:space="0"/>
                    <w:right w:val="single" w:color="000000" w:sz="8" w:space="0"/>
                  </w:tcBorders>
                  <w:shd w:val="clear" w:color="auto" w:fill="auto"/>
                  <w:vAlign w:val="center"/>
                </w:tcPr>
                <w:p w14:paraId="72E52F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污染物排放浓度（</w:t>
                  </w:r>
                  <w:r>
                    <w:rPr>
                      <w:rFonts w:hint="default" w:ascii="Times New Roman" w:hAnsi="Times New Roman" w:eastAsia="宋体" w:cs="Times New Roman"/>
                      <w:b/>
                      <w:bCs/>
                      <w:i w:val="0"/>
                      <w:iCs w:val="0"/>
                      <w:color w:val="000000"/>
                      <w:kern w:val="0"/>
                      <w:sz w:val="21"/>
                      <w:szCs w:val="21"/>
                      <w:u w:val="none"/>
                      <w:lang w:val="en-US" w:eastAsia="zh-CN" w:bidi="ar"/>
                    </w:rPr>
                    <w:t>mg/m</w:t>
                  </w:r>
                  <w:r>
                    <w:rPr>
                      <w:rFonts w:hint="default" w:ascii="Times New Roman" w:hAnsi="Times New Roman" w:eastAsia="宋体" w:cs="Times New Roman"/>
                      <w:b/>
                      <w:bCs/>
                      <w:i w:val="0"/>
                      <w:iCs w:val="0"/>
                      <w:color w:val="000000"/>
                      <w:kern w:val="0"/>
                      <w:sz w:val="21"/>
                      <w:szCs w:val="21"/>
                      <w:u w:val="none"/>
                      <w:vertAlign w:val="superscript"/>
                      <w:lang w:val="en-US" w:eastAsia="zh-CN" w:bidi="ar"/>
                    </w:rPr>
                    <w:t>3</w:t>
                  </w:r>
                  <w:r>
                    <w:rPr>
                      <w:rFonts w:hint="eastAsia" w:ascii="宋体" w:hAnsi="宋体" w:eastAsia="宋体" w:cs="宋体"/>
                      <w:b/>
                      <w:bCs/>
                      <w:i w:val="0"/>
                      <w:iCs w:val="0"/>
                      <w:color w:val="000000"/>
                      <w:kern w:val="0"/>
                      <w:sz w:val="21"/>
                      <w:szCs w:val="21"/>
                      <w:u w:val="none"/>
                      <w:lang w:val="en-US" w:eastAsia="zh-CN" w:bidi="ar"/>
                    </w:rPr>
                    <w:t>）</w:t>
                  </w:r>
                </w:p>
              </w:tc>
              <w:tc>
                <w:tcPr>
                  <w:tcW w:w="1373" w:type="pct"/>
                  <w:tcBorders>
                    <w:top w:val="nil"/>
                    <w:left w:val="nil"/>
                    <w:bottom w:val="single" w:color="000000" w:sz="8" w:space="0"/>
                    <w:right w:val="single" w:color="000000" w:sz="8" w:space="0"/>
                  </w:tcBorders>
                  <w:shd w:val="clear" w:color="auto" w:fill="auto"/>
                  <w:vAlign w:val="center"/>
                </w:tcPr>
                <w:p w14:paraId="07CB0C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902" w:type="pct"/>
                  <w:tcBorders>
                    <w:top w:val="nil"/>
                    <w:left w:val="nil"/>
                    <w:bottom w:val="single" w:color="000000" w:sz="8" w:space="0"/>
                    <w:right w:val="single" w:color="000000" w:sz="8" w:space="0"/>
                  </w:tcBorders>
                  <w:shd w:val="clear" w:color="auto" w:fill="auto"/>
                  <w:vAlign w:val="center"/>
                </w:tcPr>
                <w:p w14:paraId="0796F2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1.32</w:t>
                  </w:r>
                </w:p>
              </w:tc>
              <w:tc>
                <w:tcPr>
                  <w:tcW w:w="1270" w:type="pct"/>
                  <w:tcBorders>
                    <w:top w:val="nil"/>
                    <w:left w:val="nil"/>
                    <w:bottom w:val="single" w:color="000000" w:sz="8" w:space="0"/>
                    <w:right w:val="single" w:color="000000" w:sz="8" w:space="0"/>
                  </w:tcBorders>
                  <w:shd w:val="clear" w:color="auto" w:fill="auto"/>
                  <w:vAlign w:val="center"/>
                </w:tcPr>
                <w:p w14:paraId="366A94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r>
            <w:tr w14:paraId="14811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452" w:type="pct"/>
                  <w:gridSpan w:val="2"/>
                  <w:tcBorders>
                    <w:top w:val="nil"/>
                    <w:left w:val="single" w:color="000000" w:sz="8" w:space="0"/>
                    <w:bottom w:val="single" w:color="000000" w:sz="8" w:space="0"/>
                    <w:right w:val="single" w:color="000000" w:sz="8" w:space="0"/>
                  </w:tcBorders>
                  <w:shd w:val="clear" w:color="auto" w:fill="auto"/>
                  <w:vAlign w:val="center"/>
                </w:tcPr>
                <w:p w14:paraId="28B84B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污染物排放速率（</w:t>
                  </w:r>
                  <w:r>
                    <w:rPr>
                      <w:rFonts w:hint="default" w:ascii="Times New Roman" w:hAnsi="Times New Roman" w:eastAsia="宋体" w:cs="Times New Roman"/>
                      <w:b/>
                      <w:bCs/>
                      <w:i w:val="0"/>
                      <w:iCs w:val="0"/>
                      <w:color w:val="000000"/>
                      <w:kern w:val="0"/>
                      <w:sz w:val="21"/>
                      <w:szCs w:val="21"/>
                      <w:u w:val="none"/>
                      <w:lang w:val="en-US" w:eastAsia="zh-CN" w:bidi="ar"/>
                    </w:rPr>
                    <w:t>kg/h</w:t>
                  </w:r>
                  <w:r>
                    <w:rPr>
                      <w:rFonts w:hint="eastAsia" w:ascii="宋体" w:hAnsi="宋体" w:eastAsia="宋体" w:cs="宋体"/>
                      <w:b/>
                      <w:bCs/>
                      <w:i w:val="0"/>
                      <w:iCs w:val="0"/>
                      <w:color w:val="000000"/>
                      <w:kern w:val="0"/>
                      <w:sz w:val="21"/>
                      <w:szCs w:val="21"/>
                      <w:u w:val="none"/>
                      <w:lang w:val="en-US" w:eastAsia="zh-CN" w:bidi="ar"/>
                    </w:rPr>
                    <w:t>）</w:t>
                  </w:r>
                </w:p>
              </w:tc>
              <w:tc>
                <w:tcPr>
                  <w:tcW w:w="1373" w:type="pct"/>
                  <w:tcBorders>
                    <w:top w:val="nil"/>
                    <w:left w:val="nil"/>
                    <w:bottom w:val="single" w:color="000000" w:sz="8" w:space="0"/>
                    <w:right w:val="single" w:color="000000" w:sz="8" w:space="0"/>
                  </w:tcBorders>
                  <w:shd w:val="clear" w:color="auto" w:fill="auto"/>
                  <w:vAlign w:val="center"/>
                </w:tcPr>
                <w:p w14:paraId="79A353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0.96</w:t>
                  </w:r>
                </w:p>
              </w:tc>
              <w:tc>
                <w:tcPr>
                  <w:tcW w:w="902" w:type="pct"/>
                  <w:tcBorders>
                    <w:top w:val="nil"/>
                    <w:left w:val="nil"/>
                    <w:bottom w:val="single" w:color="000000" w:sz="8" w:space="0"/>
                    <w:right w:val="single" w:color="000000" w:sz="8" w:space="0"/>
                  </w:tcBorders>
                  <w:shd w:val="clear" w:color="auto" w:fill="auto"/>
                  <w:vAlign w:val="center"/>
                </w:tcPr>
                <w:p w14:paraId="73EA72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0.008</w:t>
                  </w:r>
                </w:p>
              </w:tc>
              <w:tc>
                <w:tcPr>
                  <w:tcW w:w="1270" w:type="pct"/>
                  <w:tcBorders>
                    <w:top w:val="nil"/>
                    <w:left w:val="nil"/>
                    <w:bottom w:val="single" w:color="000000" w:sz="8" w:space="0"/>
                    <w:right w:val="single" w:color="000000" w:sz="8" w:space="0"/>
                  </w:tcBorders>
                  <w:shd w:val="clear" w:color="auto" w:fill="auto"/>
                  <w:vAlign w:val="center"/>
                </w:tcPr>
                <w:p w14:paraId="69B070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0.077</w:t>
                  </w:r>
                </w:p>
              </w:tc>
            </w:tr>
            <w:tr w14:paraId="350C0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452" w:type="pct"/>
                  <w:gridSpan w:val="2"/>
                  <w:tcBorders>
                    <w:top w:val="nil"/>
                    <w:left w:val="single" w:color="000000" w:sz="8" w:space="0"/>
                    <w:bottom w:val="single" w:color="000000" w:sz="8" w:space="0"/>
                    <w:right w:val="single" w:color="000000" w:sz="8" w:space="0"/>
                  </w:tcBorders>
                  <w:shd w:val="clear" w:color="auto" w:fill="auto"/>
                  <w:vAlign w:val="center"/>
                </w:tcPr>
                <w:p w14:paraId="039DCA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污染物排放量（</w:t>
                  </w:r>
                  <w:r>
                    <w:rPr>
                      <w:rFonts w:hint="default" w:ascii="Times New Roman" w:hAnsi="Times New Roman" w:eastAsia="宋体" w:cs="Times New Roman"/>
                      <w:b/>
                      <w:bCs/>
                      <w:i w:val="0"/>
                      <w:iCs w:val="0"/>
                      <w:color w:val="000000"/>
                      <w:kern w:val="0"/>
                      <w:sz w:val="21"/>
                      <w:szCs w:val="21"/>
                      <w:u w:val="none"/>
                      <w:lang w:val="en-US" w:eastAsia="zh-CN" w:bidi="ar"/>
                    </w:rPr>
                    <w:t>t/a</w:t>
                  </w:r>
                  <w:r>
                    <w:rPr>
                      <w:rFonts w:hint="eastAsia" w:ascii="宋体" w:hAnsi="宋体" w:eastAsia="宋体" w:cs="宋体"/>
                      <w:b/>
                      <w:bCs/>
                      <w:i w:val="0"/>
                      <w:iCs w:val="0"/>
                      <w:color w:val="000000"/>
                      <w:kern w:val="0"/>
                      <w:sz w:val="21"/>
                      <w:szCs w:val="21"/>
                      <w:u w:val="none"/>
                      <w:lang w:val="en-US" w:eastAsia="zh-CN" w:bidi="ar"/>
                    </w:rPr>
                    <w:t>）</w:t>
                  </w:r>
                </w:p>
              </w:tc>
              <w:tc>
                <w:tcPr>
                  <w:tcW w:w="1373" w:type="pct"/>
                  <w:tcBorders>
                    <w:top w:val="nil"/>
                    <w:left w:val="nil"/>
                    <w:bottom w:val="single" w:color="000000" w:sz="8" w:space="0"/>
                    <w:right w:val="single" w:color="000000" w:sz="8" w:space="0"/>
                  </w:tcBorders>
                  <w:shd w:val="clear" w:color="auto" w:fill="auto"/>
                  <w:vAlign w:val="center"/>
                </w:tcPr>
                <w:p w14:paraId="1354DE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902" w:type="pct"/>
                  <w:tcBorders>
                    <w:top w:val="nil"/>
                    <w:left w:val="nil"/>
                    <w:bottom w:val="nil"/>
                    <w:right w:val="single" w:color="000000" w:sz="8" w:space="0"/>
                  </w:tcBorders>
                  <w:shd w:val="clear" w:color="auto" w:fill="auto"/>
                  <w:vAlign w:val="center"/>
                </w:tcPr>
                <w:p w14:paraId="3843C5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0.018</w:t>
                  </w:r>
                </w:p>
              </w:tc>
              <w:tc>
                <w:tcPr>
                  <w:tcW w:w="1270" w:type="pct"/>
                  <w:tcBorders>
                    <w:top w:val="nil"/>
                    <w:left w:val="nil"/>
                    <w:bottom w:val="nil"/>
                    <w:right w:val="single" w:color="000000" w:sz="8" w:space="0"/>
                  </w:tcBorders>
                  <w:shd w:val="clear" w:color="auto" w:fill="auto"/>
                  <w:vAlign w:val="center"/>
                </w:tcPr>
                <w:p w14:paraId="3FDB6A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0.069</w:t>
                  </w:r>
                </w:p>
              </w:tc>
            </w:tr>
            <w:tr w14:paraId="38F05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754" w:type="pct"/>
                  <w:vMerge w:val="restart"/>
                  <w:tcBorders>
                    <w:top w:val="nil"/>
                    <w:left w:val="single" w:color="000000" w:sz="8" w:space="0"/>
                    <w:bottom w:val="single" w:color="000000" w:sz="8" w:space="0"/>
                    <w:right w:val="single" w:color="000000" w:sz="8" w:space="0"/>
                  </w:tcBorders>
                  <w:shd w:val="clear" w:color="auto" w:fill="auto"/>
                  <w:vAlign w:val="center"/>
                </w:tcPr>
                <w:p w14:paraId="4AF226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排放口基本情况</w:t>
                  </w:r>
                </w:p>
              </w:tc>
              <w:tc>
                <w:tcPr>
                  <w:tcW w:w="698" w:type="pct"/>
                  <w:tcBorders>
                    <w:top w:val="nil"/>
                    <w:left w:val="nil"/>
                    <w:bottom w:val="single" w:color="000000" w:sz="8" w:space="0"/>
                    <w:right w:val="single" w:color="000000" w:sz="8" w:space="0"/>
                  </w:tcBorders>
                  <w:shd w:val="clear" w:color="auto" w:fill="auto"/>
                  <w:vAlign w:val="center"/>
                </w:tcPr>
                <w:p w14:paraId="26A081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排气筒高度</w:t>
                  </w:r>
                </w:p>
              </w:tc>
              <w:tc>
                <w:tcPr>
                  <w:tcW w:w="1373" w:type="pct"/>
                  <w:tcBorders>
                    <w:top w:val="nil"/>
                    <w:left w:val="nil"/>
                    <w:bottom w:val="single" w:color="000000" w:sz="8" w:space="0"/>
                    <w:right w:val="nil"/>
                  </w:tcBorders>
                  <w:shd w:val="clear" w:color="auto" w:fill="auto"/>
                  <w:vAlign w:val="center"/>
                </w:tcPr>
                <w:p w14:paraId="304D69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15m</w:t>
                  </w:r>
                </w:p>
              </w:tc>
              <w:tc>
                <w:tcPr>
                  <w:tcW w:w="21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0F04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15m</w:t>
                  </w:r>
                </w:p>
              </w:tc>
            </w:tr>
            <w:tr w14:paraId="6FBF6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754" w:type="pct"/>
                  <w:vMerge w:val="continue"/>
                  <w:tcBorders>
                    <w:top w:val="nil"/>
                    <w:left w:val="single" w:color="000000" w:sz="8" w:space="0"/>
                    <w:bottom w:val="single" w:color="000000" w:sz="8" w:space="0"/>
                    <w:right w:val="single" w:color="000000" w:sz="8" w:space="0"/>
                  </w:tcBorders>
                  <w:shd w:val="clear" w:color="auto" w:fill="auto"/>
                  <w:vAlign w:val="center"/>
                </w:tcPr>
                <w:p w14:paraId="0630ECEC">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p>
              </w:tc>
              <w:tc>
                <w:tcPr>
                  <w:tcW w:w="698" w:type="pct"/>
                  <w:tcBorders>
                    <w:top w:val="nil"/>
                    <w:left w:val="nil"/>
                    <w:bottom w:val="single" w:color="000000" w:sz="8" w:space="0"/>
                    <w:right w:val="single" w:color="000000" w:sz="8" w:space="0"/>
                  </w:tcBorders>
                  <w:shd w:val="clear" w:color="auto" w:fill="auto"/>
                  <w:vAlign w:val="center"/>
                </w:tcPr>
                <w:p w14:paraId="54E9E8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排气筒内径</w:t>
                  </w:r>
                </w:p>
              </w:tc>
              <w:tc>
                <w:tcPr>
                  <w:tcW w:w="1373" w:type="pct"/>
                  <w:tcBorders>
                    <w:top w:val="nil"/>
                    <w:left w:val="nil"/>
                    <w:bottom w:val="single" w:color="000000" w:sz="8" w:space="0"/>
                    <w:right w:val="nil"/>
                  </w:tcBorders>
                  <w:shd w:val="clear" w:color="auto" w:fill="auto"/>
                  <w:vAlign w:val="center"/>
                </w:tcPr>
                <w:p w14:paraId="28A226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0.7m</w:t>
                  </w:r>
                </w:p>
              </w:tc>
              <w:tc>
                <w:tcPr>
                  <w:tcW w:w="21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C0A9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0.5m</w:t>
                  </w:r>
                </w:p>
              </w:tc>
            </w:tr>
            <w:tr w14:paraId="3EE25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54" w:type="pct"/>
                  <w:vMerge w:val="continue"/>
                  <w:tcBorders>
                    <w:top w:val="nil"/>
                    <w:left w:val="single" w:color="000000" w:sz="8" w:space="0"/>
                    <w:bottom w:val="single" w:color="000000" w:sz="8" w:space="0"/>
                    <w:right w:val="single" w:color="000000" w:sz="8" w:space="0"/>
                  </w:tcBorders>
                  <w:shd w:val="clear" w:color="auto" w:fill="auto"/>
                  <w:vAlign w:val="center"/>
                </w:tcPr>
                <w:p w14:paraId="642EE038">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p>
              </w:tc>
              <w:tc>
                <w:tcPr>
                  <w:tcW w:w="698" w:type="pct"/>
                  <w:tcBorders>
                    <w:top w:val="nil"/>
                    <w:left w:val="nil"/>
                    <w:bottom w:val="single" w:color="000000" w:sz="8" w:space="0"/>
                    <w:right w:val="single" w:color="000000" w:sz="8" w:space="0"/>
                  </w:tcBorders>
                  <w:shd w:val="clear" w:color="auto" w:fill="auto"/>
                  <w:vAlign w:val="center"/>
                </w:tcPr>
                <w:p w14:paraId="1A8F69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温度</w:t>
                  </w:r>
                </w:p>
              </w:tc>
              <w:tc>
                <w:tcPr>
                  <w:tcW w:w="1373" w:type="pct"/>
                  <w:tcBorders>
                    <w:top w:val="nil"/>
                    <w:left w:val="nil"/>
                    <w:bottom w:val="single" w:color="000000" w:sz="8" w:space="0"/>
                    <w:right w:val="single" w:color="000000" w:sz="8" w:space="0"/>
                  </w:tcBorders>
                  <w:shd w:val="clear" w:color="auto" w:fill="auto"/>
                  <w:vAlign w:val="center"/>
                </w:tcPr>
                <w:p w14:paraId="475F17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2173" w:type="pct"/>
                  <w:gridSpan w:val="2"/>
                  <w:tcBorders>
                    <w:top w:val="nil"/>
                    <w:left w:val="nil"/>
                    <w:bottom w:val="single" w:color="000000" w:sz="8" w:space="0"/>
                    <w:right w:val="single" w:color="000000" w:sz="8" w:space="0"/>
                  </w:tcBorders>
                  <w:shd w:val="clear" w:color="auto" w:fill="auto"/>
                  <w:vAlign w:val="center"/>
                </w:tcPr>
                <w:p w14:paraId="592BD3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r>
            <w:tr w14:paraId="51BB2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54" w:type="pct"/>
                  <w:vMerge w:val="continue"/>
                  <w:tcBorders>
                    <w:top w:val="nil"/>
                    <w:left w:val="single" w:color="000000" w:sz="8" w:space="0"/>
                    <w:bottom w:val="single" w:color="000000" w:sz="8" w:space="0"/>
                    <w:right w:val="single" w:color="000000" w:sz="8" w:space="0"/>
                  </w:tcBorders>
                  <w:shd w:val="clear" w:color="auto" w:fill="auto"/>
                  <w:vAlign w:val="center"/>
                </w:tcPr>
                <w:p w14:paraId="03D5B767">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p>
              </w:tc>
              <w:tc>
                <w:tcPr>
                  <w:tcW w:w="698" w:type="pct"/>
                  <w:tcBorders>
                    <w:top w:val="nil"/>
                    <w:left w:val="nil"/>
                    <w:bottom w:val="single" w:color="000000" w:sz="8" w:space="0"/>
                    <w:right w:val="single" w:color="000000" w:sz="8" w:space="0"/>
                  </w:tcBorders>
                  <w:shd w:val="clear" w:color="auto" w:fill="auto"/>
                  <w:vAlign w:val="center"/>
                </w:tcPr>
                <w:p w14:paraId="138031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编号</w:t>
                  </w:r>
                </w:p>
              </w:tc>
              <w:tc>
                <w:tcPr>
                  <w:tcW w:w="1373" w:type="pct"/>
                  <w:tcBorders>
                    <w:top w:val="nil"/>
                    <w:left w:val="nil"/>
                    <w:bottom w:val="single" w:color="000000" w:sz="8" w:space="0"/>
                    <w:right w:val="single" w:color="000000" w:sz="8" w:space="0"/>
                  </w:tcBorders>
                  <w:shd w:val="clear" w:color="auto" w:fill="auto"/>
                  <w:vAlign w:val="center"/>
                </w:tcPr>
                <w:p w14:paraId="79BDAA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DA001</w:t>
                  </w:r>
                </w:p>
              </w:tc>
              <w:tc>
                <w:tcPr>
                  <w:tcW w:w="2173" w:type="pct"/>
                  <w:gridSpan w:val="2"/>
                  <w:tcBorders>
                    <w:top w:val="nil"/>
                    <w:left w:val="nil"/>
                    <w:bottom w:val="single" w:color="000000" w:sz="8" w:space="0"/>
                    <w:right w:val="single" w:color="000000" w:sz="8" w:space="0"/>
                  </w:tcBorders>
                  <w:shd w:val="clear" w:color="auto" w:fill="auto"/>
                  <w:vAlign w:val="center"/>
                </w:tcPr>
                <w:p w14:paraId="7EF06E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DA002</w:t>
                  </w:r>
                </w:p>
              </w:tc>
            </w:tr>
            <w:tr w14:paraId="14413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754" w:type="pct"/>
                  <w:vMerge w:val="continue"/>
                  <w:tcBorders>
                    <w:top w:val="nil"/>
                    <w:left w:val="single" w:color="000000" w:sz="8" w:space="0"/>
                    <w:bottom w:val="single" w:color="000000" w:sz="8" w:space="0"/>
                    <w:right w:val="single" w:color="000000" w:sz="8" w:space="0"/>
                  </w:tcBorders>
                  <w:shd w:val="clear" w:color="auto" w:fill="auto"/>
                  <w:vAlign w:val="center"/>
                </w:tcPr>
                <w:p w14:paraId="20766448">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p>
              </w:tc>
              <w:tc>
                <w:tcPr>
                  <w:tcW w:w="698" w:type="pct"/>
                  <w:tcBorders>
                    <w:top w:val="nil"/>
                    <w:left w:val="nil"/>
                    <w:bottom w:val="single" w:color="000000" w:sz="8" w:space="0"/>
                    <w:right w:val="single" w:color="000000" w:sz="8" w:space="0"/>
                  </w:tcBorders>
                  <w:shd w:val="clear" w:color="auto" w:fill="auto"/>
                  <w:vAlign w:val="center"/>
                </w:tcPr>
                <w:p w14:paraId="708846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类型</w:t>
                  </w:r>
                </w:p>
              </w:tc>
              <w:tc>
                <w:tcPr>
                  <w:tcW w:w="1373" w:type="pct"/>
                  <w:tcBorders>
                    <w:top w:val="nil"/>
                    <w:left w:val="nil"/>
                    <w:bottom w:val="single" w:color="000000" w:sz="8" w:space="0"/>
                    <w:right w:val="single" w:color="000000" w:sz="8" w:space="0"/>
                  </w:tcBorders>
                  <w:shd w:val="clear" w:color="auto" w:fill="auto"/>
                  <w:vAlign w:val="center"/>
                </w:tcPr>
                <w:p w14:paraId="7AA194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一般排放口</w:t>
                  </w:r>
                </w:p>
              </w:tc>
              <w:tc>
                <w:tcPr>
                  <w:tcW w:w="2173" w:type="pct"/>
                  <w:gridSpan w:val="2"/>
                  <w:tcBorders>
                    <w:top w:val="nil"/>
                    <w:left w:val="nil"/>
                    <w:bottom w:val="single" w:color="000000" w:sz="8" w:space="0"/>
                    <w:right w:val="single" w:color="000000" w:sz="8" w:space="0"/>
                  </w:tcBorders>
                  <w:shd w:val="clear" w:color="auto" w:fill="auto"/>
                  <w:vAlign w:val="center"/>
                </w:tcPr>
                <w:p w14:paraId="21782D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一般排放口</w:t>
                  </w:r>
                </w:p>
              </w:tc>
            </w:tr>
            <w:tr w14:paraId="3D344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jc w:val="center"/>
              </w:trPr>
              <w:tc>
                <w:tcPr>
                  <w:tcW w:w="754" w:type="pct"/>
                  <w:vMerge w:val="continue"/>
                  <w:tcBorders>
                    <w:top w:val="nil"/>
                    <w:left w:val="single" w:color="000000" w:sz="8" w:space="0"/>
                    <w:bottom w:val="single" w:color="000000" w:sz="8" w:space="0"/>
                    <w:right w:val="single" w:color="000000" w:sz="8" w:space="0"/>
                  </w:tcBorders>
                  <w:shd w:val="clear" w:color="auto" w:fill="auto"/>
                  <w:vAlign w:val="center"/>
                </w:tcPr>
                <w:p w14:paraId="7D22B0ED">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p>
              </w:tc>
              <w:tc>
                <w:tcPr>
                  <w:tcW w:w="698" w:type="pct"/>
                  <w:tcBorders>
                    <w:top w:val="nil"/>
                    <w:left w:val="nil"/>
                    <w:bottom w:val="single" w:color="000000" w:sz="8" w:space="0"/>
                    <w:right w:val="single" w:color="000000" w:sz="8" w:space="0"/>
                  </w:tcBorders>
                  <w:shd w:val="clear" w:color="auto" w:fill="auto"/>
                  <w:vAlign w:val="center"/>
                </w:tcPr>
                <w:p w14:paraId="320DB5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地理坐标</w:t>
                  </w:r>
                </w:p>
              </w:tc>
              <w:tc>
                <w:tcPr>
                  <w:tcW w:w="1373" w:type="pct"/>
                  <w:tcBorders>
                    <w:top w:val="nil"/>
                    <w:left w:val="nil"/>
                    <w:bottom w:val="single" w:color="000000" w:sz="8" w:space="0"/>
                    <w:right w:val="single" w:color="000000" w:sz="8" w:space="0"/>
                  </w:tcBorders>
                  <w:shd w:val="clear" w:color="auto" w:fill="auto"/>
                  <w:vAlign w:val="center"/>
                </w:tcPr>
                <w:p w14:paraId="49BB63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102°27′43.57″</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25°16′18.28″</w:t>
                  </w:r>
                </w:p>
              </w:tc>
              <w:tc>
                <w:tcPr>
                  <w:tcW w:w="2173" w:type="pct"/>
                  <w:gridSpan w:val="2"/>
                  <w:tcBorders>
                    <w:top w:val="nil"/>
                    <w:left w:val="nil"/>
                    <w:bottom w:val="single" w:color="000000" w:sz="8" w:space="0"/>
                    <w:right w:val="single" w:color="000000" w:sz="8" w:space="0"/>
                  </w:tcBorders>
                  <w:shd w:val="clear" w:color="auto" w:fill="auto"/>
                  <w:vAlign w:val="center"/>
                </w:tcPr>
                <w:p w14:paraId="049705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102°27′41.43″</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25°16′15.39″</w:t>
                  </w:r>
                </w:p>
              </w:tc>
            </w:tr>
            <w:tr w14:paraId="32D1C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5"/>
                  <w:tcBorders>
                    <w:top w:val="nil"/>
                    <w:left w:val="single" w:color="000000" w:sz="8" w:space="0"/>
                    <w:bottom w:val="single" w:color="000000" w:sz="8" w:space="0"/>
                    <w:right w:val="single" w:color="000000" w:sz="8" w:space="0"/>
                  </w:tcBorders>
                  <w:shd w:val="clear" w:color="auto" w:fill="auto"/>
                  <w:vAlign w:val="center"/>
                </w:tcPr>
                <w:p w14:paraId="3EE33E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监测要求</w:t>
                  </w:r>
                </w:p>
              </w:tc>
            </w:tr>
            <w:tr w14:paraId="41494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1452" w:type="pct"/>
                  <w:gridSpan w:val="2"/>
                  <w:tcBorders>
                    <w:top w:val="nil"/>
                    <w:left w:val="single" w:color="000000" w:sz="8" w:space="0"/>
                    <w:bottom w:val="single" w:color="000000" w:sz="8" w:space="0"/>
                    <w:right w:val="single" w:color="000000" w:sz="8" w:space="0"/>
                  </w:tcBorders>
                  <w:shd w:val="clear" w:color="auto" w:fill="auto"/>
                  <w:vAlign w:val="center"/>
                </w:tcPr>
                <w:p w14:paraId="28ECAC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监测点位</w:t>
                  </w:r>
                </w:p>
              </w:tc>
              <w:tc>
                <w:tcPr>
                  <w:tcW w:w="1373" w:type="pct"/>
                  <w:tcBorders>
                    <w:top w:val="single" w:color="000000" w:sz="8" w:space="0"/>
                    <w:left w:val="nil"/>
                    <w:bottom w:val="single" w:color="000000" w:sz="8" w:space="0"/>
                    <w:right w:val="single" w:color="000000" w:sz="8" w:space="0"/>
                  </w:tcBorders>
                  <w:shd w:val="clear" w:color="auto" w:fill="auto"/>
                  <w:vAlign w:val="center"/>
                </w:tcPr>
                <w:p w14:paraId="63A465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排气筒出口</w:t>
                  </w:r>
                </w:p>
              </w:tc>
              <w:tc>
                <w:tcPr>
                  <w:tcW w:w="2173" w:type="pct"/>
                  <w:gridSpan w:val="2"/>
                  <w:tcBorders>
                    <w:top w:val="single" w:color="000000" w:sz="8" w:space="0"/>
                    <w:left w:val="nil"/>
                    <w:bottom w:val="single" w:color="000000" w:sz="8" w:space="0"/>
                    <w:right w:val="single" w:color="000000" w:sz="8" w:space="0"/>
                  </w:tcBorders>
                  <w:shd w:val="clear" w:color="auto" w:fill="auto"/>
                  <w:vAlign w:val="center"/>
                </w:tcPr>
                <w:p w14:paraId="685949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排气筒出口</w:t>
                  </w:r>
                </w:p>
              </w:tc>
            </w:tr>
            <w:tr w14:paraId="20A7A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1452" w:type="pct"/>
                  <w:gridSpan w:val="2"/>
                  <w:tcBorders>
                    <w:top w:val="nil"/>
                    <w:left w:val="single" w:color="000000" w:sz="8" w:space="0"/>
                    <w:bottom w:val="single" w:color="000000" w:sz="8" w:space="0"/>
                    <w:right w:val="single" w:color="000000" w:sz="8" w:space="0"/>
                  </w:tcBorders>
                  <w:shd w:val="clear" w:color="auto" w:fill="auto"/>
                  <w:vAlign w:val="center"/>
                </w:tcPr>
                <w:p w14:paraId="3F220A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监测因子</w:t>
                  </w:r>
                </w:p>
              </w:tc>
              <w:tc>
                <w:tcPr>
                  <w:tcW w:w="1373" w:type="pct"/>
                  <w:tcBorders>
                    <w:top w:val="nil"/>
                    <w:left w:val="nil"/>
                    <w:bottom w:val="single" w:color="000000" w:sz="8" w:space="0"/>
                    <w:right w:val="single" w:color="000000" w:sz="8" w:space="0"/>
                  </w:tcBorders>
                  <w:shd w:val="clear" w:color="auto" w:fill="auto"/>
                  <w:vAlign w:val="center"/>
                </w:tcPr>
                <w:p w14:paraId="20E120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颗粒物</w:t>
                  </w:r>
                </w:p>
              </w:tc>
              <w:tc>
                <w:tcPr>
                  <w:tcW w:w="2173" w:type="pct"/>
                  <w:gridSpan w:val="2"/>
                  <w:tcBorders>
                    <w:top w:val="nil"/>
                    <w:left w:val="nil"/>
                    <w:bottom w:val="single" w:color="000000" w:sz="8" w:space="0"/>
                    <w:right w:val="single" w:color="000000" w:sz="8" w:space="0"/>
                  </w:tcBorders>
                  <w:shd w:val="clear" w:color="auto" w:fill="auto"/>
                  <w:vAlign w:val="center"/>
                </w:tcPr>
                <w:p w14:paraId="62FAAE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颗粒物、非甲烷总烃</w:t>
                  </w:r>
                </w:p>
              </w:tc>
            </w:tr>
            <w:tr w14:paraId="202CA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452" w:type="pct"/>
                  <w:gridSpan w:val="2"/>
                  <w:tcBorders>
                    <w:top w:val="nil"/>
                    <w:left w:val="single" w:color="000000" w:sz="8" w:space="0"/>
                    <w:bottom w:val="single" w:color="000000" w:sz="8" w:space="0"/>
                    <w:right w:val="single" w:color="000000" w:sz="8" w:space="0"/>
                  </w:tcBorders>
                  <w:shd w:val="clear" w:color="auto" w:fill="auto"/>
                  <w:vAlign w:val="center"/>
                </w:tcPr>
                <w:p w14:paraId="693F77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监测频次</w:t>
                  </w:r>
                </w:p>
              </w:tc>
              <w:tc>
                <w:tcPr>
                  <w:tcW w:w="1373" w:type="pct"/>
                  <w:tcBorders>
                    <w:top w:val="nil"/>
                    <w:left w:val="nil"/>
                    <w:bottom w:val="single" w:color="000000" w:sz="8" w:space="0"/>
                    <w:right w:val="single" w:color="000000" w:sz="8" w:space="0"/>
                  </w:tcBorders>
                  <w:shd w:val="clear" w:color="auto" w:fill="auto"/>
                  <w:vAlign w:val="center"/>
                </w:tcPr>
                <w:p w14:paraId="33A783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次</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季</w:t>
                  </w:r>
                </w:p>
              </w:tc>
              <w:tc>
                <w:tcPr>
                  <w:tcW w:w="2173" w:type="pct"/>
                  <w:gridSpan w:val="2"/>
                  <w:tcBorders>
                    <w:top w:val="nil"/>
                    <w:left w:val="nil"/>
                    <w:bottom w:val="single" w:color="000000" w:sz="8" w:space="0"/>
                    <w:right w:val="single" w:color="000000" w:sz="8" w:space="0"/>
                  </w:tcBorders>
                  <w:shd w:val="clear" w:color="auto" w:fill="auto"/>
                  <w:vAlign w:val="center"/>
                </w:tcPr>
                <w:p w14:paraId="2EBF70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次</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季</w:t>
                  </w:r>
                </w:p>
              </w:tc>
            </w:tr>
            <w:tr w14:paraId="3EBC1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452" w:type="pct"/>
                  <w:gridSpan w:val="2"/>
                  <w:tcBorders>
                    <w:top w:val="nil"/>
                    <w:left w:val="single" w:color="000000" w:sz="8" w:space="0"/>
                    <w:bottom w:val="single" w:color="000000" w:sz="8" w:space="0"/>
                    <w:right w:val="single" w:color="000000" w:sz="8" w:space="0"/>
                  </w:tcBorders>
                  <w:shd w:val="clear" w:color="auto" w:fill="auto"/>
                  <w:vAlign w:val="center"/>
                </w:tcPr>
                <w:p w14:paraId="74E3FE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执行标准</w:t>
                  </w:r>
                </w:p>
              </w:tc>
              <w:tc>
                <w:tcPr>
                  <w:tcW w:w="3547" w:type="pct"/>
                  <w:gridSpan w:val="3"/>
                  <w:tcBorders>
                    <w:top w:val="nil"/>
                    <w:left w:val="nil"/>
                    <w:bottom w:val="single" w:color="000000" w:sz="8" w:space="0"/>
                    <w:right w:val="single" w:color="000000" w:sz="8" w:space="0"/>
                  </w:tcBorders>
                  <w:shd w:val="clear" w:color="auto" w:fill="auto"/>
                  <w:vAlign w:val="center"/>
                </w:tcPr>
                <w:p w14:paraId="367701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《涂料、油墨、胶粘剂工业大气污染物排放标准》（</w:t>
                  </w:r>
                  <w:r>
                    <w:rPr>
                      <w:rFonts w:hint="default" w:ascii="Times New Roman" w:hAnsi="Times New Roman" w:eastAsia="宋体" w:cs="Times New Roman"/>
                      <w:i w:val="0"/>
                      <w:iCs w:val="0"/>
                      <w:color w:val="000000"/>
                      <w:kern w:val="0"/>
                      <w:sz w:val="21"/>
                      <w:szCs w:val="21"/>
                      <w:u w:val="none"/>
                      <w:lang w:val="en-US" w:eastAsia="zh-CN" w:bidi="ar"/>
                    </w:rPr>
                    <w:t>GB37824-2019</w:t>
                  </w:r>
                  <w:r>
                    <w:rPr>
                      <w:rFonts w:hint="eastAsia" w:ascii="宋体" w:hAnsi="宋体" w:eastAsia="宋体" w:cs="宋体"/>
                      <w:i w:val="0"/>
                      <w:iCs w:val="0"/>
                      <w:color w:val="000000"/>
                      <w:kern w:val="0"/>
                      <w:sz w:val="21"/>
                      <w:szCs w:val="21"/>
                      <w:u w:val="none"/>
                      <w:lang w:val="en-US" w:eastAsia="zh-CN" w:bidi="ar"/>
                    </w:rPr>
                    <w:t>）表</w:t>
                  </w: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中有组织最高允许排放浓度限值。</w:t>
                  </w:r>
                </w:p>
              </w:tc>
            </w:tr>
          </w:tbl>
          <w:p w14:paraId="6BF71A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①</w:t>
            </w:r>
            <w:r>
              <w:rPr>
                <w:rFonts w:hint="eastAsia" w:cs="Times New Roman"/>
                <w:b/>
                <w:bCs/>
                <w:color w:val="auto"/>
                <w:sz w:val="24"/>
                <w:szCs w:val="24"/>
                <w:lang w:val="en-US" w:eastAsia="zh-CN"/>
              </w:rPr>
              <w:t>水性涂料生产车间</w:t>
            </w:r>
          </w:p>
          <w:p w14:paraId="365FB1A5">
            <w:pPr>
              <w:keepNext w:val="0"/>
              <w:keepLines w:val="0"/>
              <w:pageBreakBefore w:val="0"/>
              <w:widowControl w:val="0"/>
              <w:numPr>
                <w:ilvl w:val="0"/>
                <w:numId w:val="4"/>
              </w:numPr>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乳胶漆生产线</w:t>
            </w:r>
            <w:r>
              <w:rPr>
                <w:rFonts w:hint="default" w:ascii="Times New Roman" w:hAnsi="Times New Roman" w:eastAsia="宋体" w:cs="Times New Roman"/>
                <w:color w:val="auto"/>
                <w:sz w:val="24"/>
                <w:szCs w:val="24"/>
                <w:lang w:val="en-US" w:eastAsia="zh-CN"/>
              </w:rPr>
              <w:t>投料粉尘</w:t>
            </w:r>
          </w:p>
          <w:p w14:paraId="29FA17A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right="0" w:righ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乳胶漆生产的原料</w:t>
            </w:r>
            <w:r>
              <w:rPr>
                <w:rFonts w:hint="eastAsia" w:cs="Times New Roman"/>
                <w:color w:val="auto"/>
                <w:sz w:val="24"/>
                <w:szCs w:val="24"/>
                <w:lang w:val="en-US" w:eastAsia="zh-CN"/>
              </w:rPr>
              <w:t>粉料</w:t>
            </w:r>
            <w:r>
              <w:rPr>
                <w:rFonts w:hint="default" w:ascii="Times New Roman" w:hAnsi="Times New Roman" w:eastAsia="宋体" w:cs="Times New Roman"/>
                <w:color w:val="auto"/>
                <w:sz w:val="24"/>
                <w:szCs w:val="24"/>
                <w:lang w:val="en-US" w:eastAsia="zh-CN"/>
              </w:rPr>
              <w:t>有三种，钛白粉、碳酸钙和高岭土，其料径分别为0.25-0.26μm、1－3μm 和&lt;2μm，在生产过程中，原料是通过投料槽，进入混合罐，投料槽中物质的运输在负压状况下进行，但投料会有部分的原料粉尘散发到空气中。在投料口上方设置有一个面积约为0.5m×0.5m的抽风口，</w:t>
            </w:r>
            <w:r>
              <w:rPr>
                <w:rFonts w:hint="eastAsia" w:cs="Times New Roman"/>
                <w:color w:val="auto"/>
                <w:sz w:val="24"/>
                <w:szCs w:val="24"/>
                <w:lang w:val="en-US" w:eastAsia="zh-CN"/>
              </w:rPr>
              <w:t>在抽风口设置集气罩进行收集</w:t>
            </w:r>
            <w:r>
              <w:rPr>
                <w:rFonts w:hint="default" w:ascii="Times New Roman" w:hAnsi="Times New Roman" w:eastAsia="宋体" w:cs="Times New Roman"/>
                <w:color w:val="auto"/>
                <w:sz w:val="24"/>
                <w:szCs w:val="24"/>
                <w:lang w:val="en-US" w:eastAsia="zh-CN"/>
              </w:rPr>
              <w:t>。</w:t>
            </w:r>
          </w:p>
          <w:p w14:paraId="6F851E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本项目扩建完成后，年产乳胶漆75000吨，根据《工业源产排污核算方法和系数手册》（2021年6月发布）中2641涂料制造行业系数表（续1）的水性建筑涂料产污系数颗粒物取值为2.30×10</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kg/吨-产品，粉尘产生量为1.725t/a，乳胶漆年产生时间为250天，每天8小时，故</w:t>
            </w:r>
            <w:r>
              <w:rPr>
                <w:rFonts w:hint="eastAsia" w:cs="Times New Roman"/>
                <w:color w:val="auto"/>
                <w:sz w:val="24"/>
                <w:szCs w:val="24"/>
                <w:lang w:val="en-US" w:eastAsia="zh-CN"/>
              </w:rPr>
              <w:t>粉尘</w:t>
            </w:r>
            <w:r>
              <w:rPr>
                <w:rFonts w:hint="default" w:ascii="Times New Roman" w:hAnsi="Times New Roman" w:eastAsia="宋体" w:cs="Times New Roman"/>
                <w:color w:val="auto"/>
                <w:sz w:val="24"/>
                <w:szCs w:val="24"/>
                <w:lang w:val="en-US" w:eastAsia="zh-CN"/>
              </w:rPr>
              <w:t>产生速率为0.863kg/h。</w:t>
            </w:r>
          </w:p>
          <w:p w14:paraId="32EA70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B</w:t>
            </w:r>
            <w:r>
              <w:rPr>
                <w:rFonts w:hint="default" w:ascii="Times New Roman" w:hAnsi="Times New Roman" w:eastAsia="宋体" w:cs="Times New Roman"/>
                <w:b w:val="0"/>
                <w:bCs w:val="0"/>
                <w:color w:val="auto"/>
                <w:sz w:val="24"/>
                <w:szCs w:val="24"/>
                <w:lang w:val="en-US" w:eastAsia="zh-CN"/>
              </w:rPr>
              <w:t>、砂壁</w:t>
            </w:r>
            <w:r>
              <w:rPr>
                <w:rFonts w:hint="eastAsia" w:cs="Times New Roman"/>
                <w:b w:val="0"/>
                <w:bCs w:val="0"/>
                <w:color w:val="auto"/>
                <w:sz w:val="24"/>
                <w:szCs w:val="24"/>
                <w:lang w:val="en-US" w:eastAsia="zh-CN"/>
              </w:rPr>
              <w:t>生产线</w:t>
            </w:r>
            <w:r>
              <w:rPr>
                <w:rFonts w:hint="default" w:ascii="Times New Roman" w:hAnsi="Times New Roman" w:eastAsia="宋体" w:cs="Times New Roman"/>
                <w:b w:val="0"/>
                <w:bCs w:val="0"/>
                <w:color w:val="auto"/>
                <w:sz w:val="24"/>
                <w:szCs w:val="24"/>
                <w:lang w:val="en-US" w:eastAsia="zh-CN"/>
              </w:rPr>
              <w:t>投料粉尘</w:t>
            </w:r>
          </w:p>
          <w:p w14:paraId="7B519B8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砂壁产品生产线设置有专门的投料间，在投料口上方设置有1个面积约为 0.5m×0.5m的一个抽风口，</w:t>
            </w:r>
            <w:r>
              <w:rPr>
                <w:rFonts w:hint="eastAsia" w:cs="Times New Roman"/>
                <w:color w:val="auto"/>
                <w:sz w:val="24"/>
                <w:szCs w:val="24"/>
                <w:lang w:val="en-US" w:eastAsia="zh-CN"/>
              </w:rPr>
              <w:t>在抽风口设置集气罩进行收集投料粉尘</w:t>
            </w:r>
            <w:r>
              <w:rPr>
                <w:rFonts w:hint="default" w:ascii="Times New Roman" w:hAnsi="Times New Roman" w:eastAsia="宋体" w:cs="Times New Roman"/>
                <w:color w:val="auto"/>
                <w:sz w:val="24"/>
                <w:szCs w:val="24"/>
                <w:lang w:val="en-US" w:eastAsia="zh-CN"/>
              </w:rPr>
              <w:t>。</w:t>
            </w:r>
          </w:p>
          <w:p w14:paraId="106259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本项目扩建完成后，年产砂壁产品25000吨，根据《工业源产排污核算方法和系数手册》（2021年6月发布）中2641涂料制造行业系数表（续1）的水性建筑涂料产污系数，颗粒物取值为2.30×10</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kg/吨-产品，粉尘产生量为0.575t/a，砂壁产品年产生时间为275天，每天两班、每班为8小时，故产生速率为0.13kg/h。</w:t>
            </w:r>
          </w:p>
          <w:p w14:paraId="52BC12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本项目水性涂料生产车间乳胶漆、砂壁产品生产投料口粉尘经集气罩收集后汇集到同一套布带除尘器进行处理。因此、水性涂料生产车间粉尘产生量为2.3t/a，乳胶漆及砂壁产品同时生产时粉尘产生最大速率为0.993</w:t>
            </w:r>
            <w:r>
              <w:rPr>
                <w:rFonts w:hint="default" w:ascii="Times New Roman" w:hAnsi="Times New Roman" w:eastAsia="宋体" w:cs="Times New Roman"/>
                <w:color w:val="auto"/>
                <w:sz w:val="24"/>
                <w:szCs w:val="24"/>
                <w:lang w:val="en-US" w:eastAsia="zh-CN"/>
              </w:rPr>
              <w:t>kg/h</w:t>
            </w:r>
            <w:r>
              <w:rPr>
                <w:rFonts w:hint="eastAsia" w:cs="Times New Roman"/>
                <w:color w:val="auto"/>
                <w:sz w:val="24"/>
                <w:szCs w:val="24"/>
                <w:lang w:val="en-US" w:eastAsia="zh-CN"/>
              </w:rPr>
              <w:t>，产生浓度为165.5</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cs="Times New Roman"/>
                <w:color w:val="auto"/>
                <w:sz w:val="24"/>
                <w:szCs w:val="24"/>
                <w:lang w:val="en-US" w:eastAsia="zh-CN"/>
              </w:rPr>
              <w:t>。集气罩收集效率为80%，设置的总风机风量为600</w:t>
            </w:r>
            <w:r>
              <w:rPr>
                <w:rFonts w:hint="default" w:ascii="Times New Roman" w:hAnsi="Times New Roman" w:eastAsia="宋体" w:cs="Times New Roman"/>
                <w:color w:val="auto"/>
                <w:sz w:val="24"/>
                <w:szCs w:val="24"/>
                <w:lang w:val="en-US" w:eastAsia="zh-CN"/>
              </w:rPr>
              <w:t>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w:t>
            </w:r>
            <w:r>
              <w:rPr>
                <w:rFonts w:hint="eastAsia" w:cs="Times New Roman"/>
                <w:color w:val="auto"/>
                <w:sz w:val="24"/>
                <w:szCs w:val="24"/>
                <w:lang w:val="en-US" w:eastAsia="zh-CN"/>
              </w:rPr>
              <w:t>，布袋除尘器去除效率取值99%，有组织粉尘产生量为1.84t/a，产生最大速率为0.794</w:t>
            </w:r>
            <w:r>
              <w:rPr>
                <w:rFonts w:hint="default" w:ascii="Times New Roman" w:hAnsi="Times New Roman" w:eastAsia="宋体" w:cs="Times New Roman"/>
                <w:color w:val="auto"/>
                <w:sz w:val="24"/>
                <w:szCs w:val="24"/>
                <w:lang w:val="en-US" w:eastAsia="zh-CN"/>
              </w:rPr>
              <w:t>kg/h</w:t>
            </w:r>
            <w:r>
              <w:rPr>
                <w:rFonts w:hint="eastAsia" w:cs="Times New Roman"/>
                <w:color w:val="auto"/>
                <w:sz w:val="24"/>
                <w:szCs w:val="24"/>
                <w:lang w:val="en-US" w:eastAsia="zh-CN"/>
              </w:rPr>
              <w:t>，产生浓度为132.4</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cs="Times New Roman"/>
                <w:color w:val="auto"/>
                <w:sz w:val="24"/>
                <w:szCs w:val="24"/>
                <w:lang w:val="en-US" w:eastAsia="zh-CN"/>
              </w:rPr>
              <w:t>；有组织</w:t>
            </w:r>
            <w:r>
              <w:rPr>
                <w:rFonts w:hint="default" w:ascii="Times New Roman" w:hAnsi="Times New Roman" w:eastAsia="宋体" w:cs="Times New Roman"/>
                <w:color w:val="auto"/>
                <w:sz w:val="24"/>
                <w:szCs w:val="24"/>
                <w:lang w:val="en-US" w:eastAsia="zh-CN"/>
              </w:rPr>
              <w:t>排放量</w:t>
            </w:r>
            <w:r>
              <w:rPr>
                <w:rFonts w:hint="eastAsia" w:cs="Times New Roman"/>
                <w:color w:val="auto"/>
                <w:sz w:val="24"/>
                <w:szCs w:val="24"/>
                <w:lang w:val="en-US" w:eastAsia="zh-CN"/>
              </w:rPr>
              <w:t>0.018</w:t>
            </w:r>
            <w:r>
              <w:rPr>
                <w:rFonts w:hint="default" w:ascii="Times New Roman" w:hAnsi="Times New Roman" w:eastAsia="宋体" w:cs="Times New Roman"/>
                <w:color w:val="auto"/>
                <w:sz w:val="24"/>
                <w:szCs w:val="24"/>
                <w:lang w:val="en-US" w:eastAsia="zh-CN"/>
              </w:rPr>
              <w:t>t/a，排放速率</w:t>
            </w:r>
            <w:r>
              <w:rPr>
                <w:rFonts w:hint="eastAsia" w:cs="Times New Roman"/>
                <w:color w:val="auto"/>
                <w:sz w:val="24"/>
                <w:szCs w:val="24"/>
                <w:lang w:val="en-US" w:eastAsia="zh-CN"/>
              </w:rPr>
              <w:t>0.0079</w:t>
            </w:r>
            <w:r>
              <w:rPr>
                <w:rFonts w:hint="default" w:ascii="Times New Roman" w:hAnsi="Times New Roman" w:eastAsia="宋体" w:cs="Times New Roman"/>
                <w:color w:val="auto"/>
                <w:sz w:val="24"/>
                <w:szCs w:val="24"/>
                <w:lang w:val="en-US" w:eastAsia="zh-CN"/>
              </w:rPr>
              <w:t>kg/h，排放浓度</w:t>
            </w:r>
            <w:r>
              <w:rPr>
                <w:rFonts w:hint="eastAsia" w:cs="Times New Roman"/>
                <w:color w:val="auto"/>
                <w:sz w:val="24"/>
                <w:szCs w:val="24"/>
                <w:lang w:val="en-US" w:eastAsia="zh-CN"/>
              </w:rPr>
              <w:t>1.32</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。无组织粉尘产生量为</w:t>
            </w:r>
            <w:r>
              <w:rPr>
                <w:rFonts w:hint="eastAsia" w:cs="Times New Roman"/>
                <w:color w:val="auto"/>
                <w:sz w:val="24"/>
                <w:szCs w:val="24"/>
                <w:lang w:val="en-US" w:eastAsia="zh-CN"/>
              </w:rPr>
              <w:t>0.46</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最大</w:t>
            </w:r>
            <w:r>
              <w:rPr>
                <w:rFonts w:hint="default" w:ascii="Times New Roman" w:hAnsi="Times New Roman" w:eastAsia="宋体" w:cs="Times New Roman"/>
                <w:color w:val="auto"/>
                <w:sz w:val="24"/>
                <w:szCs w:val="24"/>
                <w:lang w:val="en-US" w:eastAsia="zh-CN"/>
              </w:rPr>
              <w:t>产生速率</w:t>
            </w:r>
            <w:r>
              <w:rPr>
                <w:rFonts w:hint="eastAsia" w:cs="Times New Roman"/>
                <w:color w:val="auto"/>
                <w:sz w:val="24"/>
                <w:szCs w:val="24"/>
                <w:lang w:val="en-US" w:eastAsia="zh-CN"/>
              </w:rPr>
              <w:t>0.2</w:t>
            </w:r>
            <w:r>
              <w:rPr>
                <w:rFonts w:hint="default" w:ascii="Times New Roman" w:hAnsi="Times New Roman" w:eastAsia="宋体" w:cs="Times New Roman"/>
                <w:color w:val="auto"/>
                <w:sz w:val="24"/>
                <w:szCs w:val="24"/>
                <w:lang w:val="en-US" w:eastAsia="zh-CN"/>
              </w:rPr>
              <w:t>kg/h。</w:t>
            </w:r>
          </w:p>
          <w:p w14:paraId="2E48C30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rightChars="0"/>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kern w:val="2"/>
                <w:sz w:val="24"/>
                <w:szCs w:val="24"/>
                <w:lang w:val="en-US" w:eastAsia="zh-CN"/>
              </w:rPr>
              <w:t>C、</w:t>
            </w:r>
            <w:r>
              <w:rPr>
                <w:rFonts w:hint="default" w:ascii="Times New Roman" w:hAnsi="Times New Roman" w:eastAsia="宋体" w:cs="Times New Roman"/>
                <w:b w:val="0"/>
                <w:bCs w:val="0"/>
                <w:color w:val="auto"/>
                <w:sz w:val="24"/>
                <w:szCs w:val="24"/>
                <w:lang w:val="en-US" w:eastAsia="zh-CN"/>
              </w:rPr>
              <w:t>挥发性有机废气</w:t>
            </w:r>
          </w:p>
          <w:p w14:paraId="1A7440B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eastAsia"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水性涂料生产使用多种助剂，</w:t>
            </w:r>
            <w:r>
              <w:rPr>
                <w:rFonts w:hint="eastAsia" w:cs="Times New Roman"/>
                <w:color w:val="auto"/>
                <w:sz w:val="24"/>
                <w:szCs w:val="24"/>
                <w:lang w:val="en-US" w:eastAsia="zh-CN"/>
              </w:rPr>
              <w:t xml:space="preserve">主要有丙二醇易挥发有机废气。生产时液态助剂通过密闭管道输送至生产罐，大部分助剂包含丙二醇存放在储罐内，输送管道直接连接生产罐，仅有用量较小的部分助剂直接存储在包装瓶内，需要开盖投放。  </w:t>
            </w:r>
          </w:p>
          <w:p w14:paraId="6FAC3AD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default" w:cs="Times New Roman"/>
                <w:color w:val="auto"/>
                <w:sz w:val="24"/>
                <w:szCs w:val="24"/>
                <w:lang w:val="en-US" w:eastAsia="zh-CN"/>
              </w:rPr>
            </w:pPr>
            <w:r>
              <w:rPr>
                <w:rFonts w:hint="eastAsia" w:cs="Times New Roman"/>
                <w:color w:val="auto"/>
                <w:sz w:val="24"/>
                <w:szCs w:val="24"/>
                <w:lang w:val="en-US" w:eastAsia="zh-CN"/>
              </w:rPr>
              <w:t>在输送、</w:t>
            </w:r>
            <w:r>
              <w:rPr>
                <w:rFonts w:hint="default" w:ascii="Times New Roman" w:hAnsi="Times New Roman" w:eastAsia="宋体" w:cs="Times New Roman"/>
                <w:color w:val="auto"/>
                <w:sz w:val="24"/>
                <w:szCs w:val="24"/>
                <w:lang w:val="en-US" w:eastAsia="zh-CN"/>
              </w:rPr>
              <w:t>搅拌混合会产生挥发性有机废气</w:t>
            </w:r>
            <w:r>
              <w:rPr>
                <w:rFonts w:hint="eastAsia" w:cs="Times New Roman"/>
                <w:color w:val="auto"/>
                <w:sz w:val="24"/>
                <w:szCs w:val="24"/>
                <w:lang w:val="en-US" w:eastAsia="zh-CN"/>
              </w:rPr>
              <w:t>（以非甲烷总烃计），但由于在输送、搅拌环节均在密闭的设备内进行，废气无法向外环境挥发，仅在开盖投放及包装环节有废气扩散。其中开盖投放在密闭的投料间进行，且与空气密接时间极短，废气产生量较小，不易收集，呈无组织排放；在包装口设置集气罩收集。</w:t>
            </w:r>
          </w:p>
          <w:p w14:paraId="5840389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项目水性涂料包装环节非甲烷总烃有组织废气产生量参照《立邦新型材料（福建）有限公司年产水性乳胶漆10万吨、真石漆20万吨建设项目竣工环境保护验收监测报告》中有组织废气进口监测值计算。据了解，《立邦新型材料（福建）有限公司年产水性乳胶漆10万吨、真石漆20万吨建设项目》的水性涂料产品类型、生产线设置、生产工艺，废气收集方式（集气罩收集）均一致，因此废气的产生量具有参考性。该项目竣工环境保护验收监测报告检测出的平均有组织产生速率为0.163kg/h，检测期间工况为85%，该项目年运营300天，每天工作12小时，则非甲烷总烃废气产生总量为0.59吨/年；本项目水性涂料生产量为该项目检测期间工况的39.2%。因此本项目有组织废气产生量为0.23吨/年，乳胶漆线、砂壁产品同时生产时产生速率为0.255kg/h，产生浓度为42.5mg/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。本项目非甲烷总烃采用“UV光氧+活性炭吸附”进行处置，废气去除效率取70%，设置风量为6000m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/h</w:t>
            </w:r>
            <w:r>
              <w:rPr>
                <w:rFonts w:hint="eastAsia" w:cs="Times New Roman"/>
                <w:color w:val="auto"/>
                <w:sz w:val="24"/>
                <w:szCs w:val="24"/>
                <w:lang w:val="en-US" w:eastAsia="zh-CN"/>
              </w:rPr>
              <w:t>，因此废气排放量为0.069吨/年，排放速率为0.077kg/h，排放浓度为11.5mg/m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。集气罩收集效率以80%计，则非甲烷总烃</w:t>
            </w:r>
            <w:r>
              <w:rPr>
                <w:rFonts w:hint="default" w:ascii="Times New Roman" w:hAnsi="Times New Roman" w:eastAsia="宋体" w:cs="Times New Roman"/>
                <w:color w:val="auto"/>
                <w:sz w:val="24"/>
                <w:szCs w:val="24"/>
                <w:lang w:val="en-US" w:eastAsia="zh-CN"/>
              </w:rPr>
              <w:t>无组织排放量</w:t>
            </w:r>
            <w:r>
              <w:rPr>
                <w:rFonts w:hint="eastAsia" w:cs="Times New Roman"/>
                <w:color w:val="auto"/>
                <w:sz w:val="24"/>
                <w:szCs w:val="24"/>
                <w:lang w:val="en-US" w:eastAsia="zh-CN"/>
              </w:rPr>
              <w:t>0.058</w:t>
            </w:r>
            <w:r>
              <w:rPr>
                <w:rFonts w:hint="default" w:ascii="Times New Roman" w:hAnsi="Times New Roman" w:eastAsia="宋体" w:cs="Times New Roman"/>
                <w:color w:val="auto"/>
                <w:sz w:val="24"/>
                <w:szCs w:val="24"/>
                <w:lang w:val="en-US" w:eastAsia="zh-CN"/>
              </w:rPr>
              <w:t>t/a，排放速率</w:t>
            </w:r>
            <w:r>
              <w:rPr>
                <w:rFonts w:hint="eastAsia" w:cs="Times New Roman"/>
                <w:color w:val="auto"/>
                <w:sz w:val="24"/>
                <w:szCs w:val="24"/>
                <w:lang w:val="en-US" w:eastAsia="zh-CN"/>
              </w:rPr>
              <w:t>0.064</w:t>
            </w:r>
            <w:r>
              <w:rPr>
                <w:rFonts w:hint="default" w:ascii="Times New Roman" w:hAnsi="Times New Roman" w:eastAsia="宋体" w:cs="Times New Roman"/>
                <w:color w:val="auto"/>
                <w:sz w:val="24"/>
                <w:szCs w:val="24"/>
                <w:lang w:val="en-US" w:eastAsia="zh-CN"/>
              </w:rPr>
              <w:t>kg/h。</w:t>
            </w:r>
          </w:p>
          <w:p w14:paraId="733B952F">
            <w:pPr>
              <w:pStyle w:val="2"/>
              <w:keepNext w:val="0"/>
              <w:keepLines w:val="0"/>
              <w:suppressLineNumbers w:val="0"/>
              <w:spacing w:before="0" w:beforeAutospacing="0" w:after="0" w:afterAutospacing="0" w:line="360" w:lineRule="auto"/>
              <w:ind w:left="0" w:right="0"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本项目水性涂料生产车间投料粉尘、包装口产生的挥发性有机废气采用一套“5个集气罩+UV光氧+活性炭吸附装置”处理后通过1根15m高的排气筒排放（DA002）。</w:t>
            </w:r>
          </w:p>
          <w:p w14:paraId="2616F79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rightChars="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D、</w:t>
            </w:r>
            <w:r>
              <w:rPr>
                <w:rFonts w:hint="default" w:ascii="Times New Roman" w:hAnsi="Times New Roman" w:eastAsia="宋体" w:cs="Times New Roman"/>
                <w:color w:val="auto"/>
                <w:sz w:val="24"/>
                <w:szCs w:val="24"/>
                <w:lang w:val="en-US" w:eastAsia="zh-CN"/>
              </w:rPr>
              <w:t>氨</w:t>
            </w:r>
          </w:p>
          <w:p w14:paraId="2ECEB3E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由于砂壁产品的辅料中添加了氨水（25%）作为水分散性涂料的阻聚剂，防止涂料在储存/运输/使用过程中过早成膜，也可以看成是一种乳化体系稳定剂。在砂壁产品生产过程，为常温，</w:t>
            </w:r>
            <w:r>
              <w:rPr>
                <w:rFonts w:hint="eastAsia" w:cs="Times New Roman"/>
                <w:color w:val="auto"/>
                <w:sz w:val="24"/>
                <w:szCs w:val="24"/>
                <w:lang w:val="en-US" w:eastAsia="zh-CN"/>
              </w:rPr>
              <w:t>氨水直接存放在包装桶中，仅在投放时开盖，接触空气，其他输送、搅拌等环节在密闭设备内可抑制氨挥发，因此氨的挥发量较小，</w:t>
            </w:r>
            <w:r>
              <w:rPr>
                <w:rFonts w:hint="default" w:ascii="Times New Roman" w:hAnsi="Times New Roman" w:eastAsia="宋体" w:cs="Times New Roman"/>
                <w:color w:val="auto"/>
                <w:sz w:val="24"/>
                <w:szCs w:val="24"/>
                <w:lang w:val="en-US" w:eastAsia="zh-CN"/>
              </w:rPr>
              <w:t>本项目使用的氨水量为17.5t/a，</w:t>
            </w:r>
            <w:r>
              <w:rPr>
                <w:rFonts w:hint="eastAsia" w:cs="Times New Roman"/>
                <w:color w:val="auto"/>
                <w:sz w:val="24"/>
                <w:szCs w:val="24"/>
                <w:lang w:val="en-US" w:eastAsia="zh-CN"/>
              </w:rPr>
              <w:t>类比同类型项目，</w:t>
            </w:r>
            <w:r>
              <w:rPr>
                <w:rFonts w:hint="default" w:ascii="Times New Roman" w:hAnsi="Times New Roman" w:eastAsia="宋体" w:cs="Times New Roman"/>
                <w:color w:val="auto"/>
                <w:sz w:val="24"/>
                <w:szCs w:val="24"/>
                <w:lang w:val="en-US" w:eastAsia="zh-CN"/>
              </w:rPr>
              <w:t>挥发量按其用量的4%计，全年挥发量为0.175 t/a，排放速率为0.08kg/h，呈无组织排放。</w:t>
            </w:r>
          </w:p>
          <w:p w14:paraId="426540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E、</w:t>
            </w:r>
            <w:r>
              <w:rPr>
                <w:rFonts w:hint="eastAsia" w:ascii="Times New Roman" w:hAnsi="Times New Roman" w:eastAsia="宋体" w:cs="Times New Roman"/>
                <w:b w:val="0"/>
                <w:bCs w:val="0"/>
                <w:color w:val="auto"/>
                <w:sz w:val="24"/>
                <w:szCs w:val="24"/>
                <w:lang w:val="en-US" w:eastAsia="zh-CN"/>
              </w:rPr>
              <w:t>水性涂料生产</w:t>
            </w:r>
            <w:r>
              <w:rPr>
                <w:rFonts w:hint="eastAsia" w:cs="Times New Roman"/>
                <w:b w:val="0"/>
                <w:bCs w:val="0"/>
                <w:color w:val="auto"/>
                <w:sz w:val="24"/>
                <w:szCs w:val="24"/>
                <w:lang w:val="en-US" w:eastAsia="zh-CN"/>
              </w:rPr>
              <w:t>车间</w:t>
            </w:r>
            <w:r>
              <w:rPr>
                <w:rFonts w:hint="eastAsia" w:ascii="Times New Roman" w:hAnsi="Times New Roman" w:eastAsia="宋体" w:cs="Times New Roman"/>
                <w:b w:val="0"/>
                <w:bCs w:val="0"/>
                <w:color w:val="auto"/>
                <w:sz w:val="24"/>
                <w:szCs w:val="24"/>
                <w:lang w:val="en-US" w:eastAsia="zh-CN"/>
              </w:rPr>
              <w:t>卸料</w:t>
            </w:r>
            <w:r>
              <w:rPr>
                <w:rFonts w:hint="eastAsia" w:cs="Times New Roman"/>
                <w:b w:val="0"/>
                <w:bCs w:val="0"/>
                <w:color w:val="auto"/>
                <w:sz w:val="24"/>
                <w:szCs w:val="24"/>
                <w:lang w:val="en-US" w:eastAsia="zh-CN"/>
              </w:rPr>
              <w:t>粉尘</w:t>
            </w:r>
          </w:p>
          <w:p w14:paraId="60FA048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color w:val="auto"/>
                <w:sz w:val="24"/>
                <w:szCs w:val="24"/>
                <w:lang w:val="en-US" w:eastAsia="zh-CN"/>
              </w:rPr>
              <w:t>水性涂料</w:t>
            </w:r>
            <w:r>
              <w:rPr>
                <w:rFonts w:hint="default" w:ascii="Times New Roman" w:hAnsi="Times New Roman" w:eastAsia="宋体" w:cs="Times New Roman"/>
                <w:color w:val="auto"/>
                <w:sz w:val="24"/>
                <w:szCs w:val="24"/>
                <w:lang w:val="en-US" w:eastAsia="zh-CN"/>
              </w:rPr>
              <w:t>生产车间设置有</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个</w:t>
            </w:r>
            <w:r>
              <w:rPr>
                <w:rFonts w:hint="eastAsia" w:cs="Times New Roman"/>
                <w:color w:val="auto"/>
                <w:sz w:val="24"/>
                <w:szCs w:val="24"/>
                <w:lang w:val="en-US" w:eastAsia="zh-CN"/>
              </w:rPr>
              <w:t>粉料</w:t>
            </w:r>
            <w:r>
              <w:rPr>
                <w:rFonts w:hint="default" w:ascii="Times New Roman" w:hAnsi="Times New Roman" w:eastAsia="宋体" w:cs="Times New Roman"/>
                <w:color w:val="auto"/>
                <w:sz w:val="24"/>
                <w:szCs w:val="24"/>
                <w:lang w:val="en-US" w:eastAsia="zh-CN"/>
              </w:rPr>
              <w:t>储料罐（存储钛白粉、重质碳酸钙、高岭土</w:t>
            </w:r>
            <w:r>
              <w:rPr>
                <w:rFonts w:hint="eastAsia" w:ascii="Times New Roman" w:hAnsi="Times New Roman" w:eastAsia="宋体" w:cs="Times New Roman"/>
                <w:color w:val="auto"/>
                <w:sz w:val="24"/>
                <w:szCs w:val="24"/>
                <w:lang w:val="en-US" w:eastAsia="zh-CN"/>
              </w:rPr>
              <w:t>、白砂</w:t>
            </w:r>
            <w:r>
              <w:rPr>
                <w:rFonts w:hint="default" w:ascii="Times New Roman" w:hAnsi="Times New Roman" w:eastAsia="宋体" w:cs="Times New Roman"/>
                <w:color w:val="auto"/>
                <w:sz w:val="24"/>
                <w:szCs w:val="24"/>
                <w:lang w:val="en-US" w:eastAsia="zh-CN"/>
              </w:rPr>
              <w:t>），卸料至粉料罐期间会产生粉尘，在储罐顶部设置脉冲布袋除尘装置，抑制储罐呼吸口粉尘外排。粉尘产生量</w:t>
            </w:r>
            <w:r>
              <w:rPr>
                <w:rFonts w:hint="default" w:ascii="Times New Roman" w:hAnsi="Times New Roman" w:eastAsia="宋体" w:cs="Times New Roman"/>
                <w:kern w:val="2"/>
                <w:sz w:val="24"/>
                <w:szCs w:val="24"/>
                <w:lang w:val="en-US" w:eastAsia="zh-CN"/>
              </w:rPr>
              <w:t>参考《北京市混凝土搅拌站扬尘排放因子及排放清单》（中国环境科学 2017.37（10）：3699-3707）表 3 混凝土搅拌站水泥卸料至筒仓无控制措施扬尘排放因子进行核算扬尘产生源强</w:t>
            </w:r>
            <w:r>
              <w:rPr>
                <w:rFonts w:hint="eastAsia" w:cs="Times New Roman"/>
                <w:kern w:val="2"/>
                <w:sz w:val="24"/>
                <w:szCs w:val="24"/>
                <w:lang w:val="en-US" w:eastAsia="zh-CN"/>
              </w:rPr>
              <w:t>，</w:t>
            </w:r>
            <w:r>
              <w:rPr>
                <w:rFonts w:hint="default" w:ascii="Times New Roman" w:hAnsi="Times New Roman" w:eastAsia="宋体" w:cs="Times New Roman"/>
                <w:kern w:val="2"/>
                <w:sz w:val="24"/>
                <w:szCs w:val="24"/>
                <w:lang w:val="en-US" w:eastAsia="zh-CN"/>
              </w:rPr>
              <w:t>卸料至筒仓扬尘产生系数为0.36</w:t>
            </w:r>
            <w:r>
              <w:rPr>
                <w:rFonts w:hint="default" w:ascii="Times New Roman" w:hAnsi="Times New Roman" w:eastAsia="宋体" w:cs="Times New Roman"/>
                <w:sz w:val="24"/>
                <w:szCs w:val="24"/>
                <w:lang w:eastAsia="zh-CN"/>
              </w:rPr>
              <w:t>kg/t（</w:t>
            </w:r>
            <w:r>
              <w:rPr>
                <w:rFonts w:hint="default" w:ascii="Times New Roman" w:hAnsi="Times New Roman" w:eastAsia="宋体" w:cs="Times New Roman"/>
                <w:sz w:val="24"/>
                <w:szCs w:val="24"/>
                <w:lang w:val="en-US" w:eastAsia="zh-CN"/>
              </w:rPr>
              <w:t>原料</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color w:val="auto"/>
                <w:sz w:val="24"/>
                <w:szCs w:val="24"/>
                <w:lang w:val="en-US" w:eastAsia="zh-CN"/>
              </w:rPr>
              <w:t>，进料时间约为</w:t>
            </w:r>
            <w:r>
              <w:rPr>
                <w:rFonts w:hint="eastAsia"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lang w:val="en-US" w:eastAsia="zh-CN"/>
              </w:rPr>
              <w:t>h/d，则粉尘产生量为</w:t>
            </w:r>
            <w:r>
              <w:rPr>
                <w:rFonts w:hint="eastAsia" w:ascii="Times New Roman" w:hAnsi="Times New Roman" w:eastAsia="宋体" w:cs="Times New Roman"/>
                <w:color w:val="auto"/>
                <w:sz w:val="24"/>
                <w:szCs w:val="24"/>
                <w:lang w:val="en-US" w:eastAsia="zh-CN"/>
              </w:rPr>
              <w:t>19.55</w:t>
            </w:r>
            <w:r>
              <w:rPr>
                <w:rFonts w:hint="default" w:ascii="Times New Roman" w:hAnsi="Times New Roman" w:eastAsia="宋体" w:cs="Times New Roman"/>
                <w:color w:val="auto"/>
                <w:sz w:val="24"/>
                <w:szCs w:val="24"/>
                <w:lang w:val="en-US" w:eastAsia="zh-CN"/>
              </w:rPr>
              <w:t>t/a，产生速率为</w:t>
            </w:r>
            <w:r>
              <w:rPr>
                <w:rFonts w:hint="eastAsia" w:ascii="Times New Roman" w:hAnsi="Times New Roman" w:eastAsia="宋体" w:cs="Times New Roman"/>
                <w:color w:val="auto"/>
                <w:sz w:val="24"/>
                <w:szCs w:val="24"/>
                <w:lang w:val="en-US" w:eastAsia="zh-CN"/>
              </w:rPr>
              <w:t>28.4</w:t>
            </w:r>
            <w:r>
              <w:rPr>
                <w:rFonts w:hint="default" w:ascii="Times New Roman" w:hAnsi="Times New Roman" w:eastAsia="宋体" w:cs="Times New Roman"/>
                <w:sz w:val="24"/>
                <w:szCs w:val="24"/>
                <w:lang w:eastAsia="zh-CN"/>
              </w:rPr>
              <w:t>kg/</w:t>
            </w:r>
            <w:r>
              <w:rPr>
                <w:rFonts w:hint="default" w:ascii="Times New Roman" w:hAnsi="Times New Roman" w:eastAsia="宋体" w:cs="Times New Roman"/>
                <w:sz w:val="24"/>
                <w:szCs w:val="24"/>
                <w:lang w:val="en-US" w:eastAsia="zh-CN"/>
              </w:rPr>
              <w:t>h。</w:t>
            </w:r>
            <w:r>
              <w:rPr>
                <w:rFonts w:hint="default" w:ascii="Times New Roman" w:hAnsi="Times New Roman" w:eastAsia="宋体" w:cs="Times New Roman"/>
                <w:color w:val="auto"/>
                <w:sz w:val="24"/>
                <w:szCs w:val="24"/>
                <w:lang w:val="en-US" w:eastAsia="zh-CN"/>
              </w:rPr>
              <w:t>脉冲布袋除尘装置去除效率为99%，则外排的粉尘约为</w:t>
            </w:r>
            <w:r>
              <w:rPr>
                <w:rFonts w:hint="eastAsia" w:ascii="Times New Roman" w:hAnsi="Times New Roman" w:eastAsia="宋体" w:cs="Times New Roman"/>
                <w:color w:val="auto"/>
                <w:sz w:val="24"/>
                <w:szCs w:val="24"/>
                <w:lang w:val="en-US" w:eastAsia="zh-CN"/>
              </w:rPr>
              <w:t>0.2</w:t>
            </w:r>
            <w:r>
              <w:rPr>
                <w:rFonts w:hint="default" w:ascii="Times New Roman" w:hAnsi="Times New Roman" w:eastAsia="宋体" w:cs="Times New Roman"/>
                <w:color w:val="auto"/>
                <w:sz w:val="24"/>
                <w:szCs w:val="24"/>
                <w:lang w:val="en-US" w:eastAsia="zh-CN"/>
              </w:rPr>
              <w:t>t/a，外排速率为</w:t>
            </w:r>
            <w:r>
              <w:rPr>
                <w:rFonts w:hint="eastAsia" w:ascii="Times New Roman" w:hAnsi="Times New Roman" w:eastAsia="宋体" w:cs="Times New Roman"/>
                <w:color w:val="auto"/>
                <w:sz w:val="24"/>
                <w:szCs w:val="24"/>
                <w:lang w:val="en-US" w:eastAsia="zh-CN"/>
              </w:rPr>
              <w:t>0.28</w:t>
            </w:r>
            <w:r>
              <w:rPr>
                <w:rFonts w:hint="default" w:ascii="Times New Roman" w:hAnsi="Times New Roman" w:eastAsia="宋体" w:cs="Times New Roman"/>
                <w:sz w:val="24"/>
                <w:szCs w:val="24"/>
                <w:lang w:eastAsia="zh-CN"/>
              </w:rPr>
              <w:t>kg/</w:t>
            </w:r>
            <w:r>
              <w:rPr>
                <w:rFonts w:hint="default" w:ascii="Times New Roman" w:hAnsi="Times New Roman" w:eastAsia="宋体" w:cs="Times New Roman"/>
                <w:sz w:val="24"/>
                <w:szCs w:val="24"/>
                <w:lang w:val="en-US" w:eastAsia="zh-CN"/>
              </w:rPr>
              <w:t>h。</w:t>
            </w:r>
          </w:p>
          <w:p w14:paraId="24C38EEB">
            <w:pPr>
              <w:pStyle w:val="2"/>
              <w:keepNext w:val="0"/>
              <w:keepLines w:val="0"/>
              <w:suppressLineNumbers w:val="0"/>
              <w:spacing w:before="0" w:beforeAutospacing="0" w:after="0" w:afterAutospacing="0"/>
              <w:ind w:left="0" w:right="0" w:firstLine="480" w:firstLineChars="200"/>
              <w:rPr>
                <w:rFonts w:hint="default"/>
                <w:lang w:val="en-US" w:eastAsia="zh-CN"/>
              </w:rPr>
            </w:pPr>
            <w:r>
              <w:rPr>
                <w:rFonts w:hint="eastAsia" w:cs="Times New Roman"/>
                <w:sz w:val="24"/>
                <w:szCs w:val="24"/>
                <w:lang w:val="en-US" w:eastAsia="zh-CN"/>
              </w:rPr>
              <w:t>综上分析，水性涂料生产车间废气产排情况见下表。</w:t>
            </w:r>
          </w:p>
          <w:p w14:paraId="4F5A3ABC">
            <w:pPr>
              <w:pStyle w:val="2"/>
              <w:keepNext w:val="0"/>
              <w:keepLines w:val="0"/>
              <w:suppressLineNumbers w:val="0"/>
              <w:spacing w:before="0" w:beforeAutospacing="0" w:after="0" w:afterAutospacing="0"/>
              <w:ind w:left="0" w:right="0"/>
              <w:jc w:val="center"/>
              <w:rPr>
                <w:rFonts w:hint="eastAsia"/>
                <w:b/>
                <w:bCs/>
                <w:sz w:val="21"/>
                <w:szCs w:val="21"/>
                <w:lang w:val="en-US" w:eastAsia="zh-CN"/>
              </w:rPr>
            </w:pPr>
          </w:p>
          <w:p w14:paraId="671327F1">
            <w:pPr>
              <w:pStyle w:val="2"/>
              <w:keepNext w:val="0"/>
              <w:keepLines w:val="0"/>
              <w:suppressLineNumbers w:val="0"/>
              <w:spacing w:before="0" w:beforeAutospacing="0" w:after="0" w:afterAutospacing="0"/>
              <w:ind w:left="0" w:right="0"/>
              <w:jc w:val="center"/>
              <w:rPr>
                <w:rFonts w:hint="eastAsia"/>
                <w:b/>
                <w:bCs/>
                <w:sz w:val="21"/>
                <w:szCs w:val="21"/>
                <w:lang w:val="en-US" w:eastAsia="zh-CN"/>
              </w:rPr>
            </w:pPr>
          </w:p>
          <w:p w14:paraId="0F7E1F70">
            <w:pPr>
              <w:pStyle w:val="2"/>
              <w:keepNext w:val="0"/>
              <w:keepLines w:val="0"/>
              <w:suppressLineNumbers w:val="0"/>
              <w:spacing w:before="0" w:beforeAutospacing="0" w:after="0" w:afterAutospacing="0"/>
              <w:ind w:left="0" w:right="0"/>
              <w:jc w:val="center"/>
              <w:rPr>
                <w:rFonts w:hint="default"/>
                <w:b/>
                <w:bCs/>
                <w:sz w:val="21"/>
                <w:szCs w:val="21"/>
                <w:lang w:val="en-US" w:eastAsia="zh-CN"/>
              </w:rPr>
            </w:pPr>
            <w:r>
              <w:rPr>
                <w:rFonts w:hint="eastAsia"/>
                <w:b/>
                <w:bCs/>
                <w:sz w:val="21"/>
                <w:szCs w:val="21"/>
                <w:lang w:val="en-US" w:eastAsia="zh-CN"/>
              </w:rPr>
              <w:t>表4-2  水性涂料生产车间废气产排情况一览表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644"/>
              <w:gridCol w:w="729"/>
              <w:gridCol w:w="943"/>
              <w:gridCol w:w="996"/>
              <w:gridCol w:w="1136"/>
              <w:gridCol w:w="857"/>
              <w:gridCol w:w="804"/>
              <w:gridCol w:w="959"/>
              <w:gridCol w:w="929"/>
            </w:tblGrid>
            <w:tr w14:paraId="784CA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14:paraId="57B4B53A">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产污环节</w:t>
                  </w:r>
                </w:p>
              </w:tc>
              <w:tc>
                <w:tcPr>
                  <w:tcW w:w="382" w:type="pct"/>
                  <w:vAlign w:val="center"/>
                </w:tcPr>
                <w:p w14:paraId="60C2C6B5">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排放形式</w:t>
                  </w:r>
                </w:p>
              </w:tc>
              <w:tc>
                <w:tcPr>
                  <w:tcW w:w="432" w:type="pct"/>
                  <w:vAlign w:val="center"/>
                </w:tcPr>
                <w:p w14:paraId="09515DF1">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污染因子</w:t>
                  </w:r>
                </w:p>
              </w:tc>
              <w:tc>
                <w:tcPr>
                  <w:tcW w:w="560" w:type="pct"/>
                  <w:vAlign w:val="center"/>
                </w:tcPr>
                <w:p w14:paraId="722F2E7F">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产生量（t/a）</w:t>
                  </w:r>
                </w:p>
              </w:tc>
              <w:tc>
                <w:tcPr>
                  <w:tcW w:w="591" w:type="pct"/>
                  <w:vAlign w:val="center"/>
                </w:tcPr>
                <w:p w14:paraId="444DB11F">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产生速率（kg/h）</w:t>
                  </w:r>
                </w:p>
              </w:tc>
              <w:tc>
                <w:tcPr>
                  <w:tcW w:w="674" w:type="pct"/>
                  <w:vAlign w:val="center"/>
                </w:tcPr>
                <w:p w14:paraId="5949CFE6">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产生浓度（mg/m</w:t>
                  </w:r>
                  <w:r>
                    <w:rPr>
                      <w:rFonts w:hint="eastAsia"/>
                      <w:b/>
                      <w:bCs/>
                      <w:sz w:val="21"/>
                      <w:szCs w:val="21"/>
                      <w:vertAlign w:val="superscript"/>
                      <w:lang w:val="en-US" w:eastAsia="zh-CN"/>
                    </w:rPr>
                    <w:t>3</w:t>
                  </w:r>
                  <w:r>
                    <w:rPr>
                      <w:rFonts w:hint="eastAsia"/>
                      <w:b/>
                      <w:bCs/>
                      <w:sz w:val="21"/>
                      <w:szCs w:val="21"/>
                      <w:vertAlign w:val="baseline"/>
                      <w:lang w:val="en-US" w:eastAsia="zh-CN"/>
                    </w:rPr>
                    <w:t>）</w:t>
                  </w:r>
                </w:p>
              </w:tc>
              <w:tc>
                <w:tcPr>
                  <w:tcW w:w="508" w:type="pct"/>
                  <w:vAlign w:val="center"/>
                </w:tcPr>
                <w:p w14:paraId="236BCD81">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处置措施</w:t>
                  </w:r>
                </w:p>
              </w:tc>
              <w:tc>
                <w:tcPr>
                  <w:tcW w:w="477" w:type="pct"/>
                  <w:vAlign w:val="center"/>
                </w:tcPr>
                <w:p w14:paraId="7B2A6B6A">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排放量（t/a）</w:t>
                  </w:r>
                </w:p>
              </w:tc>
              <w:tc>
                <w:tcPr>
                  <w:tcW w:w="569" w:type="pct"/>
                  <w:vAlign w:val="center"/>
                </w:tcPr>
                <w:p w14:paraId="73936334">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排放速率（kg/h）</w:t>
                  </w:r>
                </w:p>
              </w:tc>
              <w:tc>
                <w:tcPr>
                  <w:tcW w:w="551" w:type="pct"/>
                  <w:vAlign w:val="center"/>
                </w:tcPr>
                <w:p w14:paraId="18255049">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排放浓度（mg/m</w:t>
                  </w:r>
                  <w:r>
                    <w:rPr>
                      <w:rFonts w:hint="eastAsia"/>
                      <w:b/>
                      <w:bCs/>
                      <w:sz w:val="21"/>
                      <w:szCs w:val="21"/>
                      <w:vertAlign w:val="superscript"/>
                      <w:lang w:val="en-US" w:eastAsia="zh-CN"/>
                    </w:rPr>
                    <w:t>3</w:t>
                  </w:r>
                  <w:r>
                    <w:rPr>
                      <w:rFonts w:hint="eastAsia"/>
                      <w:b/>
                      <w:bCs/>
                      <w:sz w:val="21"/>
                      <w:szCs w:val="21"/>
                      <w:vertAlign w:val="baseline"/>
                      <w:lang w:val="en-US" w:eastAsia="zh-CN"/>
                    </w:rPr>
                    <w:t>）</w:t>
                  </w:r>
                </w:p>
              </w:tc>
            </w:tr>
            <w:tr w14:paraId="4ADA9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restart"/>
                  <w:vAlign w:val="center"/>
                </w:tcPr>
                <w:p w14:paraId="456E34CE">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投料</w:t>
                  </w:r>
                </w:p>
              </w:tc>
              <w:tc>
                <w:tcPr>
                  <w:tcW w:w="382" w:type="pct"/>
                  <w:vAlign w:val="center"/>
                </w:tcPr>
                <w:p w14:paraId="5D69930E">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有组织</w:t>
                  </w:r>
                </w:p>
              </w:tc>
              <w:tc>
                <w:tcPr>
                  <w:tcW w:w="432" w:type="pct"/>
                  <w:vAlign w:val="center"/>
                </w:tcPr>
                <w:p w14:paraId="788224F7">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TSP</w:t>
                  </w:r>
                </w:p>
              </w:tc>
              <w:tc>
                <w:tcPr>
                  <w:tcW w:w="560" w:type="pct"/>
                  <w:vAlign w:val="center"/>
                </w:tcPr>
                <w:p w14:paraId="7AF9AAC9">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1.84</w:t>
                  </w:r>
                </w:p>
              </w:tc>
              <w:tc>
                <w:tcPr>
                  <w:tcW w:w="591" w:type="pct"/>
                  <w:vAlign w:val="center"/>
                </w:tcPr>
                <w:p w14:paraId="552F416A">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0.794</w:t>
                  </w:r>
                </w:p>
              </w:tc>
              <w:tc>
                <w:tcPr>
                  <w:tcW w:w="674" w:type="pct"/>
                  <w:vAlign w:val="center"/>
                </w:tcPr>
                <w:p w14:paraId="475CD4AB">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132</w:t>
                  </w:r>
                </w:p>
              </w:tc>
              <w:tc>
                <w:tcPr>
                  <w:tcW w:w="508" w:type="pct"/>
                  <w:vMerge w:val="restart"/>
                  <w:vAlign w:val="center"/>
                </w:tcPr>
                <w:p w14:paraId="3DA873D3">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布袋除尘+</w:t>
                  </w:r>
                  <w:r>
                    <w:rPr>
                      <w:rFonts w:hint="eastAsia" w:cs="Times New Roman"/>
                      <w:color w:val="auto"/>
                      <w:sz w:val="21"/>
                      <w:szCs w:val="21"/>
                      <w:lang w:val="en-US" w:eastAsia="zh-CN"/>
                    </w:rPr>
                    <w:t>UV光氧+活性炭吸附装置</w:t>
                  </w:r>
                </w:p>
              </w:tc>
              <w:tc>
                <w:tcPr>
                  <w:tcW w:w="477" w:type="pct"/>
                  <w:vAlign w:val="center"/>
                </w:tcPr>
                <w:p w14:paraId="0F3FE98D">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0.018</w:t>
                  </w:r>
                </w:p>
              </w:tc>
              <w:tc>
                <w:tcPr>
                  <w:tcW w:w="569" w:type="pct"/>
                  <w:vAlign w:val="center"/>
                </w:tcPr>
                <w:p w14:paraId="6BC70B3C">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0.008</w:t>
                  </w:r>
                </w:p>
              </w:tc>
              <w:tc>
                <w:tcPr>
                  <w:tcW w:w="551" w:type="pct"/>
                  <w:vAlign w:val="center"/>
                </w:tcPr>
                <w:p w14:paraId="2F267A72">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1.32</w:t>
                  </w:r>
                </w:p>
              </w:tc>
            </w:tr>
            <w:tr w14:paraId="28AD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vAlign w:val="center"/>
                </w:tcPr>
                <w:p w14:paraId="7E3518D4">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p>
              </w:tc>
              <w:tc>
                <w:tcPr>
                  <w:tcW w:w="382" w:type="pct"/>
                  <w:vAlign w:val="center"/>
                </w:tcPr>
                <w:p w14:paraId="0D04378F">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无组织</w:t>
                  </w:r>
                </w:p>
              </w:tc>
              <w:tc>
                <w:tcPr>
                  <w:tcW w:w="432" w:type="pct"/>
                  <w:vAlign w:val="center"/>
                </w:tcPr>
                <w:p w14:paraId="4868B074">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TSP</w:t>
                  </w:r>
                </w:p>
              </w:tc>
              <w:tc>
                <w:tcPr>
                  <w:tcW w:w="560" w:type="pct"/>
                  <w:vAlign w:val="center"/>
                </w:tcPr>
                <w:p w14:paraId="276CF1CE">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0.46</w:t>
                  </w:r>
                </w:p>
              </w:tc>
              <w:tc>
                <w:tcPr>
                  <w:tcW w:w="591" w:type="pct"/>
                  <w:vAlign w:val="center"/>
                </w:tcPr>
                <w:p w14:paraId="67105F3C">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0.2</w:t>
                  </w:r>
                </w:p>
              </w:tc>
              <w:tc>
                <w:tcPr>
                  <w:tcW w:w="674" w:type="pct"/>
                  <w:vAlign w:val="center"/>
                </w:tcPr>
                <w:p w14:paraId="1EF41387">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508" w:type="pct"/>
                  <w:vMerge w:val="continue"/>
                  <w:vAlign w:val="center"/>
                </w:tcPr>
                <w:p w14:paraId="3E1FCF13">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p>
              </w:tc>
              <w:tc>
                <w:tcPr>
                  <w:tcW w:w="477" w:type="pct"/>
                  <w:vAlign w:val="center"/>
                </w:tcPr>
                <w:p w14:paraId="03B0D1B7">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0.46</w:t>
                  </w:r>
                </w:p>
              </w:tc>
              <w:tc>
                <w:tcPr>
                  <w:tcW w:w="569" w:type="pct"/>
                  <w:vAlign w:val="center"/>
                </w:tcPr>
                <w:p w14:paraId="39D38463">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0.2</w:t>
                  </w:r>
                </w:p>
              </w:tc>
              <w:tc>
                <w:tcPr>
                  <w:tcW w:w="551" w:type="pct"/>
                  <w:vAlign w:val="center"/>
                </w:tcPr>
                <w:p w14:paraId="0DE7AF4C">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r>
            <w:tr w14:paraId="328D7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50" w:type="pct"/>
                  <w:vMerge w:val="restart"/>
                  <w:vAlign w:val="center"/>
                </w:tcPr>
                <w:p w14:paraId="3BF714CB">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包装</w:t>
                  </w:r>
                </w:p>
              </w:tc>
              <w:tc>
                <w:tcPr>
                  <w:tcW w:w="382" w:type="pct"/>
                  <w:vAlign w:val="center"/>
                </w:tcPr>
                <w:p w14:paraId="707B6CD0">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有组织</w:t>
                  </w:r>
                </w:p>
              </w:tc>
              <w:tc>
                <w:tcPr>
                  <w:tcW w:w="432" w:type="pct"/>
                  <w:vAlign w:val="center"/>
                </w:tcPr>
                <w:p w14:paraId="6EB2AC8A">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非甲烷总烃</w:t>
                  </w:r>
                </w:p>
              </w:tc>
              <w:tc>
                <w:tcPr>
                  <w:tcW w:w="560" w:type="pct"/>
                  <w:vAlign w:val="center"/>
                </w:tcPr>
                <w:p w14:paraId="2E2A7F93">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0.23</w:t>
                  </w:r>
                </w:p>
              </w:tc>
              <w:tc>
                <w:tcPr>
                  <w:tcW w:w="591" w:type="pct"/>
                  <w:vAlign w:val="center"/>
                </w:tcPr>
                <w:p w14:paraId="4DC749CC">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0.255</w:t>
                  </w:r>
                </w:p>
              </w:tc>
              <w:tc>
                <w:tcPr>
                  <w:tcW w:w="674" w:type="pct"/>
                  <w:vAlign w:val="center"/>
                </w:tcPr>
                <w:p w14:paraId="7B12FA10">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42.5</w:t>
                  </w:r>
                </w:p>
              </w:tc>
              <w:tc>
                <w:tcPr>
                  <w:tcW w:w="508" w:type="pct"/>
                  <w:vMerge w:val="continue"/>
                  <w:vAlign w:val="center"/>
                </w:tcPr>
                <w:p w14:paraId="79BA72D3">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p>
              </w:tc>
              <w:tc>
                <w:tcPr>
                  <w:tcW w:w="477" w:type="pct"/>
                  <w:vAlign w:val="center"/>
                </w:tcPr>
                <w:p w14:paraId="2814071B">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0.069</w:t>
                  </w:r>
                </w:p>
              </w:tc>
              <w:tc>
                <w:tcPr>
                  <w:tcW w:w="569" w:type="pct"/>
                  <w:vAlign w:val="center"/>
                </w:tcPr>
                <w:p w14:paraId="20C92015">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0.077</w:t>
                  </w:r>
                </w:p>
              </w:tc>
              <w:tc>
                <w:tcPr>
                  <w:tcW w:w="551" w:type="pct"/>
                  <w:vAlign w:val="center"/>
                </w:tcPr>
                <w:p w14:paraId="220ABF3E">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11.5</w:t>
                  </w:r>
                </w:p>
              </w:tc>
            </w:tr>
            <w:tr w14:paraId="6A845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50" w:type="pct"/>
                  <w:vMerge w:val="continue"/>
                  <w:vAlign w:val="center"/>
                </w:tcPr>
                <w:p w14:paraId="369E2E55">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p>
              </w:tc>
              <w:tc>
                <w:tcPr>
                  <w:tcW w:w="382" w:type="pct"/>
                  <w:vAlign w:val="center"/>
                </w:tcPr>
                <w:p w14:paraId="0D383017">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无组织</w:t>
                  </w:r>
                </w:p>
              </w:tc>
              <w:tc>
                <w:tcPr>
                  <w:tcW w:w="432" w:type="pct"/>
                  <w:vAlign w:val="center"/>
                </w:tcPr>
                <w:p w14:paraId="42F45328">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非甲烷总烃</w:t>
                  </w:r>
                </w:p>
              </w:tc>
              <w:tc>
                <w:tcPr>
                  <w:tcW w:w="560" w:type="pct"/>
                  <w:vAlign w:val="center"/>
                </w:tcPr>
                <w:p w14:paraId="5A4F267B">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0.058</w:t>
                  </w:r>
                </w:p>
              </w:tc>
              <w:tc>
                <w:tcPr>
                  <w:tcW w:w="591" w:type="pct"/>
                  <w:vAlign w:val="center"/>
                </w:tcPr>
                <w:p w14:paraId="6340458F">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0.064</w:t>
                  </w:r>
                </w:p>
              </w:tc>
              <w:tc>
                <w:tcPr>
                  <w:tcW w:w="674" w:type="pct"/>
                  <w:vAlign w:val="center"/>
                </w:tcPr>
                <w:p w14:paraId="6BFD1D50">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508" w:type="pct"/>
                  <w:vMerge w:val="continue"/>
                  <w:vAlign w:val="center"/>
                </w:tcPr>
                <w:p w14:paraId="042999F4">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p>
              </w:tc>
              <w:tc>
                <w:tcPr>
                  <w:tcW w:w="477" w:type="pct"/>
                  <w:vAlign w:val="center"/>
                </w:tcPr>
                <w:p w14:paraId="3A31C07E">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0.058</w:t>
                  </w:r>
                </w:p>
              </w:tc>
              <w:tc>
                <w:tcPr>
                  <w:tcW w:w="569" w:type="pct"/>
                  <w:vAlign w:val="center"/>
                </w:tcPr>
                <w:p w14:paraId="07D5DC74">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0.064</w:t>
                  </w:r>
                </w:p>
              </w:tc>
              <w:tc>
                <w:tcPr>
                  <w:tcW w:w="551" w:type="pct"/>
                  <w:vAlign w:val="center"/>
                </w:tcPr>
                <w:p w14:paraId="3AD15482">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r>
            <w:tr w14:paraId="5B426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14:paraId="5BD8C54A">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氨挥发</w:t>
                  </w:r>
                </w:p>
              </w:tc>
              <w:tc>
                <w:tcPr>
                  <w:tcW w:w="382" w:type="pct"/>
                  <w:vAlign w:val="center"/>
                </w:tcPr>
                <w:p w14:paraId="629498B0">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无组织</w:t>
                  </w:r>
                </w:p>
              </w:tc>
              <w:tc>
                <w:tcPr>
                  <w:tcW w:w="432" w:type="pct"/>
                  <w:vAlign w:val="center"/>
                </w:tcPr>
                <w:p w14:paraId="40417D8B">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氨</w:t>
                  </w:r>
                </w:p>
              </w:tc>
              <w:tc>
                <w:tcPr>
                  <w:tcW w:w="560" w:type="pct"/>
                  <w:vAlign w:val="center"/>
                </w:tcPr>
                <w:p w14:paraId="52CED653">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0.175</w:t>
                  </w:r>
                </w:p>
              </w:tc>
              <w:tc>
                <w:tcPr>
                  <w:tcW w:w="591" w:type="pct"/>
                  <w:vAlign w:val="center"/>
                </w:tcPr>
                <w:p w14:paraId="5925433E">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0.08</w:t>
                  </w:r>
                </w:p>
              </w:tc>
              <w:tc>
                <w:tcPr>
                  <w:tcW w:w="674" w:type="pct"/>
                  <w:vAlign w:val="center"/>
                </w:tcPr>
                <w:p w14:paraId="1B16B701">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508" w:type="pct"/>
                  <w:vAlign w:val="center"/>
                </w:tcPr>
                <w:p w14:paraId="083DB21E">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477" w:type="pct"/>
                  <w:vAlign w:val="center"/>
                </w:tcPr>
                <w:p w14:paraId="35865EA9">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0.175</w:t>
                  </w:r>
                </w:p>
              </w:tc>
              <w:tc>
                <w:tcPr>
                  <w:tcW w:w="569" w:type="pct"/>
                  <w:vAlign w:val="center"/>
                </w:tcPr>
                <w:p w14:paraId="5B552119">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0.08</w:t>
                  </w:r>
                </w:p>
              </w:tc>
              <w:tc>
                <w:tcPr>
                  <w:tcW w:w="551" w:type="pct"/>
                  <w:vAlign w:val="center"/>
                </w:tcPr>
                <w:p w14:paraId="7975394E">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r>
            <w:tr w14:paraId="01AEA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14:paraId="2A3C6CB6">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卸料至粉料罐</w:t>
                  </w:r>
                </w:p>
              </w:tc>
              <w:tc>
                <w:tcPr>
                  <w:tcW w:w="382" w:type="pct"/>
                  <w:vAlign w:val="center"/>
                </w:tcPr>
                <w:p w14:paraId="561FEA77">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无组织</w:t>
                  </w:r>
                </w:p>
              </w:tc>
              <w:tc>
                <w:tcPr>
                  <w:tcW w:w="432" w:type="pct"/>
                  <w:vAlign w:val="center"/>
                </w:tcPr>
                <w:p w14:paraId="6CC684B8">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粉尘</w:t>
                  </w:r>
                </w:p>
              </w:tc>
              <w:tc>
                <w:tcPr>
                  <w:tcW w:w="560" w:type="pct"/>
                  <w:vAlign w:val="center"/>
                </w:tcPr>
                <w:p w14:paraId="62D1F7CC">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19.55</w:t>
                  </w:r>
                </w:p>
              </w:tc>
              <w:tc>
                <w:tcPr>
                  <w:tcW w:w="591" w:type="pct"/>
                  <w:vAlign w:val="center"/>
                </w:tcPr>
                <w:p w14:paraId="63EC0B9F">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28.4</w:t>
                  </w:r>
                </w:p>
              </w:tc>
              <w:tc>
                <w:tcPr>
                  <w:tcW w:w="674" w:type="pct"/>
                  <w:vAlign w:val="center"/>
                </w:tcPr>
                <w:p w14:paraId="5C45E5FE">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508" w:type="pct"/>
                  <w:vAlign w:val="center"/>
                </w:tcPr>
                <w:p w14:paraId="7A499238">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脉冲布袋除尘装置收集效率99%</w:t>
                  </w:r>
                </w:p>
              </w:tc>
              <w:tc>
                <w:tcPr>
                  <w:tcW w:w="477" w:type="pct"/>
                  <w:vAlign w:val="center"/>
                </w:tcPr>
                <w:p w14:paraId="6A3019C2">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0.2</w:t>
                  </w:r>
                </w:p>
              </w:tc>
              <w:tc>
                <w:tcPr>
                  <w:tcW w:w="569" w:type="pct"/>
                  <w:vAlign w:val="center"/>
                </w:tcPr>
                <w:p w14:paraId="2EFCE4CE">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0.28</w:t>
                  </w:r>
                </w:p>
              </w:tc>
              <w:tc>
                <w:tcPr>
                  <w:tcW w:w="551" w:type="pct"/>
                  <w:vAlign w:val="center"/>
                </w:tcPr>
                <w:p w14:paraId="49BC7011">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r>
          </w:tbl>
          <w:p w14:paraId="5DFD90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②</w:t>
            </w:r>
            <w:r>
              <w:rPr>
                <w:rFonts w:hint="default" w:ascii="Times New Roman" w:hAnsi="Times New Roman" w:eastAsia="宋体" w:cs="Times New Roman"/>
                <w:b/>
                <w:bCs/>
                <w:color w:val="auto"/>
                <w:sz w:val="24"/>
                <w:szCs w:val="24"/>
                <w:lang w:val="en-US" w:eastAsia="zh-CN"/>
              </w:rPr>
              <w:t>腻子粉生产</w:t>
            </w:r>
            <w:r>
              <w:rPr>
                <w:rFonts w:hint="eastAsia" w:cs="Times New Roman"/>
                <w:b/>
                <w:bCs/>
                <w:color w:val="auto"/>
                <w:sz w:val="24"/>
                <w:szCs w:val="24"/>
                <w:lang w:val="en-US" w:eastAsia="zh-CN"/>
              </w:rPr>
              <w:t>车间</w:t>
            </w:r>
            <w:r>
              <w:rPr>
                <w:rFonts w:hint="default" w:ascii="Times New Roman" w:hAnsi="Times New Roman" w:eastAsia="宋体" w:cs="Times New Roman"/>
                <w:b/>
                <w:bCs/>
                <w:color w:val="auto"/>
                <w:sz w:val="24"/>
                <w:szCs w:val="24"/>
                <w:lang w:val="en-US" w:eastAsia="zh-CN"/>
              </w:rPr>
              <w:t>废气</w:t>
            </w:r>
          </w:p>
          <w:p w14:paraId="7EC7896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腻子粉生产线生产过程中是将生产所需的水泥、白砂、碳酸钙和纤维素通过干式搅拌混合后成为产品；该生产线的物料输送为气流输送，设施内为负压；生产车间厂房封闭，设置有单独的投料间。在投料口、配料口、</w:t>
            </w:r>
            <w:r>
              <w:rPr>
                <w:rFonts w:hint="eastAsia" w:cs="Times New Roman"/>
                <w:color w:val="auto"/>
                <w:sz w:val="24"/>
                <w:szCs w:val="24"/>
                <w:lang w:val="en-US" w:eastAsia="zh-CN"/>
              </w:rPr>
              <w:t>混料槽</w:t>
            </w:r>
            <w:r>
              <w:rPr>
                <w:rFonts w:hint="default" w:ascii="Times New Roman" w:hAnsi="Times New Roman" w:eastAsia="宋体" w:cs="Times New Roman"/>
                <w:color w:val="auto"/>
                <w:sz w:val="24"/>
                <w:szCs w:val="24"/>
                <w:lang w:val="en-US" w:eastAsia="zh-CN"/>
              </w:rPr>
              <w:t>设置抽风口，产生的粉尘经24个集气罩收集后进入1套集中式滤筒除尘器处理后，通过15m高的排气筒排放（DA001）；包装机包装粉尘采用旋风除尘器处理后，无组织排放。粉料罐顶部设置脉冲布袋除尘装置，抑制粉尘外排。</w:t>
            </w:r>
          </w:p>
          <w:p w14:paraId="0DF5B224">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投料、配料、</w:t>
            </w:r>
            <w:r>
              <w:rPr>
                <w:rFonts w:hint="eastAsia" w:cs="Times New Roman"/>
                <w:color w:val="auto"/>
                <w:sz w:val="24"/>
                <w:szCs w:val="24"/>
                <w:lang w:val="en-US" w:eastAsia="zh-CN"/>
              </w:rPr>
              <w:t>混料</w:t>
            </w:r>
            <w:r>
              <w:rPr>
                <w:rFonts w:hint="default" w:ascii="Times New Roman" w:hAnsi="Times New Roman" w:eastAsia="宋体" w:cs="Times New Roman"/>
                <w:color w:val="auto"/>
                <w:sz w:val="24"/>
                <w:szCs w:val="24"/>
                <w:lang w:val="en-US" w:eastAsia="zh-CN"/>
              </w:rPr>
              <w:t>粉尘</w:t>
            </w:r>
          </w:p>
          <w:p w14:paraId="5BE7F3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本项目扩建完成后，年产腻子粉120000吨</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投料、配料、</w:t>
            </w:r>
            <w:r>
              <w:rPr>
                <w:rFonts w:hint="eastAsia" w:cs="Times New Roman"/>
                <w:color w:val="auto"/>
                <w:sz w:val="24"/>
                <w:szCs w:val="24"/>
                <w:lang w:val="en-US" w:eastAsia="zh-CN"/>
              </w:rPr>
              <w:t>混料</w:t>
            </w:r>
            <w:r>
              <w:rPr>
                <w:rFonts w:hint="default" w:ascii="Times New Roman" w:hAnsi="Times New Roman" w:eastAsia="宋体" w:cs="Times New Roman"/>
                <w:color w:val="auto"/>
                <w:sz w:val="24"/>
                <w:szCs w:val="24"/>
                <w:lang w:val="en-US" w:eastAsia="zh-CN"/>
              </w:rPr>
              <w:t>粉尘</w:t>
            </w:r>
            <w:r>
              <w:rPr>
                <w:rFonts w:hint="eastAsia" w:ascii="Times New Roman" w:hAnsi="Times New Roman" w:eastAsia="宋体" w:cs="Times New Roman"/>
                <w:color w:val="auto"/>
                <w:sz w:val="24"/>
                <w:szCs w:val="24"/>
                <w:lang w:val="en-US" w:eastAsia="zh-CN"/>
              </w:rPr>
              <w:t>产生量类比原项目，本次扩建项目生产线、废气收集</w:t>
            </w:r>
            <w:r>
              <w:rPr>
                <w:rFonts w:hint="eastAsia" w:cs="Times New Roman"/>
                <w:color w:val="auto"/>
                <w:sz w:val="24"/>
                <w:szCs w:val="24"/>
                <w:lang w:val="en-US" w:eastAsia="zh-CN"/>
              </w:rPr>
              <w:t>措施、废气处置措施</w:t>
            </w:r>
            <w:r>
              <w:rPr>
                <w:rFonts w:hint="eastAsia" w:ascii="Times New Roman" w:hAnsi="Times New Roman" w:eastAsia="宋体" w:cs="Times New Roman"/>
                <w:color w:val="auto"/>
                <w:sz w:val="24"/>
                <w:szCs w:val="24"/>
                <w:lang w:val="en-US" w:eastAsia="zh-CN"/>
              </w:rPr>
              <w:t>与原项目保持一致，因此具有类比性。</w:t>
            </w:r>
          </w:p>
          <w:p w14:paraId="056839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原项目年产18500t腻子粉，根据原项目2022年第四季度的检测报告，腻子粉车间</w:t>
            </w:r>
            <w:r>
              <w:rPr>
                <w:rFonts w:hint="eastAsia" w:cs="Times New Roman"/>
                <w:color w:val="auto"/>
                <w:sz w:val="24"/>
                <w:szCs w:val="24"/>
                <w:lang w:val="en-US" w:eastAsia="zh-CN"/>
              </w:rPr>
              <w:t>有组废气</w:t>
            </w:r>
            <w:r>
              <w:rPr>
                <w:rFonts w:hint="eastAsia" w:ascii="Times New Roman" w:hAnsi="Times New Roman" w:eastAsia="宋体" w:cs="Times New Roman"/>
                <w:color w:val="auto"/>
                <w:sz w:val="24"/>
                <w:szCs w:val="24"/>
                <w:lang w:val="en-US" w:eastAsia="zh-CN"/>
              </w:rPr>
              <w:t>排放口颗粒物排放</w:t>
            </w:r>
            <w:r>
              <w:rPr>
                <w:rFonts w:hint="eastAsia" w:cs="Times New Roman"/>
                <w:color w:val="auto"/>
                <w:sz w:val="24"/>
                <w:szCs w:val="24"/>
                <w:lang w:val="en-US" w:eastAsia="zh-CN"/>
              </w:rPr>
              <w:t>平均</w:t>
            </w:r>
            <w:r>
              <w:rPr>
                <w:rFonts w:hint="eastAsia" w:ascii="Times New Roman" w:hAnsi="Times New Roman" w:eastAsia="宋体" w:cs="Times New Roman"/>
                <w:color w:val="auto"/>
                <w:sz w:val="24"/>
                <w:szCs w:val="24"/>
                <w:lang w:val="en-US" w:eastAsia="zh-CN"/>
              </w:rPr>
              <w:t>速率为0.355kg/h，产生量为</w:t>
            </w:r>
            <w:r>
              <w:rPr>
                <w:rFonts w:hint="eastAsia" w:cs="Times New Roman"/>
                <w:color w:val="auto"/>
                <w:sz w:val="24"/>
                <w:szCs w:val="24"/>
                <w:lang w:val="en-US" w:eastAsia="zh-CN"/>
              </w:rPr>
              <w:t>0.71t/a</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本项目扩建完成后，</w:t>
            </w:r>
            <w:r>
              <w:rPr>
                <w:rFonts w:hint="eastAsia" w:cs="Times New Roman"/>
                <w:color w:val="auto"/>
                <w:sz w:val="24"/>
                <w:szCs w:val="24"/>
                <w:lang w:val="en-US" w:eastAsia="zh-CN"/>
              </w:rPr>
              <w:t>产量为原项目的6.48倍，在废气处置措施正产运行的情况下，有组织颗粒物排放量为4.6t/a、腻子粉年生产300天，</w:t>
            </w:r>
            <w:r>
              <w:rPr>
                <w:rFonts w:hint="default" w:ascii="Times New Roman" w:hAnsi="Times New Roman" w:eastAsia="宋体" w:cs="Times New Roman"/>
                <w:color w:val="auto"/>
                <w:sz w:val="24"/>
                <w:szCs w:val="24"/>
                <w:lang w:val="en-US" w:eastAsia="zh-CN"/>
              </w:rPr>
              <w:t>每天</w:t>
            </w:r>
            <w:r>
              <w:rPr>
                <w:rFonts w:hint="eastAsia" w:cs="Times New Roman"/>
                <w:color w:val="auto"/>
                <w:sz w:val="24"/>
                <w:szCs w:val="24"/>
                <w:lang w:val="en-US" w:eastAsia="zh-CN"/>
              </w:rPr>
              <w:t>两</w:t>
            </w:r>
            <w:r>
              <w:rPr>
                <w:rFonts w:hint="default" w:ascii="Times New Roman" w:hAnsi="Times New Roman" w:eastAsia="宋体" w:cs="Times New Roman"/>
                <w:color w:val="auto"/>
                <w:sz w:val="24"/>
                <w:szCs w:val="24"/>
                <w:lang w:val="en-US" w:eastAsia="zh-CN"/>
              </w:rPr>
              <w:t>班，每班8小时</w:t>
            </w:r>
            <w:r>
              <w:rPr>
                <w:rFonts w:hint="eastAsia" w:cs="Times New Roman"/>
                <w:color w:val="auto"/>
                <w:sz w:val="24"/>
                <w:szCs w:val="24"/>
                <w:lang w:val="en-US" w:eastAsia="zh-CN"/>
              </w:rPr>
              <w:t>，则排放速率0.96</w:t>
            </w:r>
            <w:r>
              <w:rPr>
                <w:rFonts w:hint="eastAsia" w:ascii="Times New Roman" w:hAnsi="Times New Roman" w:eastAsia="宋体" w:cs="Times New Roman"/>
                <w:color w:val="auto"/>
                <w:sz w:val="24"/>
                <w:szCs w:val="24"/>
                <w:lang w:val="en-US" w:eastAsia="zh-CN"/>
              </w:rPr>
              <w:t>kg/h、颗粒物排放浓度为</w:t>
            </w:r>
            <w:r>
              <w:rPr>
                <w:rFonts w:hint="eastAsia"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。颗粒物采用</w:t>
            </w:r>
            <w:r>
              <w:rPr>
                <w:rFonts w:hint="eastAsia" w:cs="Times New Roman"/>
                <w:color w:val="auto"/>
                <w:sz w:val="24"/>
                <w:szCs w:val="24"/>
                <w:lang w:val="en-US" w:eastAsia="zh-CN"/>
              </w:rPr>
              <w:t>24个</w:t>
            </w:r>
            <w:r>
              <w:rPr>
                <w:rFonts w:hint="eastAsia" w:ascii="Times New Roman" w:hAnsi="Times New Roman" w:eastAsia="宋体" w:cs="Times New Roman"/>
                <w:color w:val="auto"/>
                <w:sz w:val="24"/>
                <w:szCs w:val="24"/>
                <w:lang w:val="en-US" w:eastAsia="zh-CN"/>
              </w:rPr>
              <w:t>集气罩收集+</w:t>
            </w:r>
            <w:r>
              <w:rPr>
                <w:rFonts w:hint="eastAsia" w:cs="Times New Roman"/>
                <w:color w:val="auto"/>
                <w:sz w:val="24"/>
                <w:szCs w:val="24"/>
                <w:lang w:val="en-US" w:eastAsia="zh-CN"/>
              </w:rPr>
              <w:t>集中式滤筒除尘器除尘</w:t>
            </w:r>
            <w:r>
              <w:rPr>
                <w:rFonts w:hint="eastAsia" w:ascii="Times New Roman" w:hAnsi="Times New Roman" w:eastAsia="宋体" w:cs="Times New Roman"/>
                <w:color w:val="auto"/>
                <w:sz w:val="24"/>
                <w:szCs w:val="24"/>
                <w:lang w:val="en-US" w:eastAsia="zh-CN"/>
              </w:rPr>
              <w:t>后，15m的排气筒排放</w:t>
            </w:r>
            <w:r>
              <w:rPr>
                <w:rFonts w:hint="eastAsia" w:cs="Times New Roman"/>
                <w:color w:val="auto"/>
                <w:sz w:val="24"/>
                <w:szCs w:val="24"/>
                <w:lang w:val="en-US" w:eastAsia="zh-CN"/>
              </w:rPr>
              <w:t>（DA001）</w:t>
            </w:r>
            <w:r>
              <w:rPr>
                <w:rFonts w:hint="eastAsia" w:ascii="Times New Roman" w:hAnsi="Times New Roman" w:eastAsia="宋体" w:cs="Times New Roman"/>
                <w:color w:val="auto"/>
                <w:sz w:val="24"/>
                <w:szCs w:val="24"/>
                <w:lang w:val="en-US" w:eastAsia="zh-CN"/>
              </w:rPr>
              <w:t>。废气的收集效率为80%，去除效率为99%</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风机风量为</w:t>
            </w:r>
            <w:r>
              <w:rPr>
                <w:rFonts w:hint="eastAsia" w:cs="Times New Roman"/>
                <w:color w:val="auto"/>
                <w:sz w:val="24"/>
                <w:szCs w:val="24"/>
                <w:lang w:val="en-US" w:eastAsia="zh-CN"/>
              </w:rPr>
              <w:t>48</w:t>
            </w:r>
            <w:r>
              <w:rPr>
                <w:rFonts w:hint="eastAsia" w:ascii="Times New Roman" w:hAnsi="Times New Roman" w:eastAsia="宋体" w:cs="Times New Roman"/>
                <w:color w:val="auto"/>
                <w:sz w:val="24"/>
                <w:szCs w:val="24"/>
                <w:lang w:val="en-US" w:eastAsia="zh-CN"/>
              </w:rPr>
              <w:t>000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/h。则有组织粉尘产生量为</w:t>
            </w:r>
            <w:r>
              <w:rPr>
                <w:rFonts w:hint="eastAsia" w:cs="Times New Roman"/>
                <w:color w:val="auto"/>
                <w:sz w:val="24"/>
                <w:szCs w:val="24"/>
                <w:lang w:val="en-US" w:eastAsia="zh-CN"/>
              </w:rPr>
              <w:t>460</w:t>
            </w:r>
            <w:r>
              <w:rPr>
                <w:rFonts w:hint="eastAsia" w:ascii="Times New Roman" w:hAnsi="Times New Roman" w:eastAsia="宋体" w:cs="Times New Roman"/>
                <w:color w:val="auto"/>
                <w:sz w:val="24"/>
                <w:szCs w:val="24"/>
                <w:lang w:val="en-US" w:eastAsia="zh-CN"/>
              </w:rPr>
              <w:t>吨/年，产生速率为</w:t>
            </w:r>
            <w:r>
              <w:rPr>
                <w:rFonts w:hint="eastAsia" w:cs="Times New Roman"/>
                <w:color w:val="auto"/>
                <w:sz w:val="24"/>
                <w:szCs w:val="24"/>
                <w:lang w:val="en-US" w:eastAsia="zh-CN"/>
              </w:rPr>
              <w:t>95.8</w:t>
            </w:r>
            <w:r>
              <w:rPr>
                <w:rFonts w:hint="eastAsia" w:ascii="Times New Roman" w:hAnsi="Times New Roman" w:eastAsia="宋体" w:cs="Times New Roman"/>
                <w:color w:val="auto"/>
                <w:sz w:val="24"/>
                <w:szCs w:val="24"/>
                <w:lang w:val="en-US" w:eastAsia="zh-CN"/>
              </w:rPr>
              <w:t>kg/h，产生浓度为199</w:t>
            </w:r>
            <w:r>
              <w:rPr>
                <w:rFonts w:hint="eastAsia" w:cs="Times New Roman"/>
                <w:color w:val="auto"/>
                <w:sz w:val="24"/>
                <w:szCs w:val="24"/>
                <w:lang w:val="en-US" w:eastAsia="zh-CN"/>
              </w:rPr>
              <w:t>6</w:t>
            </w:r>
            <w:r>
              <w:rPr>
                <w:rFonts w:hint="eastAsia" w:ascii="Times New Roman" w:hAnsi="Times New Roman" w:eastAsia="宋体" w:cs="Times New Roman"/>
                <w:color w:val="auto"/>
                <w:sz w:val="24"/>
                <w:szCs w:val="24"/>
                <w:lang w:val="en-US" w:eastAsia="zh-CN"/>
              </w:rPr>
              <w:t>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。无组织产生量为</w:t>
            </w:r>
            <w:r>
              <w:rPr>
                <w:rFonts w:hint="eastAsia" w:cs="Times New Roman"/>
                <w:color w:val="auto"/>
                <w:sz w:val="24"/>
                <w:szCs w:val="24"/>
                <w:lang w:val="en-US" w:eastAsia="zh-CN"/>
              </w:rPr>
              <w:t>115t/a，产生速率为23.96</w:t>
            </w:r>
            <w:r>
              <w:rPr>
                <w:rFonts w:hint="eastAsia" w:ascii="Times New Roman" w:hAnsi="Times New Roman" w:eastAsia="宋体" w:cs="Times New Roman"/>
                <w:color w:val="auto"/>
                <w:sz w:val="24"/>
                <w:szCs w:val="24"/>
                <w:lang w:val="en-US" w:eastAsia="zh-CN"/>
              </w:rPr>
              <w:t>kg/h。</w:t>
            </w:r>
          </w:p>
          <w:p w14:paraId="6857F5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项目腻子粉生产线在密闭车间内，</w:t>
            </w:r>
            <w:r>
              <w:rPr>
                <w:rFonts w:hint="eastAsia" w:cs="Times New Roman"/>
                <w:color w:val="auto"/>
                <w:sz w:val="24"/>
                <w:szCs w:val="24"/>
                <w:lang w:val="en-US" w:eastAsia="zh-CN"/>
              </w:rPr>
              <w:t>大部分粉尘在车间内自然沉降，</w:t>
            </w:r>
            <w:r>
              <w:rPr>
                <w:rFonts w:hint="default" w:ascii="Times New Roman" w:hAnsi="Times New Roman" w:eastAsia="宋体" w:cs="Times New Roman"/>
                <w:color w:val="auto"/>
                <w:sz w:val="24"/>
                <w:szCs w:val="24"/>
                <w:lang w:val="en-US" w:eastAsia="zh-CN"/>
              </w:rPr>
              <w:t>仅在员工进出开关门期间向厂房外扩散，扩散量较小，约占无组织粉尘排放的1%，排放量为</w:t>
            </w:r>
            <w:r>
              <w:rPr>
                <w:rFonts w:hint="eastAsia" w:cs="Times New Roman"/>
                <w:color w:val="auto"/>
                <w:sz w:val="24"/>
                <w:szCs w:val="24"/>
                <w:lang w:val="en-US" w:eastAsia="zh-CN"/>
              </w:rPr>
              <w:t>1.15</w:t>
            </w:r>
            <w:r>
              <w:rPr>
                <w:rFonts w:hint="default" w:ascii="Times New Roman" w:hAnsi="Times New Roman" w:eastAsia="宋体" w:cs="Times New Roman"/>
                <w:color w:val="auto"/>
                <w:sz w:val="24"/>
                <w:szCs w:val="24"/>
                <w:lang w:val="en-US" w:eastAsia="zh-CN"/>
              </w:rPr>
              <w:t>t/a，排放速率为</w:t>
            </w:r>
            <w:r>
              <w:rPr>
                <w:rFonts w:hint="eastAsia" w:cs="Times New Roman"/>
                <w:color w:val="auto"/>
                <w:sz w:val="24"/>
                <w:szCs w:val="24"/>
                <w:lang w:val="en-US" w:eastAsia="zh-CN"/>
              </w:rPr>
              <w:t>0.24</w:t>
            </w:r>
            <w:r>
              <w:rPr>
                <w:rFonts w:hint="default" w:ascii="Times New Roman" w:hAnsi="Times New Roman" w:eastAsia="宋体" w:cs="Times New Roman"/>
                <w:color w:val="auto"/>
                <w:sz w:val="24"/>
                <w:szCs w:val="24"/>
                <w:lang w:val="en-US" w:eastAsia="zh-CN"/>
              </w:rPr>
              <w:t>kg/h。</w:t>
            </w:r>
          </w:p>
          <w:p w14:paraId="6F26F1E9">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包装口粉尘</w:t>
            </w:r>
          </w:p>
          <w:p w14:paraId="057FF0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腻子粉粒径较小，包装环节易扩散，环评提出在包装时包装袋须与包装机口紧密相接，减少其扩散量。粉尘产尘系数参照中国环境科学出版社出版的《逸散性工业粉尘控制技术》中水泥生产，袋装排放因子0.005kg/h</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本项目年产120000t腻子粉，则粉尘产生量为</w:t>
            </w:r>
            <w:r>
              <w:rPr>
                <w:rFonts w:hint="eastAsia" w:cs="Times New Roman"/>
                <w:color w:val="auto"/>
                <w:sz w:val="24"/>
                <w:szCs w:val="24"/>
                <w:vertAlign w:val="baseline"/>
                <w:lang w:val="en-US" w:eastAsia="zh-CN"/>
              </w:rPr>
              <w:t>0.6</w:t>
            </w:r>
            <w:r>
              <w:rPr>
                <w:rFonts w:hint="default" w:ascii="Times New Roman" w:hAnsi="Times New Roman" w:eastAsia="宋体" w:cs="Times New Roman"/>
                <w:color w:val="auto"/>
                <w:sz w:val="24"/>
                <w:szCs w:val="24"/>
                <w:vertAlign w:val="baseline"/>
                <w:lang w:val="en-US" w:eastAsia="zh-CN"/>
              </w:rPr>
              <w:t>t</w:t>
            </w:r>
            <w:r>
              <w:rPr>
                <w:rFonts w:hint="default" w:ascii="Times New Roman" w:hAnsi="Times New Roman" w:eastAsia="宋体" w:cs="Times New Roman"/>
                <w:color w:val="auto"/>
                <w:sz w:val="24"/>
                <w:szCs w:val="24"/>
                <w:lang w:val="en-US" w:eastAsia="zh-CN"/>
              </w:rPr>
              <w:t>/a，产生速率为</w:t>
            </w:r>
            <w:r>
              <w:rPr>
                <w:rFonts w:hint="eastAsia" w:cs="Times New Roman"/>
                <w:color w:val="auto"/>
                <w:sz w:val="24"/>
                <w:szCs w:val="24"/>
                <w:lang w:val="en-US" w:eastAsia="zh-CN"/>
              </w:rPr>
              <w:t>0.125</w:t>
            </w:r>
            <w:r>
              <w:rPr>
                <w:rFonts w:hint="default" w:ascii="Times New Roman" w:hAnsi="Times New Roman" w:eastAsia="宋体" w:cs="Times New Roman"/>
                <w:color w:val="auto"/>
                <w:sz w:val="24"/>
                <w:szCs w:val="24"/>
                <w:lang w:val="en-US" w:eastAsia="zh-CN"/>
              </w:rPr>
              <w:t>kg/h。包装粉尘经收集后进入旋风除尘器进行处理后无组织排放，集气罩收集效率约80%，除尘效率约为</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0%，旋风除尘器排口无组织颗粒物排放量</w:t>
            </w:r>
            <w:r>
              <w:rPr>
                <w:rFonts w:hint="eastAsia" w:cs="Times New Roman"/>
                <w:color w:val="auto"/>
                <w:sz w:val="24"/>
                <w:szCs w:val="24"/>
                <w:lang w:val="en-US" w:eastAsia="zh-CN"/>
              </w:rPr>
              <w:t>0.192</w:t>
            </w:r>
            <w:r>
              <w:rPr>
                <w:rFonts w:hint="default" w:ascii="Times New Roman" w:hAnsi="Times New Roman" w:eastAsia="宋体" w:cs="Times New Roman"/>
                <w:color w:val="auto"/>
                <w:sz w:val="24"/>
                <w:szCs w:val="24"/>
                <w:lang w:val="en-US" w:eastAsia="zh-CN"/>
              </w:rPr>
              <w:t>t/a。未收集部分为</w:t>
            </w:r>
            <w:r>
              <w:rPr>
                <w:rFonts w:hint="eastAsia" w:cs="Times New Roman"/>
                <w:color w:val="auto"/>
                <w:sz w:val="24"/>
                <w:szCs w:val="24"/>
                <w:lang w:val="en-US" w:eastAsia="zh-CN"/>
              </w:rPr>
              <w:t>0.12</w:t>
            </w:r>
            <w:r>
              <w:rPr>
                <w:rFonts w:hint="default" w:ascii="Times New Roman" w:hAnsi="Times New Roman" w:eastAsia="宋体" w:cs="Times New Roman"/>
                <w:color w:val="auto"/>
                <w:sz w:val="24"/>
                <w:szCs w:val="24"/>
                <w:vertAlign w:val="baseline"/>
                <w:lang w:val="en-US" w:eastAsia="zh-CN"/>
              </w:rPr>
              <w:t>t</w:t>
            </w:r>
            <w:r>
              <w:rPr>
                <w:rFonts w:hint="default" w:ascii="Times New Roman" w:hAnsi="Times New Roman" w:eastAsia="宋体" w:cs="Times New Roman"/>
                <w:color w:val="auto"/>
                <w:sz w:val="24"/>
                <w:szCs w:val="24"/>
                <w:lang w:val="en-US" w:eastAsia="zh-CN"/>
              </w:rPr>
              <w:t>/a，因此包装环节无组织颗粒物产生量为</w:t>
            </w:r>
            <w:r>
              <w:rPr>
                <w:rFonts w:hint="eastAsia" w:cs="Times New Roman"/>
                <w:color w:val="auto"/>
                <w:sz w:val="24"/>
                <w:szCs w:val="24"/>
                <w:lang w:val="en-US" w:eastAsia="zh-CN"/>
              </w:rPr>
              <w:t>0.312</w:t>
            </w:r>
            <w:r>
              <w:rPr>
                <w:rFonts w:hint="default" w:ascii="Times New Roman" w:hAnsi="Times New Roman" w:eastAsia="宋体" w:cs="Times New Roman"/>
                <w:color w:val="auto"/>
                <w:sz w:val="24"/>
                <w:szCs w:val="24"/>
                <w:vertAlign w:val="baseline"/>
                <w:lang w:val="en-US" w:eastAsia="zh-CN"/>
              </w:rPr>
              <w:t>t</w:t>
            </w:r>
            <w:r>
              <w:rPr>
                <w:rFonts w:hint="default" w:ascii="Times New Roman" w:hAnsi="Times New Roman" w:eastAsia="宋体" w:cs="Times New Roman"/>
                <w:color w:val="auto"/>
                <w:sz w:val="24"/>
                <w:szCs w:val="24"/>
                <w:lang w:val="en-US" w:eastAsia="zh-CN"/>
              </w:rPr>
              <w:t>/a，速率为</w:t>
            </w:r>
            <w:r>
              <w:rPr>
                <w:rFonts w:hint="eastAsia" w:cs="Times New Roman"/>
                <w:color w:val="auto"/>
                <w:sz w:val="24"/>
                <w:szCs w:val="24"/>
                <w:lang w:val="en-US" w:eastAsia="zh-CN"/>
              </w:rPr>
              <w:t>0.065</w:t>
            </w:r>
            <w:r>
              <w:rPr>
                <w:rFonts w:hint="default" w:ascii="Times New Roman" w:hAnsi="Times New Roman" w:eastAsia="宋体" w:cs="Times New Roman"/>
                <w:color w:val="auto"/>
                <w:sz w:val="24"/>
                <w:szCs w:val="24"/>
                <w:lang w:val="en-US" w:eastAsia="zh-CN"/>
              </w:rPr>
              <w:t>kg/h。项目腻子粉生产线在密闭车间内生产，仅在员工进出开关门期间向厂房外扩散，扩散量较小，约占无组织粉尘产生量的1%，排放量为</w:t>
            </w:r>
            <w:r>
              <w:rPr>
                <w:rFonts w:hint="eastAsia" w:cs="Times New Roman"/>
                <w:color w:val="auto"/>
                <w:sz w:val="24"/>
                <w:szCs w:val="24"/>
                <w:lang w:val="en-US" w:eastAsia="zh-CN"/>
              </w:rPr>
              <w:t>0.003</w:t>
            </w:r>
            <w:r>
              <w:rPr>
                <w:rFonts w:hint="default" w:ascii="Times New Roman" w:hAnsi="Times New Roman" w:eastAsia="宋体" w:cs="Times New Roman"/>
                <w:color w:val="auto"/>
                <w:sz w:val="24"/>
                <w:szCs w:val="24"/>
                <w:lang w:val="en-US" w:eastAsia="zh-CN"/>
              </w:rPr>
              <w:t>t/a，排放速率为</w:t>
            </w:r>
            <w:r>
              <w:rPr>
                <w:rFonts w:hint="eastAsia" w:cs="Times New Roman"/>
                <w:color w:val="auto"/>
                <w:sz w:val="24"/>
                <w:szCs w:val="24"/>
                <w:lang w:val="en-US" w:eastAsia="zh-CN"/>
              </w:rPr>
              <w:t>0.0007</w:t>
            </w:r>
            <w:r>
              <w:rPr>
                <w:rFonts w:hint="default" w:ascii="Times New Roman" w:hAnsi="Times New Roman" w:eastAsia="宋体" w:cs="Times New Roman"/>
                <w:color w:val="auto"/>
                <w:sz w:val="24"/>
                <w:szCs w:val="24"/>
                <w:lang w:val="en-US" w:eastAsia="zh-CN"/>
              </w:rPr>
              <w:t>kg/h。</w:t>
            </w:r>
          </w:p>
          <w:p w14:paraId="5C5AE70B">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腻子粉生产车间</w:t>
            </w:r>
            <w:r>
              <w:rPr>
                <w:rFonts w:hint="default" w:ascii="Times New Roman" w:hAnsi="Times New Roman" w:eastAsia="宋体" w:cs="Times New Roman"/>
                <w:color w:val="auto"/>
                <w:sz w:val="24"/>
                <w:szCs w:val="24"/>
                <w:lang w:val="en-US" w:eastAsia="zh-CN"/>
              </w:rPr>
              <w:t>卸料粉尘</w:t>
            </w:r>
          </w:p>
          <w:p w14:paraId="53E6CD1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腻子粉生产车间设置有3个储量为60m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的储料罐（分别存储水泥、白砂、碳酸钙），卸料至粉料罐期间会产生粉尘，在储罐顶部设置脉冲布袋除尘装置，抑制储罐呼吸口粉尘外排。粉尘产生量</w:t>
            </w:r>
            <w:r>
              <w:rPr>
                <w:rFonts w:hint="default" w:ascii="Times New Roman" w:hAnsi="Times New Roman" w:eastAsia="宋体" w:cs="Times New Roman"/>
                <w:kern w:val="2"/>
                <w:sz w:val="24"/>
                <w:szCs w:val="24"/>
                <w:lang w:val="en-US" w:eastAsia="zh-CN"/>
              </w:rPr>
              <w:t>参考《北京市混凝土搅拌站扬尘排放因子及排放清单》（中国环境科学 2017.37（10）：3699-3707）表 3 混凝土搅拌站水泥卸料至筒仓无控制措施扬尘排放因子进行核算扬尘产生源强</w:t>
            </w:r>
            <w:r>
              <w:rPr>
                <w:rFonts w:hint="eastAsia" w:cs="Times New Roman"/>
                <w:kern w:val="2"/>
                <w:sz w:val="24"/>
                <w:szCs w:val="24"/>
                <w:lang w:val="en-US" w:eastAsia="zh-CN"/>
              </w:rPr>
              <w:t>，</w:t>
            </w:r>
            <w:r>
              <w:rPr>
                <w:rFonts w:hint="default" w:ascii="Times New Roman" w:hAnsi="Times New Roman" w:eastAsia="宋体" w:cs="Times New Roman"/>
                <w:kern w:val="2"/>
                <w:sz w:val="24"/>
                <w:szCs w:val="24"/>
                <w:lang w:val="en-US" w:eastAsia="zh-CN"/>
              </w:rPr>
              <w:t>卸料至筒仓扬尘产生系数为0.36</w:t>
            </w:r>
            <w:r>
              <w:rPr>
                <w:rFonts w:hint="default" w:ascii="Times New Roman" w:hAnsi="Times New Roman" w:eastAsia="宋体" w:cs="Times New Roman"/>
                <w:sz w:val="24"/>
                <w:szCs w:val="24"/>
                <w:lang w:eastAsia="zh-CN"/>
              </w:rPr>
              <w:t>kg/t（</w:t>
            </w:r>
            <w:r>
              <w:rPr>
                <w:rFonts w:hint="default" w:ascii="Times New Roman" w:hAnsi="Times New Roman" w:eastAsia="宋体" w:cs="Times New Roman"/>
                <w:sz w:val="24"/>
                <w:szCs w:val="24"/>
                <w:lang w:val="en-US" w:eastAsia="zh-CN"/>
              </w:rPr>
              <w:t>原料</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color w:val="auto"/>
                <w:sz w:val="24"/>
                <w:szCs w:val="24"/>
                <w:lang w:val="en-US" w:eastAsia="zh-CN"/>
              </w:rPr>
              <w:t>，进料时间约为3h/d，则粉尘产生量为42.38t/a，产生速率为47.09</w:t>
            </w:r>
            <w:r>
              <w:rPr>
                <w:rFonts w:hint="default" w:ascii="Times New Roman" w:hAnsi="Times New Roman" w:eastAsia="宋体" w:cs="Times New Roman"/>
                <w:sz w:val="24"/>
                <w:szCs w:val="24"/>
                <w:lang w:eastAsia="zh-CN"/>
              </w:rPr>
              <w:t>kg/</w:t>
            </w:r>
            <w:r>
              <w:rPr>
                <w:rFonts w:hint="default" w:ascii="Times New Roman" w:hAnsi="Times New Roman" w:eastAsia="宋体" w:cs="Times New Roman"/>
                <w:sz w:val="24"/>
                <w:szCs w:val="24"/>
                <w:lang w:val="en-US" w:eastAsia="zh-CN"/>
              </w:rPr>
              <w:t>h。</w:t>
            </w:r>
            <w:r>
              <w:rPr>
                <w:rFonts w:hint="default" w:ascii="Times New Roman" w:hAnsi="Times New Roman" w:eastAsia="宋体" w:cs="Times New Roman"/>
                <w:color w:val="auto"/>
                <w:sz w:val="24"/>
                <w:szCs w:val="24"/>
                <w:lang w:val="en-US" w:eastAsia="zh-CN"/>
              </w:rPr>
              <w:t>脉冲布袋除尘装置去除效率为99%，则外排的粉尘约为0.42t/a，外排速率为0.47</w:t>
            </w:r>
            <w:r>
              <w:rPr>
                <w:rFonts w:hint="default" w:ascii="Times New Roman" w:hAnsi="Times New Roman" w:eastAsia="宋体" w:cs="Times New Roman"/>
                <w:sz w:val="24"/>
                <w:szCs w:val="24"/>
                <w:lang w:eastAsia="zh-CN"/>
              </w:rPr>
              <w:t>kg/</w:t>
            </w:r>
            <w:r>
              <w:rPr>
                <w:rFonts w:hint="default" w:ascii="Times New Roman" w:hAnsi="Times New Roman" w:eastAsia="宋体" w:cs="Times New Roman"/>
                <w:sz w:val="24"/>
                <w:szCs w:val="24"/>
                <w:lang w:val="en-US" w:eastAsia="zh-CN"/>
              </w:rPr>
              <w:t>h。</w:t>
            </w:r>
          </w:p>
          <w:p w14:paraId="475298A2">
            <w:pPr>
              <w:pStyle w:val="2"/>
              <w:keepNext w:val="0"/>
              <w:keepLines w:val="0"/>
              <w:suppressLineNumbers w:val="0"/>
              <w:spacing w:before="0" w:beforeAutospacing="0" w:after="0" w:afterAutospacing="0" w:line="360" w:lineRule="auto"/>
              <w:ind w:left="0" w:right="0" w:firstLine="480" w:firstLineChars="200"/>
              <w:rPr>
                <w:rFonts w:hint="eastAsia" w:cs="Times New Roman"/>
                <w:sz w:val="24"/>
                <w:szCs w:val="24"/>
                <w:lang w:val="en-US" w:eastAsia="zh-CN"/>
              </w:rPr>
            </w:pPr>
            <w:r>
              <w:rPr>
                <w:rFonts w:hint="eastAsia" w:cs="Times New Roman"/>
                <w:sz w:val="24"/>
                <w:szCs w:val="24"/>
                <w:lang w:val="en-US" w:eastAsia="zh-CN"/>
              </w:rPr>
              <w:t>综上分析，腻子粉生产车间废气产排情况见下表。</w:t>
            </w:r>
          </w:p>
          <w:p w14:paraId="7366D67F">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lang w:val="en-US" w:eastAsia="zh-CN"/>
              </w:rPr>
            </w:pPr>
            <w:r>
              <w:rPr>
                <w:rFonts w:hint="eastAsia" w:cs="Times New Roman"/>
                <w:b/>
                <w:bCs/>
                <w:sz w:val="21"/>
                <w:szCs w:val="21"/>
                <w:lang w:val="en-US" w:eastAsia="zh-CN"/>
              </w:rPr>
              <w:t>表4-3 水性涂料生产车间废气产排情况一览表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634"/>
              <w:gridCol w:w="592"/>
              <w:gridCol w:w="794"/>
              <w:gridCol w:w="1028"/>
              <w:gridCol w:w="1111"/>
              <w:gridCol w:w="733"/>
              <w:gridCol w:w="865"/>
              <w:gridCol w:w="1028"/>
              <w:gridCol w:w="1213"/>
            </w:tblGrid>
            <w:tr w14:paraId="4BB0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14:paraId="3CA92AFE">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产污环节</w:t>
                  </w:r>
                </w:p>
              </w:tc>
              <w:tc>
                <w:tcPr>
                  <w:tcW w:w="376" w:type="pct"/>
                  <w:vAlign w:val="center"/>
                </w:tcPr>
                <w:p w14:paraId="04365704">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排放形式</w:t>
                  </w:r>
                </w:p>
              </w:tc>
              <w:tc>
                <w:tcPr>
                  <w:tcW w:w="351" w:type="pct"/>
                  <w:vAlign w:val="center"/>
                </w:tcPr>
                <w:p w14:paraId="5CE9309B">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污染因子</w:t>
                  </w:r>
                </w:p>
              </w:tc>
              <w:tc>
                <w:tcPr>
                  <w:tcW w:w="471" w:type="pct"/>
                  <w:vAlign w:val="center"/>
                </w:tcPr>
                <w:p w14:paraId="3259F71A">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产生量（t/a）</w:t>
                  </w:r>
                </w:p>
              </w:tc>
              <w:tc>
                <w:tcPr>
                  <w:tcW w:w="610" w:type="pct"/>
                  <w:vAlign w:val="center"/>
                </w:tcPr>
                <w:p w14:paraId="3F2166D3">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产生速率（kg/h）</w:t>
                  </w:r>
                </w:p>
              </w:tc>
              <w:tc>
                <w:tcPr>
                  <w:tcW w:w="659" w:type="pct"/>
                  <w:vAlign w:val="center"/>
                </w:tcPr>
                <w:p w14:paraId="2967BD85">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产生浓度（mg/m</w:t>
                  </w:r>
                  <w:r>
                    <w:rPr>
                      <w:rFonts w:hint="eastAsia"/>
                      <w:b/>
                      <w:bCs/>
                      <w:sz w:val="21"/>
                      <w:szCs w:val="21"/>
                      <w:vertAlign w:val="superscript"/>
                      <w:lang w:val="en-US" w:eastAsia="zh-CN"/>
                    </w:rPr>
                    <w:t>3</w:t>
                  </w:r>
                  <w:r>
                    <w:rPr>
                      <w:rFonts w:hint="eastAsia"/>
                      <w:b/>
                      <w:bCs/>
                      <w:sz w:val="21"/>
                      <w:szCs w:val="21"/>
                      <w:vertAlign w:val="baseline"/>
                      <w:lang w:val="en-US" w:eastAsia="zh-CN"/>
                    </w:rPr>
                    <w:t>）</w:t>
                  </w:r>
                </w:p>
              </w:tc>
              <w:tc>
                <w:tcPr>
                  <w:tcW w:w="435" w:type="pct"/>
                  <w:vAlign w:val="center"/>
                </w:tcPr>
                <w:p w14:paraId="5B6D5C57">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处置措施</w:t>
                  </w:r>
                </w:p>
              </w:tc>
              <w:tc>
                <w:tcPr>
                  <w:tcW w:w="513" w:type="pct"/>
                  <w:vAlign w:val="center"/>
                </w:tcPr>
                <w:p w14:paraId="1E9C23C7">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排放量（t/a）</w:t>
                  </w:r>
                </w:p>
              </w:tc>
              <w:tc>
                <w:tcPr>
                  <w:tcW w:w="610" w:type="pct"/>
                  <w:vAlign w:val="center"/>
                </w:tcPr>
                <w:p w14:paraId="5E58D99E">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排放速率（kg/h）</w:t>
                  </w:r>
                </w:p>
              </w:tc>
              <w:tc>
                <w:tcPr>
                  <w:tcW w:w="719" w:type="pct"/>
                  <w:vAlign w:val="center"/>
                </w:tcPr>
                <w:p w14:paraId="1EB9D936">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排放浓度（mg/m</w:t>
                  </w:r>
                  <w:r>
                    <w:rPr>
                      <w:rFonts w:hint="eastAsia"/>
                      <w:b/>
                      <w:bCs/>
                      <w:sz w:val="21"/>
                      <w:szCs w:val="21"/>
                      <w:vertAlign w:val="superscript"/>
                      <w:lang w:val="en-US" w:eastAsia="zh-CN"/>
                    </w:rPr>
                    <w:t>3</w:t>
                  </w:r>
                  <w:r>
                    <w:rPr>
                      <w:rFonts w:hint="eastAsia"/>
                      <w:b/>
                      <w:bCs/>
                      <w:sz w:val="21"/>
                      <w:szCs w:val="21"/>
                      <w:vertAlign w:val="baseline"/>
                      <w:lang w:val="en-US" w:eastAsia="zh-CN"/>
                    </w:rPr>
                    <w:t>）</w:t>
                  </w:r>
                </w:p>
              </w:tc>
            </w:tr>
            <w:tr w14:paraId="096FC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restart"/>
                  <w:vAlign w:val="center"/>
                </w:tcPr>
                <w:p w14:paraId="7AC1EB85">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投料、配料、混料</w:t>
                  </w:r>
                </w:p>
              </w:tc>
              <w:tc>
                <w:tcPr>
                  <w:tcW w:w="376" w:type="pct"/>
                  <w:vAlign w:val="center"/>
                </w:tcPr>
                <w:p w14:paraId="39646165">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有组织</w:t>
                  </w:r>
                </w:p>
              </w:tc>
              <w:tc>
                <w:tcPr>
                  <w:tcW w:w="351" w:type="pct"/>
                  <w:vAlign w:val="center"/>
                </w:tcPr>
                <w:p w14:paraId="1E7BB126">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TSP</w:t>
                  </w:r>
                </w:p>
              </w:tc>
              <w:tc>
                <w:tcPr>
                  <w:tcW w:w="471" w:type="pct"/>
                  <w:vAlign w:val="center"/>
                </w:tcPr>
                <w:p w14:paraId="190A3530">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460</w:t>
                  </w:r>
                </w:p>
              </w:tc>
              <w:tc>
                <w:tcPr>
                  <w:tcW w:w="610" w:type="pct"/>
                  <w:vAlign w:val="center"/>
                </w:tcPr>
                <w:p w14:paraId="71A4CE4E">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95.8</w:t>
                  </w:r>
                </w:p>
              </w:tc>
              <w:tc>
                <w:tcPr>
                  <w:tcW w:w="659" w:type="pct"/>
                  <w:vAlign w:val="center"/>
                </w:tcPr>
                <w:p w14:paraId="1A1DBDAC">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1996</w:t>
                  </w:r>
                </w:p>
              </w:tc>
              <w:tc>
                <w:tcPr>
                  <w:tcW w:w="435" w:type="pct"/>
                  <w:vMerge w:val="restart"/>
                  <w:vAlign w:val="center"/>
                </w:tcPr>
                <w:p w14:paraId="75F83FCF">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集中式滤筒除尘，车间封闭</w:t>
                  </w:r>
                </w:p>
              </w:tc>
              <w:tc>
                <w:tcPr>
                  <w:tcW w:w="513" w:type="pct"/>
                  <w:vAlign w:val="center"/>
                </w:tcPr>
                <w:p w14:paraId="2DFEE4F9">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4.6</w:t>
                  </w:r>
                </w:p>
              </w:tc>
              <w:tc>
                <w:tcPr>
                  <w:tcW w:w="610" w:type="pct"/>
                  <w:vAlign w:val="center"/>
                </w:tcPr>
                <w:p w14:paraId="440C9BF3">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0.96</w:t>
                  </w:r>
                </w:p>
              </w:tc>
              <w:tc>
                <w:tcPr>
                  <w:tcW w:w="719" w:type="pct"/>
                  <w:vAlign w:val="center"/>
                </w:tcPr>
                <w:p w14:paraId="402D666F">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20</w:t>
                  </w:r>
                </w:p>
              </w:tc>
            </w:tr>
            <w:tr w14:paraId="1A1AD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250" w:type="pct"/>
                  <w:vMerge w:val="continue"/>
                  <w:vAlign w:val="center"/>
                </w:tcPr>
                <w:p w14:paraId="7166AF51">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p>
              </w:tc>
              <w:tc>
                <w:tcPr>
                  <w:tcW w:w="376" w:type="pct"/>
                  <w:vAlign w:val="center"/>
                </w:tcPr>
                <w:p w14:paraId="2CDE7AE6">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无组织</w:t>
                  </w:r>
                </w:p>
              </w:tc>
              <w:tc>
                <w:tcPr>
                  <w:tcW w:w="351" w:type="pct"/>
                  <w:vAlign w:val="center"/>
                </w:tcPr>
                <w:p w14:paraId="4B5F1199">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TSP</w:t>
                  </w:r>
                </w:p>
              </w:tc>
              <w:tc>
                <w:tcPr>
                  <w:tcW w:w="471" w:type="pct"/>
                  <w:vAlign w:val="center"/>
                </w:tcPr>
                <w:p w14:paraId="196A9226">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115</w:t>
                  </w:r>
                </w:p>
              </w:tc>
              <w:tc>
                <w:tcPr>
                  <w:tcW w:w="610" w:type="pct"/>
                  <w:vAlign w:val="center"/>
                </w:tcPr>
                <w:p w14:paraId="58022A54">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23.96</w:t>
                  </w:r>
                </w:p>
              </w:tc>
              <w:tc>
                <w:tcPr>
                  <w:tcW w:w="659" w:type="pct"/>
                  <w:vAlign w:val="center"/>
                </w:tcPr>
                <w:p w14:paraId="436C7052">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435" w:type="pct"/>
                  <w:vMerge w:val="continue"/>
                  <w:vAlign w:val="center"/>
                </w:tcPr>
                <w:p w14:paraId="0CCA3B5D">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p>
              </w:tc>
              <w:tc>
                <w:tcPr>
                  <w:tcW w:w="513" w:type="pct"/>
                  <w:vAlign w:val="center"/>
                </w:tcPr>
                <w:p w14:paraId="1B99FF4E">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1.15</w:t>
                  </w:r>
                </w:p>
              </w:tc>
              <w:tc>
                <w:tcPr>
                  <w:tcW w:w="610" w:type="pct"/>
                  <w:vAlign w:val="center"/>
                </w:tcPr>
                <w:p w14:paraId="64E48203">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0.24</w:t>
                  </w:r>
                </w:p>
              </w:tc>
              <w:tc>
                <w:tcPr>
                  <w:tcW w:w="719" w:type="pct"/>
                  <w:vAlign w:val="center"/>
                </w:tcPr>
                <w:p w14:paraId="1D964818">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r>
            <w:tr w14:paraId="4F3A4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50" w:type="pct"/>
                  <w:vAlign w:val="center"/>
                </w:tcPr>
                <w:p w14:paraId="253820C7">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包装</w:t>
                  </w:r>
                </w:p>
              </w:tc>
              <w:tc>
                <w:tcPr>
                  <w:tcW w:w="376" w:type="pct"/>
                  <w:vAlign w:val="center"/>
                </w:tcPr>
                <w:p w14:paraId="6DA2E5A6">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无组织</w:t>
                  </w:r>
                </w:p>
              </w:tc>
              <w:tc>
                <w:tcPr>
                  <w:tcW w:w="351" w:type="pct"/>
                  <w:vAlign w:val="center"/>
                </w:tcPr>
                <w:p w14:paraId="24978F33">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TSP</w:t>
                  </w:r>
                </w:p>
              </w:tc>
              <w:tc>
                <w:tcPr>
                  <w:tcW w:w="471" w:type="pct"/>
                  <w:vAlign w:val="center"/>
                </w:tcPr>
                <w:p w14:paraId="1D2FF623">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0.6</w:t>
                  </w:r>
                </w:p>
              </w:tc>
              <w:tc>
                <w:tcPr>
                  <w:tcW w:w="610" w:type="pct"/>
                  <w:vAlign w:val="center"/>
                </w:tcPr>
                <w:p w14:paraId="1F15A371">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0.125</w:t>
                  </w:r>
                </w:p>
              </w:tc>
              <w:tc>
                <w:tcPr>
                  <w:tcW w:w="659" w:type="pct"/>
                  <w:vAlign w:val="center"/>
                </w:tcPr>
                <w:p w14:paraId="74E4CE8F">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435" w:type="pct"/>
                  <w:vAlign w:val="center"/>
                </w:tcPr>
                <w:p w14:paraId="463706A0">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旋风除尘器除尘</w:t>
                  </w:r>
                </w:p>
              </w:tc>
              <w:tc>
                <w:tcPr>
                  <w:tcW w:w="513" w:type="pct"/>
                  <w:vAlign w:val="center"/>
                </w:tcPr>
                <w:p w14:paraId="14CA93E2">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0.003</w:t>
                  </w:r>
                </w:p>
              </w:tc>
              <w:tc>
                <w:tcPr>
                  <w:tcW w:w="610" w:type="pct"/>
                  <w:vAlign w:val="center"/>
                </w:tcPr>
                <w:p w14:paraId="5AE943E3">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0.0007</w:t>
                  </w:r>
                </w:p>
              </w:tc>
              <w:tc>
                <w:tcPr>
                  <w:tcW w:w="719" w:type="pct"/>
                  <w:vAlign w:val="center"/>
                </w:tcPr>
                <w:p w14:paraId="2B223DC2">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r>
            <w:tr w14:paraId="0F253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50" w:type="pct"/>
                  <w:vAlign w:val="center"/>
                </w:tcPr>
                <w:p w14:paraId="5DFD8382">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卸料</w:t>
                  </w:r>
                </w:p>
              </w:tc>
              <w:tc>
                <w:tcPr>
                  <w:tcW w:w="376" w:type="pct"/>
                  <w:vAlign w:val="center"/>
                </w:tcPr>
                <w:p w14:paraId="62CC5EDA">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无组织</w:t>
                  </w:r>
                </w:p>
              </w:tc>
              <w:tc>
                <w:tcPr>
                  <w:tcW w:w="351" w:type="pct"/>
                  <w:vAlign w:val="center"/>
                </w:tcPr>
                <w:p w14:paraId="7A7CF811">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TSP</w:t>
                  </w:r>
                </w:p>
              </w:tc>
              <w:tc>
                <w:tcPr>
                  <w:tcW w:w="471" w:type="pct"/>
                  <w:vAlign w:val="center"/>
                </w:tcPr>
                <w:p w14:paraId="46862BEB">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42.38</w:t>
                  </w:r>
                </w:p>
              </w:tc>
              <w:tc>
                <w:tcPr>
                  <w:tcW w:w="610" w:type="pct"/>
                  <w:vAlign w:val="center"/>
                </w:tcPr>
                <w:p w14:paraId="5D9C021E">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47.09</w:t>
                  </w:r>
                </w:p>
              </w:tc>
              <w:tc>
                <w:tcPr>
                  <w:tcW w:w="659" w:type="pct"/>
                  <w:vAlign w:val="center"/>
                </w:tcPr>
                <w:p w14:paraId="4BFEF263">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435" w:type="pct"/>
                  <w:vAlign w:val="center"/>
                </w:tcPr>
                <w:p w14:paraId="78D857A4">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脉冲布袋除尘装置</w:t>
                  </w:r>
                </w:p>
              </w:tc>
              <w:tc>
                <w:tcPr>
                  <w:tcW w:w="513" w:type="pct"/>
                  <w:vAlign w:val="center"/>
                </w:tcPr>
                <w:p w14:paraId="18EB0DA2">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0.42</w:t>
                  </w:r>
                </w:p>
              </w:tc>
              <w:tc>
                <w:tcPr>
                  <w:tcW w:w="610" w:type="pct"/>
                  <w:vAlign w:val="center"/>
                </w:tcPr>
                <w:p w14:paraId="01CA488C">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0.47</w:t>
                  </w:r>
                </w:p>
              </w:tc>
              <w:tc>
                <w:tcPr>
                  <w:tcW w:w="719" w:type="pct"/>
                  <w:vAlign w:val="center"/>
                </w:tcPr>
                <w:p w14:paraId="3801E0EA">
                  <w:pPr>
                    <w:pStyle w:val="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r>
          </w:tbl>
          <w:p w14:paraId="0C0683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③</w:t>
            </w:r>
            <w:r>
              <w:rPr>
                <w:rFonts w:hint="default" w:ascii="Times New Roman" w:hAnsi="Times New Roman" w:eastAsia="宋体" w:cs="Times New Roman"/>
                <w:b/>
                <w:bCs/>
                <w:color w:val="auto"/>
                <w:sz w:val="24"/>
                <w:szCs w:val="24"/>
                <w:lang w:val="en-US" w:eastAsia="zh-CN"/>
              </w:rPr>
              <w:t>食堂油烟</w:t>
            </w:r>
          </w:p>
          <w:p w14:paraId="747EE7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lang w:val="en-US" w:eastAsia="zh-CN"/>
              </w:rPr>
              <w:t>项目设有食堂，食堂设有1个灶头，每日就餐人数为150人。食堂采用清洁燃料，因此食堂仅产生少量食堂油烟。按平衡膳食推荐的以每人每天食用30g食用油计，则用油量为4500g/d。油的平均挥发量为总耗油量的2.83%，经估算，本项目食堂产生油烟量为12.74g/d，46kg/a，每天平均烹调作业6小时计，则油烟产生速率为27.88g/h。食堂安装油烟净化器，油烟净化器的风量为4000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/h，油烟去除效率为60%，则食堂油烟的排放浓度为1.86mg/m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。食堂油烟经</w:t>
            </w:r>
            <w:r>
              <w:rPr>
                <w:rFonts w:hint="default" w:ascii="Times New Roman" w:hAnsi="Times New Roman" w:eastAsia="宋体" w:cs="Times New Roman"/>
                <w:color w:val="auto"/>
                <w:sz w:val="24"/>
                <w:szCs w:val="24"/>
                <w:lang w:val="zh-CN" w:eastAsia="zh-CN"/>
              </w:rPr>
              <w:t>油烟净化器</w:t>
            </w:r>
            <w:r>
              <w:rPr>
                <w:rFonts w:hint="default" w:ascii="Times New Roman" w:hAnsi="Times New Roman" w:eastAsia="宋体" w:cs="Times New Roman"/>
                <w:color w:val="auto"/>
                <w:sz w:val="24"/>
                <w:szCs w:val="24"/>
                <w:lang w:val="en-US" w:eastAsia="zh-CN"/>
              </w:rPr>
              <w:t>处理后</w:t>
            </w:r>
            <w:r>
              <w:rPr>
                <w:rFonts w:hint="default" w:ascii="Times New Roman" w:hAnsi="Times New Roman" w:eastAsia="宋体" w:cs="Times New Roman"/>
                <w:color w:val="auto"/>
                <w:sz w:val="24"/>
              </w:rPr>
              <w:t>满足GB18483-2001《饮食业油烟排放标准》中最高允许排放浓度≤2mg/m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的要求，对周边环境空气影响较小。</w:t>
            </w:r>
          </w:p>
          <w:p w14:paraId="72BB48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④</w:t>
            </w:r>
            <w:r>
              <w:rPr>
                <w:rFonts w:hint="default" w:ascii="Times New Roman" w:hAnsi="Times New Roman" w:eastAsia="宋体" w:cs="Times New Roman"/>
                <w:b/>
                <w:bCs/>
                <w:color w:val="auto"/>
                <w:sz w:val="24"/>
                <w:szCs w:val="24"/>
                <w:lang w:val="en-US" w:eastAsia="zh-CN"/>
              </w:rPr>
              <w:t>污水处理系统恶臭</w:t>
            </w:r>
          </w:p>
          <w:p w14:paraId="08E2C29A">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right="0" w:firstLine="464" w:firstLineChars="200"/>
              <w:textAlignment w:val="auto"/>
              <w:rPr>
                <w:rFonts w:hint="default" w:ascii="Times New Roman" w:hAnsi="Times New Roman" w:eastAsia="宋体" w:cs="Times New Roman"/>
                <w:color w:val="auto"/>
                <w:position w:val="2"/>
                <w:lang w:val="en-US" w:eastAsia="zh-CN"/>
              </w:rPr>
            </w:pPr>
            <w:r>
              <w:rPr>
                <w:rFonts w:hint="default" w:ascii="Times New Roman" w:hAnsi="Times New Roman" w:eastAsia="宋体" w:cs="Times New Roman"/>
                <w:color w:val="auto"/>
                <w:spacing w:val="-4"/>
              </w:rPr>
              <w:t>污水处理系统采用了混凝沉淀</w:t>
            </w:r>
            <w:r>
              <w:rPr>
                <w:rFonts w:hint="default" w:ascii="Times New Roman" w:hAnsi="Times New Roman" w:eastAsia="宋体" w:cs="Times New Roman"/>
                <w:color w:val="auto"/>
              </w:rPr>
              <w:t>+UASB+缺氧+MBR 膜过</w:t>
            </w:r>
            <w:r>
              <w:rPr>
                <w:rFonts w:hint="default" w:ascii="Times New Roman" w:hAnsi="Times New Roman" w:eastAsia="宋体" w:cs="Times New Roman"/>
                <w:color w:val="auto"/>
                <w:spacing w:val="-2"/>
              </w:rPr>
              <w:t>滤工艺，</w:t>
            </w:r>
            <w:r>
              <w:rPr>
                <w:rFonts w:hint="default" w:ascii="Times New Roman" w:hAnsi="Times New Roman" w:eastAsia="宋体" w:cs="Times New Roman"/>
                <w:color w:val="auto"/>
                <w:spacing w:val="-8"/>
              </w:rPr>
              <w:t xml:space="preserve">UASB </w:t>
            </w:r>
            <w:r>
              <w:rPr>
                <w:rFonts w:hint="default" w:ascii="Times New Roman" w:hAnsi="Times New Roman" w:eastAsia="宋体" w:cs="Times New Roman"/>
                <w:color w:val="auto"/>
                <w:spacing w:val="-4"/>
              </w:rPr>
              <w:t>为活性污泥处理方法，在厌氧反应发生在废水和污泥颗粒接触的</w:t>
            </w:r>
            <w:r>
              <w:rPr>
                <w:rFonts w:hint="default" w:ascii="Times New Roman" w:hAnsi="Times New Roman" w:eastAsia="宋体" w:cs="Times New Roman"/>
                <w:color w:val="auto"/>
                <w:spacing w:val="-8"/>
              </w:rPr>
              <w:t>过程，在厌氧状态下产生</w:t>
            </w:r>
            <w:r>
              <w:rPr>
                <w:rFonts w:hint="default" w:ascii="Times New Roman" w:hAnsi="Times New Roman" w:eastAsia="宋体" w:cs="Times New Roman"/>
                <w:color w:val="auto"/>
                <w:spacing w:val="-2"/>
              </w:rPr>
              <w:t>一定的恶</w:t>
            </w:r>
            <w:r>
              <w:rPr>
                <w:rFonts w:hint="default" w:ascii="Times New Roman" w:hAnsi="Times New Roman" w:eastAsia="宋体" w:cs="Times New Roman"/>
                <w:color w:val="auto"/>
                <w:spacing w:val="-4"/>
              </w:rPr>
              <w:t>臭物质，</w:t>
            </w:r>
            <w:r>
              <w:rPr>
                <w:rFonts w:hint="default" w:ascii="Times New Roman" w:hAnsi="Times New Roman" w:eastAsia="宋体" w:cs="Times New Roman"/>
                <w:color w:val="auto"/>
                <w:spacing w:val="-4"/>
                <w:lang w:eastAsia="zh-CN"/>
              </w:rPr>
              <w:t>以</w:t>
            </w:r>
            <w:r>
              <w:rPr>
                <w:rFonts w:hint="default" w:ascii="Times New Roman" w:hAnsi="Times New Roman" w:eastAsia="宋体" w:cs="Times New Roman"/>
                <w:color w:val="auto"/>
                <w:position w:val="2"/>
                <w:lang w:eastAsia="zh-CN"/>
              </w:rPr>
              <w:t>臭气浓度表征</w:t>
            </w:r>
            <w:r>
              <w:rPr>
                <w:rFonts w:hint="default" w:ascii="Times New Roman" w:hAnsi="Times New Roman" w:eastAsia="宋体" w:cs="Times New Roman"/>
                <w:color w:val="auto"/>
                <w:spacing w:val="-7"/>
                <w:position w:val="2"/>
                <w:vertAlign w:val="baseline"/>
                <w:lang w:eastAsia="zh-CN"/>
              </w:rPr>
              <w:t>，产生的恶臭呈无组织排放，污水处理系统周边较为开阔，对周围大气环境影响较小。</w:t>
            </w:r>
          </w:p>
          <w:p w14:paraId="68744800">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2）无组织废气核算</w:t>
            </w:r>
          </w:p>
          <w:p w14:paraId="752D39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i w:val="0"/>
                <w:iCs w:val="0"/>
                <w:color w:val="auto"/>
                <w:kern w:val="0"/>
                <w:sz w:val="21"/>
                <w:szCs w:val="21"/>
                <w:u w:val="none"/>
                <w:lang w:val="en-US" w:eastAsia="zh-CN" w:bidi="ar"/>
              </w:rPr>
              <w:t>无组织废气排放情况</w:t>
            </w:r>
          </w:p>
          <w:tbl>
            <w:tblPr>
              <w:tblStyle w:val="28"/>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0"/>
              <w:gridCol w:w="930"/>
              <w:gridCol w:w="956"/>
              <w:gridCol w:w="931"/>
              <w:gridCol w:w="931"/>
              <w:gridCol w:w="931"/>
              <w:gridCol w:w="931"/>
              <w:gridCol w:w="958"/>
              <w:gridCol w:w="931"/>
            </w:tblGrid>
            <w:tr w14:paraId="47B8A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E7701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产污排污环节</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CE19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水性涂料生产投料</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9FB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包装口挥发性有机废气挥发</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F16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水性涂料粉料卸料</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C1E8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砂壁生产氨水挥发</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840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腻子粉投料、配料、混料</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57E4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腻子粉生产包装</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BE37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腻子粉车间卸料粉尘</w:t>
                  </w:r>
                </w:p>
              </w:tc>
            </w:tr>
            <w:tr w14:paraId="6FB9D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AF5E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污染物种类</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7CC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粉尘</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C4B8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非甲烷总烃</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5C3E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粉尘</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029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氨</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C50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粉尘</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14BA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粉尘</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B3E5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粉尘</w:t>
                  </w:r>
                </w:p>
              </w:tc>
            </w:tr>
            <w:tr w14:paraId="4F6D6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FF1A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污染物产生量（t/a）</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941D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0.46</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297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0.058</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E148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19.55</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1B33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0.175</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F3D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1D7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589C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42.38</w:t>
                  </w:r>
                </w:p>
              </w:tc>
            </w:tr>
            <w:tr w14:paraId="763D6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D464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污染物产生速率（mg/m</w:t>
                  </w:r>
                  <w:r>
                    <w:rPr>
                      <w:rFonts w:hint="default" w:ascii="Times New Roman" w:hAnsi="Times New Roman" w:eastAsia="宋体" w:cs="Times New Roman"/>
                      <w:b/>
                      <w:bCs/>
                      <w:i w:val="0"/>
                      <w:iCs w:val="0"/>
                      <w:color w:val="000000"/>
                      <w:kern w:val="0"/>
                      <w:sz w:val="21"/>
                      <w:szCs w:val="21"/>
                      <w:u w:val="none"/>
                      <w:vertAlign w:val="superscript"/>
                      <w:lang w:val="en-US" w:eastAsia="zh-CN" w:bidi="ar"/>
                    </w:rPr>
                    <w:t>3</w:t>
                  </w:r>
                  <w:r>
                    <w:rPr>
                      <w:rFonts w:hint="default" w:ascii="Times New Roman" w:hAnsi="Times New Roman" w:eastAsia="宋体" w:cs="Times New Roman"/>
                      <w:b/>
                      <w:bCs/>
                      <w:i w:val="0"/>
                      <w:iCs w:val="0"/>
                      <w:color w:val="000000"/>
                      <w:kern w:val="0"/>
                      <w:sz w:val="21"/>
                      <w:szCs w:val="21"/>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8F14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0.2</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71F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0.064</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692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28.4</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791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8609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23.96</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1E6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0.125</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D043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47.09</w:t>
                  </w:r>
                </w:p>
              </w:tc>
            </w:tr>
            <w:tr w14:paraId="77D64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8699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排放形式</w:t>
                  </w:r>
                </w:p>
              </w:tc>
              <w:tc>
                <w:tcPr>
                  <w:tcW w:w="3343"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7FA76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无组织</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B5F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r>
            <w:tr w14:paraId="37D7F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07C9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治理设施</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F0CE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处理能力</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942E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1C7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4CFB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E22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226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07B1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3FE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7217C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AD8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AA75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收集效率</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02E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2AE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D78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C35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331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500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26B0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511EA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A4D5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F822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治理工艺</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A90C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5F3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A38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脉冲布袋除尘装置</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FF8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1710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生产厂房封闭</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0E1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旋风除尘</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F59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脉冲布袋除尘装置</w:t>
                  </w:r>
                </w:p>
              </w:tc>
            </w:tr>
            <w:tr w14:paraId="58674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2EDA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DB3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治理工艺去除率</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58B8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F38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F9A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7D1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1989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2EE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486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r>
            <w:tr w14:paraId="381DF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77E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F22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是否为可行技术</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FF3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D649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287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是</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B5A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8D8E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是</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86B8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是</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E29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是</w:t>
                  </w:r>
                </w:p>
              </w:tc>
            </w:tr>
            <w:tr w14:paraId="7954C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D92D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污染物排放浓度（mg/m</w:t>
                  </w:r>
                  <w:r>
                    <w:rPr>
                      <w:rFonts w:hint="default" w:ascii="Times New Roman" w:hAnsi="Times New Roman" w:eastAsia="宋体" w:cs="Times New Roman"/>
                      <w:b/>
                      <w:bCs/>
                      <w:i w:val="0"/>
                      <w:iCs w:val="0"/>
                      <w:color w:val="000000"/>
                      <w:kern w:val="0"/>
                      <w:sz w:val="21"/>
                      <w:szCs w:val="21"/>
                      <w:u w:val="none"/>
                      <w:vertAlign w:val="superscript"/>
                      <w:lang w:val="en-US" w:eastAsia="zh-CN" w:bidi="ar"/>
                    </w:rPr>
                    <w:t>3</w:t>
                  </w:r>
                  <w:r>
                    <w:rPr>
                      <w:rFonts w:hint="default" w:ascii="Times New Roman" w:hAnsi="Times New Roman" w:eastAsia="宋体" w:cs="Times New Roman"/>
                      <w:b/>
                      <w:bCs/>
                      <w:i w:val="0"/>
                      <w:iCs w:val="0"/>
                      <w:color w:val="000000"/>
                      <w:kern w:val="0"/>
                      <w:sz w:val="21"/>
                      <w:szCs w:val="21"/>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46CE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67C2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03BA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94E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DFD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3C71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6078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r>
            <w:tr w14:paraId="04F1E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75725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污染物排放速率（kg/h）</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DBD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0.2</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12EE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0.064</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3E23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0.28</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3ED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1A3F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0.24</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C87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0.0007</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3F3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0.47</w:t>
                  </w:r>
                </w:p>
              </w:tc>
            </w:tr>
            <w:tr w14:paraId="45D03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D975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污染物排放量（t/a）</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68A2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0.46</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12D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0.058</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E35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544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0.175</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8304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E56F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0.003</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92D8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0.42</w:t>
                  </w:r>
                </w:p>
              </w:tc>
            </w:tr>
            <w:tr w14:paraId="7BBC4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516F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排放口基本情况</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3AD8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04F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00E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274E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30A7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4756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0F1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3C188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BF8B5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排气筒高度</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D7D1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152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303F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3E54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C9A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E37B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177D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2F2D0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0FB51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排气筒内径</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7E4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7A8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B7F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FF0C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71A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8175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FE82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44F80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7B6F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温度</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7E4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FEB3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165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6A45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AB7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71C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25BC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0D022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00F10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编号</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11DF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2A3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2A1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804C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0DB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CEB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C35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0C1D1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1F530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类型</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9D0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903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A480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3D1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6AC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D542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7120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6CE05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4185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地理坐标</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EAF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C4C9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39D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13C8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5206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A60A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6320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159F9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95A51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监测要求</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A0B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1BC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019B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E4D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A5D4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A8B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C3E6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7A8E5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E522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监测点位</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BDED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厂界</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8E54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厂界</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4E8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D12D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厂界</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FE31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厂界</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401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厂界</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429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厂界</w:t>
                  </w:r>
                </w:p>
              </w:tc>
            </w:tr>
            <w:tr w14:paraId="227BD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F14D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监测因子</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A904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224F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非甲烷总烃</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28E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粉尘</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F733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氨</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9EF1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粉尘</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E4E6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粉尘</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9C6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粉尘</w:t>
                  </w:r>
                </w:p>
              </w:tc>
            </w:tr>
            <w:tr w14:paraId="6025A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FEFD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监测频次</w:t>
                  </w:r>
                </w:p>
              </w:tc>
              <w:tc>
                <w:tcPr>
                  <w:tcW w:w="3895"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7EF98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1次/半年</w:t>
                  </w:r>
                </w:p>
              </w:tc>
            </w:tr>
            <w:tr w14:paraId="12079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E2B5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执行标准</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A46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3327"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72F40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厂界：颗粒物、非甲烷总烃排放浓度执行《大气污染物综合排放标准》（GB16297-1996）表2中无组织标准限值要求。厂区内：非甲烷总烃执行《涂料、油墨、胶粘剂工业大气污染物排放标准》（GB37824-2019）表B.1厂区内VOCs无组织排放限值。氨排放执行《恶臭污染物排放标准》（GB14554-93）中表1二级标准</w:t>
                  </w:r>
                </w:p>
              </w:tc>
            </w:tr>
          </w:tbl>
          <w:p w14:paraId="78CB4AA0">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（2）有组织废气达标排放分析</w:t>
            </w:r>
          </w:p>
          <w:p w14:paraId="11295009">
            <w:pPr>
              <w:pStyle w:val="39"/>
              <w:jc w:val="both"/>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sz w:val="24"/>
                <w:szCs w:val="24"/>
                <w:lang w:val="en-US" w:eastAsia="zh-CN"/>
              </w:rPr>
              <w:t>项目</w:t>
            </w:r>
            <w:r>
              <w:rPr>
                <w:rFonts w:hint="eastAsia" w:ascii="Times New Roman" w:hAnsi="Times New Roman" w:cs="Times New Roman"/>
                <w:color w:val="auto"/>
                <w:sz w:val="24"/>
                <w:szCs w:val="24"/>
                <w:lang w:val="en-US" w:eastAsia="zh-CN"/>
              </w:rPr>
              <w:t>水性涂料</w:t>
            </w:r>
            <w:r>
              <w:rPr>
                <w:rFonts w:hint="default" w:ascii="Times New Roman" w:hAnsi="Times New Roman" w:eastAsia="宋体" w:cs="Times New Roman"/>
                <w:color w:val="auto"/>
                <w:sz w:val="24"/>
                <w:szCs w:val="24"/>
                <w:lang w:val="en-US" w:eastAsia="zh-CN"/>
              </w:rPr>
              <w:t>产生</w:t>
            </w:r>
            <w:r>
              <w:rPr>
                <w:rFonts w:hint="eastAsia" w:ascii="Times New Roman" w:hAnsi="Times New Roman" w:cs="Times New Roman"/>
                <w:color w:val="auto"/>
                <w:sz w:val="24"/>
                <w:szCs w:val="24"/>
                <w:lang w:val="en-US" w:eastAsia="zh-CN"/>
              </w:rPr>
              <w:t>车间产生</w:t>
            </w:r>
            <w:r>
              <w:rPr>
                <w:rFonts w:hint="default" w:ascii="Times New Roman" w:hAnsi="Times New Roman" w:eastAsia="宋体" w:cs="Times New Roman"/>
                <w:color w:val="auto"/>
                <w:sz w:val="24"/>
                <w:szCs w:val="24"/>
                <w:lang w:val="en-US" w:eastAsia="zh-CN"/>
              </w:rPr>
              <w:t>的投料粉</w:t>
            </w:r>
            <w:r>
              <w:rPr>
                <w:rFonts w:hint="eastAsia" w:ascii="Times New Roman" w:hAnsi="Times New Roman" w:cs="Times New Roman"/>
                <w:color w:val="auto"/>
                <w:sz w:val="24"/>
                <w:szCs w:val="24"/>
                <w:lang w:val="en-US" w:eastAsia="zh-CN"/>
              </w:rPr>
              <w:t>、及包装环节产生非甲烷总烃</w:t>
            </w:r>
            <w:r>
              <w:rPr>
                <w:rFonts w:hint="default" w:ascii="Times New Roman" w:hAnsi="Times New Roman" w:eastAsia="宋体" w:cs="Times New Roman"/>
                <w:color w:val="auto"/>
                <w:sz w:val="24"/>
                <w:szCs w:val="24"/>
                <w:lang w:val="en-US" w:eastAsia="zh-CN"/>
              </w:rPr>
              <w:t>尘经布袋除尘器</w:t>
            </w:r>
            <w:r>
              <w:rPr>
                <w:rFonts w:hint="eastAsia" w:ascii="Times New Roman" w:hAnsi="Times New Roman" w:cs="Times New Roman"/>
                <w:color w:val="auto"/>
                <w:sz w:val="24"/>
                <w:szCs w:val="24"/>
                <w:lang w:val="en-US" w:eastAsia="zh-CN"/>
              </w:rPr>
              <w:t>+uv光氧+活性炭吸附装置处理，</w:t>
            </w:r>
            <w:r>
              <w:rPr>
                <w:rFonts w:hint="default" w:ascii="Times New Roman" w:hAnsi="Times New Roman" w:eastAsia="宋体" w:cs="Times New Roman"/>
                <w:color w:val="auto"/>
                <w:sz w:val="24"/>
                <w:szCs w:val="24"/>
                <w:lang w:val="en-US" w:eastAsia="zh-CN"/>
              </w:rPr>
              <w:t>后通过15m高的DA002排气筒排放放；腻子粉生产线产生的投料、配料、</w:t>
            </w:r>
            <w:r>
              <w:rPr>
                <w:rFonts w:hint="eastAsia" w:ascii="Times New Roman" w:hAnsi="Times New Roman" w:cs="Times New Roman"/>
                <w:color w:val="auto"/>
                <w:sz w:val="24"/>
                <w:szCs w:val="24"/>
                <w:lang w:val="en-US" w:eastAsia="zh-CN"/>
              </w:rPr>
              <w:t>混料</w:t>
            </w:r>
            <w:r>
              <w:rPr>
                <w:rFonts w:hint="default" w:ascii="Times New Roman" w:hAnsi="Times New Roman" w:eastAsia="宋体" w:cs="Times New Roman"/>
                <w:color w:val="auto"/>
                <w:sz w:val="24"/>
                <w:szCs w:val="24"/>
                <w:lang w:val="en-US" w:eastAsia="zh-CN"/>
              </w:rPr>
              <w:t>粉尘经1套集中式滤筒除尘器除尘后，通过15m高的DA001排气筒排放。</w:t>
            </w:r>
            <w:r>
              <w:rPr>
                <w:rFonts w:hint="default" w:ascii="Times New Roman" w:hAnsi="Times New Roman" w:eastAsia="宋体" w:cs="Times New Roman"/>
                <w:color w:val="auto"/>
                <w:sz w:val="24"/>
                <w:szCs w:val="24"/>
                <w:highlight w:val="none"/>
              </w:rPr>
              <w:t>正常工况下达标情况详见下表。</w:t>
            </w:r>
          </w:p>
          <w:p w14:paraId="0BBD18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有组织废气产排情况一览表</w:t>
            </w:r>
          </w:p>
          <w:tbl>
            <w:tblPr>
              <w:tblStyle w:val="29"/>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9"/>
              <w:gridCol w:w="950"/>
              <w:gridCol w:w="871"/>
              <w:gridCol w:w="929"/>
              <w:gridCol w:w="856"/>
              <w:gridCol w:w="844"/>
              <w:gridCol w:w="880"/>
              <w:gridCol w:w="822"/>
              <w:gridCol w:w="789"/>
              <w:gridCol w:w="651"/>
            </w:tblGrid>
            <w:tr w14:paraId="19662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92" w:type="pct"/>
                  <w:vAlign w:val="center"/>
                </w:tcPr>
                <w:p w14:paraId="6582391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lang w:eastAsia="zh-CN"/>
                    </w:rPr>
                  </w:pPr>
                  <w:r>
                    <w:rPr>
                      <w:rFonts w:hint="default" w:ascii="Times New Roman" w:hAnsi="Times New Roman" w:eastAsia="宋体" w:cs="Times New Roman"/>
                      <w:b/>
                      <w:bCs w:val="0"/>
                      <w:color w:val="auto"/>
                      <w:kern w:val="0"/>
                      <w:sz w:val="21"/>
                      <w:szCs w:val="21"/>
                      <w:lang w:val="en-US" w:eastAsia="zh-CN"/>
                    </w:rPr>
                    <w:t>排放源</w:t>
                  </w:r>
                </w:p>
              </w:tc>
              <w:tc>
                <w:tcPr>
                  <w:tcW w:w="564" w:type="pct"/>
                  <w:vAlign w:val="center"/>
                </w:tcPr>
                <w:p w14:paraId="39C78D7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产污环节</w:t>
                  </w:r>
                </w:p>
              </w:tc>
              <w:tc>
                <w:tcPr>
                  <w:tcW w:w="517" w:type="pct"/>
                  <w:vAlign w:val="center"/>
                </w:tcPr>
                <w:p w14:paraId="5B086B2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lang w:val="en-US" w:eastAsia="zh-CN"/>
                    </w:rPr>
                  </w:pPr>
                  <w:r>
                    <w:rPr>
                      <w:rFonts w:hint="default" w:ascii="Times New Roman" w:hAnsi="Times New Roman" w:eastAsia="宋体" w:cs="Times New Roman"/>
                      <w:b/>
                      <w:bCs w:val="0"/>
                      <w:color w:val="auto"/>
                      <w:kern w:val="0"/>
                      <w:sz w:val="21"/>
                      <w:szCs w:val="21"/>
                      <w:lang w:val="en-US" w:eastAsia="zh-CN"/>
                    </w:rPr>
                    <w:t>污染物</w:t>
                  </w:r>
                </w:p>
              </w:tc>
              <w:tc>
                <w:tcPr>
                  <w:tcW w:w="551" w:type="pct"/>
                  <w:vAlign w:val="center"/>
                </w:tcPr>
                <w:p w14:paraId="0D733E1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lang w:val="en-US" w:eastAsia="zh-CN"/>
                    </w:rPr>
                  </w:pPr>
                  <w:r>
                    <w:rPr>
                      <w:rFonts w:hint="default" w:ascii="Times New Roman" w:hAnsi="Times New Roman" w:eastAsia="宋体" w:cs="Times New Roman"/>
                      <w:b/>
                      <w:bCs w:val="0"/>
                      <w:color w:val="auto"/>
                      <w:kern w:val="0"/>
                      <w:sz w:val="21"/>
                      <w:szCs w:val="21"/>
                      <w:lang w:val="en-US" w:eastAsia="zh-CN"/>
                    </w:rPr>
                    <w:t>产生浓度</w:t>
                  </w:r>
                  <w:r>
                    <w:rPr>
                      <w:rFonts w:hint="default" w:ascii="Times New Roman" w:hAnsi="Times New Roman" w:eastAsia="宋体" w:cs="Times New Roman"/>
                      <w:b/>
                      <w:bCs w:val="0"/>
                      <w:color w:val="auto"/>
                      <w:kern w:val="0"/>
                      <w:sz w:val="21"/>
                      <w:szCs w:val="21"/>
                    </w:rPr>
                    <w:t>mg/m</w:t>
                  </w:r>
                  <w:r>
                    <w:rPr>
                      <w:rFonts w:hint="default" w:ascii="Times New Roman" w:hAnsi="Times New Roman" w:eastAsia="宋体" w:cs="Times New Roman"/>
                      <w:b/>
                      <w:bCs w:val="0"/>
                      <w:color w:val="auto"/>
                      <w:kern w:val="0"/>
                      <w:sz w:val="21"/>
                      <w:szCs w:val="21"/>
                      <w:vertAlign w:val="superscript"/>
                    </w:rPr>
                    <w:t>3</w:t>
                  </w:r>
                </w:p>
              </w:tc>
              <w:tc>
                <w:tcPr>
                  <w:tcW w:w="508" w:type="pct"/>
                  <w:vAlign w:val="center"/>
                </w:tcPr>
                <w:p w14:paraId="68783D7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产生速率</w:t>
                  </w:r>
                </w:p>
                <w:p w14:paraId="2837507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kg/h</w:t>
                  </w:r>
                </w:p>
              </w:tc>
              <w:tc>
                <w:tcPr>
                  <w:tcW w:w="501" w:type="pct"/>
                  <w:vAlign w:val="center"/>
                </w:tcPr>
                <w:p w14:paraId="463643F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产生量</w:t>
                  </w:r>
                </w:p>
                <w:p w14:paraId="33058C0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t/a</w:t>
                  </w:r>
                </w:p>
              </w:tc>
              <w:tc>
                <w:tcPr>
                  <w:tcW w:w="522" w:type="pct"/>
                  <w:vAlign w:val="center"/>
                </w:tcPr>
                <w:p w14:paraId="7EBFAD8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排放浓度</w:t>
                  </w:r>
                </w:p>
                <w:p w14:paraId="12BC65E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mg/m</w:t>
                  </w:r>
                  <w:r>
                    <w:rPr>
                      <w:rFonts w:hint="default" w:ascii="Times New Roman" w:hAnsi="Times New Roman" w:eastAsia="宋体" w:cs="Times New Roman"/>
                      <w:b/>
                      <w:bCs w:val="0"/>
                      <w:color w:val="auto"/>
                      <w:kern w:val="0"/>
                      <w:sz w:val="21"/>
                      <w:szCs w:val="21"/>
                      <w:vertAlign w:val="superscript"/>
                    </w:rPr>
                    <w:t>3</w:t>
                  </w:r>
                </w:p>
              </w:tc>
              <w:tc>
                <w:tcPr>
                  <w:tcW w:w="488" w:type="pct"/>
                  <w:vAlign w:val="center"/>
                </w:tcPr>
                <w:p w14:paraId="42BBC06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排放速率</w:t>
                  </w:r>
                </w:p>
                <w:p w14:paraId="215E33B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kg/h</w:t>
                  </w:r>
                </w:p>
              </w:tc>
              <w:tc>
                <w:tcPr>
                  <w:tcW w:w="468" w:type="pct"/>
                  <w:vAlign w:val="center"/>
                </w:tcPr>
                <w:p w14:paraId="39D462C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排放量</w:t>
                  </w:r>
                </w:p>
                <w:p w14:paraId="4264B98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t/a</w:t>
                  </w:r>
                </w:p>
              </w:tc>
              <w:tc>
                <w:tcPr>
                  <w:tcW w:w="386" w:type="pct"/>
                  <w:vAlign w:val="center"/>
                </w:tcPr>
                <w:p w14:paraId="4869EBF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lang w:val="en-US" w:eastAsia="zh-CN"/>
                    </w:rPr>
                  </w:pPr>
                  <w:r>
                    <w:rPr>
                      <w:rFonts w:hint="default" w:ascii="Times New Roman" w:hAnsi="Times New Roman" w:eastAsia="宋体" w:cs="Times New Roman"/>
                      <w:b/>
                      <w:bCs w:val="0"/>
                      <w:color w:val="auto"/>
                      <w:kern w:val="0"/>
                      <w:sz w:val="21"/>
                      <w:szCs w:val="21"/>
                      <w:lang w:val="en-US" w:eastAsia="zh-CN"/>
                    </w:rPr>
                    <w:t>达标判定</w:t>
                  </w:r>
                </w:p>
              </w:tc>
            </w:tr>
            <w:tr w14:paraId="0FA063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92" w:type="pct"/>
                  <w:vAlign w:val="center"/>
                </w:tcPr>
                <w:p w14:paraId="2C3E867E">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DA001排气筒</w:t>
                  </w:r>
                </w:p>
              </w:tc>
              <w:tc>
                <w:tcPr>
                  <w:tcW w:w="564" w:type="pct"/>
                  <w:vAlign w:val="center"/>
                </w:tcPr>
                <w:p w14:paraId="2116C5AB">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腻子粉投料</w:t>
                  </w:r>
                </w:p>
              </w:tc>
              <w:tc>
                <w:tcPr>
                  <w:tcW w:w="517" w:type="pct"/>
                  <w:vAlign w:val="center"/>
                </w:tcPr>
                <w:p w14:paraId="6E2B0748">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颗粒物</w:t>
                  </w:r>
                </w:p>
              </w:tc>
              <w:tc>
                <w:tcPr>
                  <w:tcW w:w="551" w:type="pct"/>
                  <w:vAlign w:val="center"/>
                </w:tcPr>
                <w:p w14:paraId="6DFF2A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bCs/>
                      <w:color w:val="auto"/>
                      <w:kern w:val="0"/>
                      <w:sz w:val="21"/>
                      <w:szCs w:val="21"/>
                      <w:lang w:val="en-US" w:eastAsia="zh-CN"/>
                    </w:rPr>
                    <w:t>1996</w:t>
                  </w:r>
                </w:p>
              </w:tc>
              <w:tc>
                <w:tcPr>
                  <w:tcW w:w="508" w:type="pct"/>
                  <w:vAlign w:val="center"/>
                </w:tcPr>
                <w:p w14:paraId="4F269BCE">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95.8</w:t>
                  </w:r>
                </w:p>
              </w:tc>
              <w:tc>
                <w:tcPr>
                  <w:tcW w:w="501" w:type="pct"/>
                  <w:vAlign w:val="center"/>
                </w:tcPr>
                <w:p w14:paraId="76BF56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0"/>
                      <w:sz w:val="21"/>
                      <w:szCs w:val="21"/>
                      <w:lang w:val="en-US" w:eastAsia="zh-CN"/>
                    </w:rPr>
                  </w:pPr>
                  <w:r>
                    <w:rPr>
                      <w:rFonts w:hint="eastAsia" w:cs="Times New Roman"/>
                      <w:i w:val="0"/>
                      <w:iCs w:val="0"/>
                      <w:color w:val="auto"/>
                      <w:kern w:val="0"/>
                      <w:sz w:val="21"/>
                      <w:szCs w:val="21"/>
                      <w:u w:val="none"/>
                      <w:lang w:val="en-US" w:eastAsia="zh-CN" w:bidi="ar"/>
                    </w:rPr>
                    <w:t>460</w:t>
                  </w:r>
                </w:p>
              </w:tc>
              <w:tc>
                <w:tcPr>
                  <w:tcW w:w="522" w:type="pct"/>
                  <w:vAlign w:val="center"/>
                </w:tcPr>
                <w:p w14:paraId="4F57505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20</w:t>
                  </w:r>
                </w:p>
              </w:tc>
              <w:tc>
                <w:tcPr>
                  <w:tcW w:w="488" w:type="pct"/>
                  <w:vAlign w:val="center"/>
                </w:tcPr>
                <w:p w14:paraId="0AE6D76F">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0.96</w:t>
                  </w:r>
                </w:p>
              </w:tc>
              <w:tc>
                <w:tcPr>
                  <w:tcW w:w="468" w:type="pct"/>
                  <w:vAlign w:val="center"/>
                </w:tcPr>
                <w:p w14:paraId="760EBCD9">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4.6</w:t>
                  </w:r>
                </w:p>
              </w:tc>
              <w:tc>
                <w:tcPr>
                  <w:tcW w:w="386" w:type="pct"/>
                  <w:vAlign w:val="center"/>
                </w:tcPr>
                <w:p w14:paraId="6A8BBAAF">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rPr>
                    <w:t>达标排放</w:t>
                  </w:r>
                </w:p>
              </w:tc>
            </w:tr>
            <w:tr w14:paraId="546C4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92" w:type="pct"/>
                  <w:vMerge w:val="restart"/>
                  <w:vAlign w:val="center"/>
                </w:tcPr>
                <w:p w14:paraId="0E54C0FE">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rPr>
                    <w:t>DA002排气筒</w:t>
                  </w:r>
                </w:p>
              </w:tc>
              <w:tc>
                <w:tcPr>
                  <w:tcW w:w="564" w:type="pct"/>
                  <w:vAlign w:val="center"/>
                </w:tcPr>
                <w:p w14:paraId="4A96EE2D">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rPr>
                    <w:t>水性涂料生产投料</w:t>
                  </w:r>
                </w:p>
              </w:tc>
              <w:tc>
                <w:tcPr>
                  <w:tcW w:w="517" w:type="pct"/>
                  <w:vAlign w:val="center"/>
                </w:tcPr>
                <w:p w14:paraId="45808E0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vertAlign w:val="subscript"/>
                      <w:lang w:val="en-US" w:eastAsia="zh-CN" w:bidi="ar-SA"/>
                    </w:rPr>
                  </w:pPr>
                  <w:r>
                    <w:rPr>
                      <w:rFonts w:hint="default" w:ascii="Times New Roman" w:hAnsi="Times New Roman" w:eastAsia="宋体" w:cs="Times New Roman"/>
                      <w:bCs/>
                      <w:color w:val="auto"/>
                      <w:kern w:val="0"/>
                      <w:sz w:val="21"/>
                      <w:szCs w:val="21"/>
                      <w:vertAlign w:val="baseline"/>
                      <w:lang w:val="en-US" w:eastAsia="zh-CN"/>
                    </w:rPr>
                    <w:t>颗粒物</w:t>
                  </w:r>
                </w:p>
              </w:tc>
              <w:tc>
                <w:tcPr>
                  <w:tcW w:w="551" w:type="pct"/>
                  <w:vAlign w:val="center"/>
                </w:tcPr>
                <w:p w14:paraId="26F45B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0"/>
                      <w:sz w:val="21"/>
                      <w:szCs w:val="21"/>
                      <w:lang w:val="en-US" w:eastAsia="zh-CN" w:bidi="ar-SA"/>
                    </w:rPr>
                  </w:pPr>
                  <w:r>
                    <w:rPr>
                      <w:rFonts w:hint="eastAsia" w:cs="Times New Roman"/>
                      <w:i w:val="0"/>
                      <w:iCs w:val="0"/>
                      <w:color w:val="auto"/>
                      <w:kern w:val="0"/>
                      <w:sz w:val="21"/>
                      <w:szCs w:val="21"/>
                      <w:u w:val="none"/>
                      <w:lang w:val="en-US" w:eastAsia="zh-CN" w:bidi="ar"/>
                    </w:rPr>
                    <w:t>132</w:t>
                  </w:r>
                </w:p>
              </w:tc>
              <w:tc>
                <w:tcPr>
                  <w:tcW w:w="508" w:type="pct"/>
                  <w:vAlign w:val="center"/>
                </w:tcPr>
                <w:p w14:paraId="67C77CA9">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0.794</w:t>
                  </w:r>
                </w:p>
              </w:tc>
              <w:tc>
                <w:tcPr>
                  <w:tcW w:w="501" w:type="pct"/>
                  <w:vAlign w:val="center"/>
                </w:tcPr>
                <w:p w14:paraId="5350BC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0"/>
                      <w:sz w:val="21"/>
                      <w:szCs w:val="21"/>
                      <w:lang w:val="en-US" w:eastAsia="zh-CN"/>
                    </w:rPr>
                  </w:pPr>
                  <w:r>
                    <w:rPr>
                      <w:rFonts w:hint="eastAsia" w:cs="Times New Roman"/>
                      <w:i w:val="0"/>
                      <w:iCs w:val="0"/>
                      <w:color w:val="auto"/>
                      <w:kern w:val="0"/>
                      <w:sz w:val="21"/>
                      <w:szCs w:val="21"/>
                      <w:u w:val="none"/>
                      <w:lang w:val="en-US" w:eastAsia="zh-CN" w:bidi="ar"/>
                    </w:rPr>
                    <w:t>1.84</w:t>
                  </w:r>
                </w:p>
              </w:tc>
              <w:tc>
                <w:tcPr>
                  <w:tcW w:w="522" w:type="pct"/>
                  <w:vAlign w:val="center"/>
                </w:tcPr>
                <w:p w14:paraId="5334F36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1.32</w:t>
                  </w:r>
                </w:p>
              </w:tc>
              <w:tc>
                <w:tcPr>
                  <w:tcW w:w="488" w:type="pct"/>
                  <w:vAlign w:val="center"/>
                </w:tcPr>
                <w:p w14:paraId="677D7E10">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0.00</w:t>
                  </w:r>
                  <w:r>
                    <w:rPr>
                      <w:rFonts w:hint="eastAsia" w:cs="Times New Roman"/>
                      <w:bCs/>
                      <w:color w:val="auto"/>
                      <w:kern w:val="0"/>
                      <w:sz w:val="21"/>
                      <w:szCs w:val="21"/>
                      <w:lang w:val="en-US" w:eastAsia="zh-CN"/>
                    </w:rPr>
                    <w:t>8</w:t>
                  </w:r>
                </w:p>
              </w:tc>
              <w:tc>
                <w:tcPr>
                  <w:tcW w:w="468" w:type="pct"/>
                  <w:vAlign w:val="center"/>
                </w:tcPr>
                <w:p w14:paraId="0B42A7F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0.01</w:t>
                  </w:r>
                  <w:r>
                    <w:rPr>
                      <w:rFonts w:hint="eastAsia" w:cs="Times New Roman"/>
                      <w:bCs/>
                      <w:color w:val="auto"/>
                      <w:kern w:val="0"/>
                      <w:sz w:val="21"/>
                      <w:szCs w:val="21"/>
                      <w:lang w:val="en-US" w:eastAsia="zh-CN"/>
                    </w:rPr>
                    <w:t>8</w:t>
                  </w:r>
                </w:p>
              </w:tc>
              <w:tc>
                <w:tcPr>
                  <w:tcW w:w="386" w:type="pct"/>
                  <w:vAlign w:val="center"/>
                </w:tcPr>
                <w:p w14:paraId="087349A7">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rPr>
                    <w:t>达标排放</w:t>
                  </w:r>
                </w:p>
              </w:tc>
            </w:tr>
            <w:tr w14:paraId="1A524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92" w:type="pct"/>
                  <w:vMerge w:val="continue"/>
                  <w:vAlign w:val="center"/>
                </w:tcPr>
                <w:p w14:paraId="2CF4FE3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rPr>
                  </w:pPr>
                </w:p>
              </w:tc>
              <w:tc>
                <w:tcPr>
                  <w:tcW w:w="564" w:type="pct"/>
                  <w:vAlign w:val="center"/>
                </w:tcPr>
                <w:p w14:paraId="3F7FFC06">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包装</w:t>
                  </w:r>
                </w:p>
              </w:tc>
              <w:tc>
                <w:tcPr>
                  <w:tcW w:w="517" w:type="pct"/>
                  <w:vAlign w:val="center"/>
                </w:tcPr>
                <w:p w14:paraId="674E3DCD">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vertAlign w:val="baseline"/>
                      <w:lang w:val="en-US" w:eastAsia="zh-CN"/>
                    </w:rPr>
                  </w:pPr>
                  <w:r>
                    <w:rPr>
                      <w:rFonts w:hint="eastAsia" w:cs="Times New Roman"/>
                      <w:bCs/>
                      <w:color w:val="auto"/>
                      <w:kern w:val="0"/>
                      <w:sz w:val="21"/>
                      <w:szCs w:val="21"/>
                      <w:vertAlign w:val="baseline"/>
                      <w:lang w:val="en-US" w:eastAsia="zh-CN"/>
                    </w:rPr>
                    <w:t>非甲烷总烃</w:t>
                  </w:r>
                </w:p>
              </w:tc>
              <w:tc>
                <w:tcPr>
                  <w:tcW w:w="551" w:type="pct"/>
                  <w:vAlign w:val="center"/>
                </w:tcPr>
                <w:p w14:paraId="255D952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eastAsia" w:cs="Times New Roman"/>
                      <w:i w:val="0"/>
                      <w:iCs w:val="0"/>
                      <w:color w:val="auto"/>
                      <w:kern w:val="0"/>
                      <w:sz w:val="21"/>
                      <w:szCs w:val="21"/>
                      <w:u w:val="none"/>
                      <w:lang w:val="en-US" w:eastAsia="zh-CN" w:bidi="ar"/>
                    </w:rPr>
                    <w:t>42.5</w:t>
                  </w:r>
                </w:p>
              </w:tc>
              <w:tc>
                <w:tcPr>
                  <w:tcW w:w="508" w:type="pct"/>
                  <w:vAlign w:val="center"/>
                </w:tcPr>
                <w:p w14:paraId="4A0916D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rPr>
                    <w:t>0.255</w:t>
                  </w:r>
                </w:p>
              </w:tc>
              <w:tc>
                <w:tcPr>
                  <w:tcW w:w="501" w:type="pct"/>
                  <w:vAlign w:val="center"/>
                </w:tcPr>
                <w:p w14:paraId="34D3A24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eastAsia" w:cs="Times New Roman"/>
                      <w:i w:val="0"/>
                      <w:iCs w:val="0"/>
                      <w:color w:val="auto"/>
                      <w:kern w:val="0"/>
                      <w:sz w:val="21"/>
                      <w:szCs w:val="21"/>
                      <w:u w:val="none"/>
                      <w:lang w:val="en-US" w:eastAsia="zh-CN" w:bidi="ar"/>
                    </w:rPr>
                    <w:t>0.23</w:t>
                  </w:r>
                </w:p>
              </w:tc>
              <w:tc>
                <w:tcPr>
                  <w:tcW w:w="522" w:type="pct"/>
                  <w:vAlign w:val="center"/>
                </w:tcPr>
                <w:p w14:paraId="2F3F21D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rPr>
                    <w:t>11.5</w:t>
                  </w:r>
                </w:p>
              </w:tc>
              <w:tc>
                <w:tcPr>
                  <w:tcW w:w="488" w:type="pct"/>
                  <w:vAlign w:val="center"/>
                </w:tcPr>
                <w:p w14:paraId="121071C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rPr>
                    <w:t>0.077</w:t>
                  </w:r>
                </w:p>
              </w:tc>
              <w:tc>
                <w:tcPr>
                  <w:tcW w:w="468" w:type="pct"/>
                  <w:vAlign w:val="center"/>
                </w:tcPr>
                <w:p w14:paraId="510B909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rPr>
                    <w:t>0.069</w:t>
                  </w:r>
                </w:p>
              </w:tc>
              <w:tc>
                <w:tcPr>
                  <w:tcW w:w="386" w:type="pct"/>
                  <w:vAlign w:val="center"/>
                </w:tcPr>
                <w:p w14:paraId="242006B8">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达标排放</w:t>
                  </w:r>
                </w:p>
              </w:tc>
            </w:tr>
          </w:tbl>
          <w:p w14:paraId="4AFC19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由上表可知，项目运营期涂料制造过程产生的颗粒物、非甲烷总烃的排放</w:t>
            </w:r>
            <w:r>
              <w:rPr>
                <w:rFonts w:hint="eastAsia" w:cs="Times New Roman"/>
                <w:color w:val="auto"/>
                <w:sz w:val="24"/>
                <w:szCs w:val="24"/>
                <w:lang w:val="en-US" w:eastAsia="zh-CN"/>
              </w:rPr>
              <w:t>浓度</w:t>
            </w:r>
            <w:r>
              <w:rPr>
                <w:rFonts w:hint="default" w:ascii="Times New Roman" w:hAnsi="Times New Roman" w:eastAsia="宋体" w:cs="Times New Roman"/>
                <w:color w:val="auto"/>
                <w:sz w:val="24"/>
                <w:szCs w:val="24"/>
                <w:lang w:val="en-US" w:eastAsia="zh-CN"/>
              </w:rPr>
              <w:t>满足《涂料、油墨、胶粘剂工业大气污染物排放标准》（GB37824-2019）表1中有组织最高允许排放浓度限值。项目有组织废气经环保设施处理后可达标排放，对环境影响较小。</w:t>
            </w:r>
          </w:p>
          <w:p w14:paraId="55EDFDAA">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（3）无组织废气分析</w:t>
            </w:r>
          </w:p>
          <w:p w14:paraId="2DF54D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项目无组织废气主要为</w:t>
            </w:r>
            <w:r>
              <w:rPr>
                <w:rFonts w:hint="eastAsia" w:cs="Times New Roman"/>
                <w:color w:val="auto"/>
                <w:sz w:val="24"/>
                <w:szCs w:val="24"/>
                <w:lang w:val="en-US" w:eastAsia="zh-CN"/>
              </w:rPr>
              <w:t>水性涂料</w:t>
            </w:r>
            <w:r>
              <w:rPr>
                <w:rFonts w:hint="default" w:ascii="Times New Roman" w:hAnsi="Times New Roman" w:eastAsia="宋体" w:cs="Times New Roman"/>
                <w:color w:val="auto"/>
                <w:sz w:val="24"/>
                <w:szCs w:val="24"/>
                <w:lang w:val="en-US" w:eastAsia="zh-CN"/>
              </w:rPr>
              <w:t>生产投料环节集气罩未收集的粉尘、包装口集气罩未收集的非甲烷总烃</w:t>
            </w:r>
            <w:r>
              <w:rPr>
                <w:rFonts w:hint="eastAsia" w:cs="Times New Roman"/>
                <w:color w:val="auto"/>
                <w:sz w:val="24"/>
                <w:szCs w:val="24"/>
                <w:lang w:val="en-US" w:eastAsia="zh-CN"/>
              </w:rPr>
              <w:t>，粉尘卸料至粉料罐产生的粉尘</w:t>
            </w:r>
            <w:r>
              <w:rPr>
                <w:rFonts w:hint="default" w:ascii="Times New Roman" w:hAnsi="Times New Roman" w:eastAsia="宋体" w:cs="Times New Roman"/>
                <w:color w:val="auto"/>
                <w:sz w:val="24"/>
                <w:szCs w:val="24"/>
                <w:lang w:val="en-US" w:eastAsia="zh-CN"/>
              </w:rPr>
              <w:t>；腻子粉产生线</w:t>
            </w:r>
            <w:r>
              <w:rPr>
                <w:rFonts w:hint="eastAsia" w:cs="Times New Roman"/>
                <w:color w:val="auto"/>
                <w:sz w:val="24"/>
                <w:szCs w:val="24"/>
                <w:lang w:val="en-US" w:eastAsia="zh-CN"/>
              </w:rPr>
              <w:t>卸料至粉料罐</w:t>
            </w:r>
            <w:r>
              <w:rPr>
                <w:rFonts w:hint="default" w:ascii="Times New Roman" w:hAnsi="Times New Roman" w:eastAsia="宋体" w:cs="Times New Roman"/>
                <w:color w:val="auto"/>
                <w:sz w:val="24"/>
                <w:szCs w:val="24"/>
                <w:lang w:val="en-US" w:eastAsia="zh-CN"/>
              </w:rPr>
              <w:t>、投料、配料、搅拌、包装机产生的无组织粉尘等。</w:t>
            </w:r>
          </w:p>
          <w:p w14:paraId="1A8DFC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投料</w:t>
            </w:r>
            <w:r>
              <w:rPr>
                <w:rFonts w:hint="default" w:ascii="Times New Roman" w:hAnsi="Times New Roman" w:eastAsia="宋体" w:cs="Times New Roman"/>
                <w:color w:val="auto"/>
                <w:sz w:val="24"/>
                <w:szCs w:val="24"/>
                <w:lang w:val="en-US" w:eastAsia="zh-CN"/>
              </w:rPr>
              <w:t>设置单独的投料间，投料间为密闭房间，无组织粉尘在车间内自然沉淀，生产线置于</w:t>
            </w:r>
            <w:r>
              <w:rPr>
                <w:rFonts w:hint="eastAsia" w:cs="Times New Roman"/>
                <w:color w:val="auto"/>
                <w:sz w:val="24"/>
                <w:szCs w:val="24"/>
                <w:lang w:val="en-US" w:eastAsia="zh-CN"/>
              </w:rPr>
              <w:t>封闭的</w:t>
            </w:r>
            <w:r>
              <w:rPr>
                <w:rFonts w:hint="default" w:ascii="Times New Roman" w:hAnsi="Times New Roman" w:eastAsia="宋体" w:cs="Times New Roman"/>
                <w:color w:val="auto"/>
                <w:sz w:val="24"/>
                <w:szCs w:val="24"/>
                <w:lang w:val="en-US" w:eastAsia="zh-CN"/>
              </w:rPr>
              <w:t>标准生产厂房内，无组织废气对周围环境影响较小。无组织排放的氨、非甲烷总烃量不大，对周围环境影响较小。</w:t>
            </w:r>
          </w:p>
          <w:p w14:paraId="5BBF4AEC">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（4）污染物排放量核算</w:t>
            </w:r>
          </w:p>
          <w:p w14:paraId="06EF71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项目大气污染物有组织排放量情况见表4-</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w:t>
            </w:r>
          </w:p>
          <w:p w14:paraId="2DECCB1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 xml:space="preserve"> 项目大气污染物有组织排放量核算表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003"/>
              <w:gridCol w:w="2473"/>
              <w:gridCol w:w="2945"/>
            </w:tblGrid>
            <w:tr w14:paraId="6E02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 w:hRule="atLeast"/>
                <w:jc w:val="center"/>
              </w:trPr>
              <w:tc>
                <w:tcPr>
                  <w:tcW w:w="1783" w:type="pct"/>
                  <w:shd w:val="clear" w:color="auto" w:fill="auto"/>
                  <w:vAlign w:val="center"/>
                </w:tcPr>
                <w:p w14:paraId="026E39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排放口编号</w:t>
                  </w:r>
                </w:p>
              </w:tc>
              <w:tc>
                <w:tcPr>
                  <w:tcW w:w="1468" w:type="pct"/>
                  <w:shd w:val="clear" w:color="auto" w:fill="auto"/>
                  <w:vAlign w:val="center"/>
                </w:tcPr>
                <w:p w14:paraId="05427C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污染物名称</w:t>
                  </w:r>
                </w:p>
              </w:tc>
              <w:tc>
                <w:tcPr>
                  <w:tcW w:w="1748" w:type="pct"/>
                  <w:shd w:val="clear" w:color="auto" w:fill="auto"/>
                  <w:vAlign w:val="center"/>
                </w:tcPr>
                <w:p w14:paraId="41DAA11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核算年排放量（t/a）</w:t>
                  </w:r>
                </w:p>
              </w:tc>
            </w:tr>
            <w:tr w14:paraId="0CFD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 w:hRule="atLeast"/>
                <w:jc w:val="center"/>
              </w:trPr>
              <w:tc>
                <w:tcPr>
                  <w:tcW w:w="1783" w:type="pct"/>
                  <w:shd w:val="clear" w:color="auto" w:fill="auto"/>
                  <w:vAlign w:val="center"/>
                </w:tcPr>
                <w:p w14:paraId="6AA581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DA001排气筒</w:t>
                  </w:r>
                </w:p>
              </w:tc>
              <w:tc>
                <w:tcPr>
                  <w:tcW w:w="1468" w:type="pct"/>
                  <w:shd w:val="clear" w:color="auto" w:fill="auto"/>
                  <w:vAlign w:val="center"/>
                </w:tcPr>
                <w:p w14:paraId="03146B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748" w:type="pct"/>
                  <w:shd w:val="clear" w:color="auto" w:fill="auto"/>
                  <w:vAlign w:val="center"/>
                </w:tcPr>
                <w:p w14:paraId="1D6FAE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4.6</w:t>
                  </w:r>
                </w:p>
              </w:tc>
            </w:tr>
            <w:tr w14:paraId="119D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783" w:type="pct"/>
                  <w:vMerge w:val="restart"/>
                  <w:shd w:val="clear" w:color="auto" w:fill="auto"/>
                  <w:vAlign w:val="center"/>
                </w:tcPr>
                <w:p w14:paraId="16805D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DA002排气筒</w:t>
                  </w:r>
                </w:p>
              </w:tc>
              <w:tc>
                <w:tcPr>
                  <w:tcW w:w="1468" w:type="pct"/>
                  <w:shd w:val="clear" w:color="auto" w:fill="auto"/>
                  <w:vAlign w:val="center"/>
                </w:tcPr>
                <w:p w14:paraId="6320E71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748" w:type="pct"/>
                  <w:shd w:val="clear" w:color="auto" w:fill="auto"/>
                  <w:vAlign w:val="center"/>
                </w:tcPr>
                <w:p w14:paraId="6A9A0F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0.018</w:t>
                  </w:r>
                </w:p>
              </w:tc>
            </w:tr>
            <w:tr w14:paraId="5261C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783" w:type="pct"/>
                  <w:vMerge w:val="continue"/>
                  <w:shd w:val="clear" w:color="auto" w:fill="auto"/>
                  <w:vAlign w:val="center"/>
                </w:tcPr>
                <w:p w14:paraId="4087A1D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68" w:type="pct"/>
                  <w:shd w:val="clear" w:color="auto" w:fill="auto"/>
                  <w:vAlign w:val="center"/>
                </w:tcPr>
                <w:p w14:paraId="551B61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非甲烷总烃</w:t>
                  </w:r>
                </w:p>
              </w:tc>
              <w:tc>
                <w:tcPr>
                  <w:tcW w:w="1748" w:type="pct"/>
                  <w:shd w:val="clear" w:color="auto" w:fill="auto"/>
                  <w:vAlign w:val="center"/>
                </w:tcPr>
                <w:p w14:paraId="744EC8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0.069</w:t>
                  </w:r>
                </w:p>
              </w:tc>
            </w:tr>
          </w:tbl>
          <w:p w14:paraId="4363B4CF">
            <w:pPr>
              <w:pStyle w:val="19"/>
              <w:keepNext w:val="0"/>
              <w:keepLines w:val="0"/>
              <w:suppressLineNumbers w:val="0"/>
              <w:spacing w:before="0" w:beforeAutospacing="0" w:after="0" w:afterAutospacing="0" w:line="360" w:lineRule="auto"/>
              <w:ind w:left="0" w:leftChars="0" w:right="0" w:firstLine="480"/>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项目大气污染物无组织排放量情况见表</w:t>
            </w:r>
            <w:r>
              <w:rPr>
                <w:rFonts w:hint="default" w:ascii="Times New Roman" w:hAnsi="Times New Roman" w:eastAsia="宋体" w:cs="Times New Roman"/>
                <w:color w:val="auto"/>
                <w:sz w:val="24"/>
                <w:szCs w:val="28"/>
                <w:lang w:val="en-US" w:eastAsia="zh-CN"/>
              </w:rPr>
              <w:t>4</w:t>
            </w:r>
            <w:r>
              <w:rPr>
                <w:rFonts w:hint="default" w:ascii="Times New Roman" w:hAnsi="Times New Roman" w:eastAsia="宋体" w:cs="Times New Roman"/>
                <w:color w:val="auto"/>
                <w:sz w:val="24"/>
                <w:szCs w:val="28"/>
              </w:rPr>
              <w:t>-</w:t>
            </w:r>
            <w:r>
              <w:rPr>
                <w:rFonts w:hint="eastAsia" w:cs="Times New Roman"/>
                <w:color w:val="auto"/>
                <w:sz w:val="24"/>
                <w:szCs w:val="28"/>
                <w:lang w:val="en-US" w:eastAsia="zh-CN"/>
              </w:rPr>
              <w:t>7</w:t>
            </w:r>
            <w:r>
              <w:rPr>
                <w:rFonts w:hint="default" w:ascii="Times New Roman" w:hAnsi="Times New Roman" w:eastAsia="宋体" w:cs="Times New Roman"/>
                <w:color w:val="auto"/>
                <w:sz w:val="24"/>
                <w:szCs w:val="28"/>
              </w:rPr>
              <w:t>。</w:t>
            </w:r>
          </w:p>
          <w:p w14:paraId="299E8F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 xml:space="preserve">  项目大气污染物无组织排放量核算表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9"/>
              <w:gridCol w:w="2054"/>
              <w:gridCol w:w="3278"/>
            </w:tblGrid>
            <w:tr w14:paraId="3E16E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834" w:type="pct"/>
                  <w:tcBorders>
                    <w:tl2br w:val="nil"/>
                    <w:tr2bl w:val="nil"/>
                  </w:tcBorders>
                  <w:vAlign w:val="center"/>
                </w:tcPr>
                <w:p w14:paraId="7F36C893">
                  <w:pPr>
                    <w:pStyle w:val="15"/>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rPr>
                    <w:t>污染物</w:t>
                  </w:r>
                  <w:r>
                    <w:rPr>
                      <w:rFonts w:hint="default" w:ascii="Times New Roman" w:hAnsi="Times New Roman" w:eastAsia="宋体" w:cs="Times New Roman"/>
                      <w:b/>
                      <w:bCs/>
                      <w:color w:val="auto"/>
                      <w:lang w:val="en-US" w:eastAsia="zh-CN"/>
                    </w:rPr>
                    <w:t>产生环节</w:t>
                  </w:r>
                </w:p>
              </w:tc>
              <w:tc>
                <w:tcPr>
                  <w:tcW w:w="1219" w:type="pct"/>
                  <w:tcBorders>
                    <w:tl2br w:val="nil"/>
                    <w:tr2bl w:val="nil"/>
                  </w:tcBorders>
                  <w:vAlign w:val="center"/>
                </w:tcPr>
                <w:p w14:paraId="153D91F0">
                  <w:pPr>
                    <w:pStyle w:val="15"/>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污染物名称</w:t>
                  </w:r>
                </w:p>
              </w:tc>
              <w:tc>
                <w:tcPr>
                  <w:tcW w:w="1946" w:type="pct"/>
                  <w:tcBorders>
                    <w:tl2br w:val="nil"/>
                    <w:tr2bl w:val="nil"/>
                  </w:tcBorders>
                  <w:vAlign w:val="center"/>
                </w:tcPr>
                <w:p w14:paraId="58B03DB1">
                  <w:pPr>
                    <w:pStyle w:val="15"/>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核算年排放量（t/a）</w:t>
                  </w:r>
                </w:p>
              </w:tc>
            </w:tr>
            <w:tr w14:paraId="2318D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834" w:type="pct"/>
                  <w:tcBorders>
                    <w:tl2br w:val="nil"/>
                    <w:tr2bl w:val="nil"/>
                  </w:tcBorders>
                  <w:vAlign w:val="center"/>
                </w:tcPr>
                <w:p w14:paraId="542A7C29">
                  <w:pPr>
                    <w:pStyle w:val="15"/>
                    <w:keepNext w:val="0"/>
                    <w:keepLines w:val="0"/>
                    <w:suppressLineNumbers w:val="0"/>
                    <w:spacing w:before="0" w:beforeAutospacing="0" w:after="0" w:afterAutospacing="0"/>
                    <w:ind w:left="-71" w:leftChars="-34" w:right="-71" w:rightChars="-34"/>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水性涂料生产车间</w:t>
                  </w:r>
                  <w:r>
                    <w:rPr>
                      <w:rFonts w:hint="default" w:ascii="Times New Roman" w:hAnsi="Times New Roman" w:eastAsia="宋体" w:cs="Times New Roman"/>
                      <w:color w:val="auto"/>
                      <w:lang w:val="en-US" w:eastAsia="zh-CN"/>
                    </w:rPr>
                    <w:t>投料</w:t>
                  </w:r>
                </w:p>
              </w:tc>
              <w:tc>
                <w:tcPr>
                  <w:tcW w:w="1219" w:type="pct"/>
                  <w:tcBorders>
                    <w:tl2br w:val="nil"/>
                    <w:tr2bl w:val="nil"/>
                  </w:tcBorders>
                  <w:vAlign w:val="center"/>
                </w:tcPr>
                <w:p w14:paraId="3083A10B">
                  <w:pPr>
                    <w:keepNext w:val="0"/>
                    <w:keepLines w:val="0"/>
                    <w:suppressLineNumbers w:val="0"/>
                    <w:spacing w:before="0" w:beforeAutospacing="0" w:after="0" w:afterAutospacing="0"/>
                    <w:ind w:left="-71" w:leftChars="-34" w:right="-71" w:rightChars="-34"/>
                    <w:jc w:val="center"/>
                    <w:rPr>
                      <w:rFonts w:hint="default" w:ascii="Times New Roman" w:hAnsi="Times New Roman" w:eastAsia="宋体"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946" w:type="pct"/>
                  <w:tcBorders>
                    <w:tl2br w:val="nil"/>
                    <w:tr2bl w:val="nil"/>
                  </w:tcBorders>
                  <w:vAlign w:val="center"/>
                </w:tcPr>
                <w:p w14:paraId="76B9E9F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0.46</w:t>
                  </w:r>
                </w:p>
              </w:tc>
            </w:tr>
            <w:tr w14:paraId="671D2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834" w:type="pct"/>
                  <w:tcBorders>
                    <w:tl2br w:val="nil"/>
                    <w:tr2bl w:val="nil"/>
                  </w:tcBorders>
                  <w:vAlign w:val="center"/>
                </w:tcPr>
                <w:p w14:paraId="20BE42E2">
                  <w:pPr>
                    <w:pStyle w:val="15"/>
                    <w:keepNext w:val="0"/>
                    <w:keepLines w:val="0"/>
                    <w:suppressLineNumbers w:val="0"/>
                    <w:spacing w:before="0" w:beforeAutospacing="0" w:after="0" w:afterAutospacing="0"/>
                    <w:ind w:left="-71" w:leftChars="-34" w:right="-71" w:rightChars="-34"/>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包装口挥发性有机废气挥发</w:t>
                  </w:r>
                </w:p>
              </w:tc>
              <w:tc>
                <w:tcPr>
                  <w:tcW w:w="1219" w:type="pct"/>
                  <w:tcBorders>
                    <w:tl2br w:val="nil"/>
                    <w:tr2bl w:val="nil"/>
                  </w:tcBorders>
                  <w:vAlign w:val="center"/>
                </w:tcPr>
                <w:p w14:paraId="75B1660E">
                  <w:pPr>
                    <w:keepNext w:val="0"/>
                    <w:keepLines w:val="0"/>
                    <w:suppressLineNumbers w:val="0"/>
                    <w:spacing w:before="0" w:beforeAutospacing="0" w:after="0" w:afterAutospacing="0"/>
                    <w:ind w:left="-71" w:leftChars="-34" w:right="-71" w:rightChars="-34"/>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非甲烷总烃</w:t>
                  </w:r>
                </w:p>
              </w:tc>
              <w:tc>
                <w:tcPr>
                  <w:tcW w:w="1946" w:type="pct"/>
                  <w:tcBorders>
                    <w:tl2br w:val="nil"/>
                    <w:tr2bl w:val="nil"/>
                  </w:tcBorders>
                  <w:vAlign w:val="center"/>
                </w:tcPr>
                <w:p w14:paraId="3D42DE77">
                  <w:pPr>
                    <w:keepNext w:val="0"/>
                    <w:keepLines w:val="0"/>
                    <w:suppressLineNumbers w:val="0"/>
                    <w:spacing w:before="0" w:beforeAutospacing="0" w:after="0" w:afterAutospacing="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0.058</w:t>
                  </w:r>
                </w:p>
              </w:tc>
            </w:tr>
            <w:tr w14:paraId="0C9FC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834" w:type="pct"/>
                  <w:tcBorders>
                    <w:tl2br w:val="nil"/>
                    <w:tr2bl w:val="nil"/>
                  </w:tcBorders>
                  <w:vAlign w:val="center"/>
                </w:tcPr>
                <w:p w14:paraId="34718E5A">
                  <w:pPr>
                    <w:pStyle w:val="15"/>
                    <w:keepNext w:val="0"/>
                    <w:keepLines w:val="0"/>
                    <w:suppressLineNumbers w:val="0"/>
                    <w:spacing w:before="0" w:beforeAutospacing="0" w:after="0" w:afterAutospacing="0"/>
                    <w:ind w:left="-71" w:leftChars="-34" w:right="-71" w:rightChars="-34"/>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水性涂料生产车间粉料卸料</w:t>
                  </w:r>
                </w:p>
              </w:tc>
              <w:tc>
                <w:tcPr>
                  <w:tcW w:w="1219" w:type="pct"/>
                  <w:tcBorders>
                    <w:tl2br w:val="nil"/>
                    <w:tr2bl w:val="nil"/>
                  </w:tcBorders>
                  <w:vAlign w:val="center"/>
                </w:tcPr>
                <w:p w14:paraId="28138AAC">
                  <w:pPr>
                    <w:keepNext w:val="0"/>
                    <w:keepLines w:val="0"/>
                    <w:suppressLineNumbers w:val="0"/>
                    <w:spacing w:before="0" w:beforeAutospacing="0" w:after="0" w:afterAutospacing="0"/>
                    <w:ind w:left="-71" w:leftChars="-34" w:right="-71" w:rightChars="-34"/>
                    <w:jc w:val="center"/>
                    <w:rPr>
                      <w:rFonts w:hint="default" w:ascii="Times New Roman" w:hAnsi="Times New Roman" w:eastAsia="宋体"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946" w:type="pct"/>
                  <w:tcBorders>
                    <w:tl2br w:val="nil"/>
                    <w:tr2bl w:val="nil"/>
                  </w:tcBorders>
                  <w:vAlign w:val="center"/>
                </w:tcPr>
                <w:p w14:paraId="6E40699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0.2</w:t>
                  </w:r>
                </w:p>
              </w:tc>
            </w:tr>
            <w:tr w14:paraId="72E1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834" w:type="pct"/>
                  <w:tcBorders>
                    <w:tl2br w:val="nil"/>
                    <w:tr2bl w:val="nil"/>
                  </w:tcBorders>
                  <w:vAlign w:val="center"/>
                </w:tcPr>
                <w:p w14:paraId="0E9BBAF8">
                  <w:pPr>
                    <w:pStyle w:val="15"/>
                    <w:keepNext w:val="0"/>
                    <w:keepLines w:val="0"/>
                    <w:suppressLineNumbers w:val="0"/>
                    <w:spacing w:before="0" w:beforeAutospacing="0" w:after="0" w:afterAutospacing="0"/>
                    <w:ind w:left="-71" w:leftChars="-34" w:right="-71" w:rightChars="-34"/>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砂壁生产氨水挥发</w:t>
                  </w:r>
                </w:p>
              </w:tc>
              <w:tc>
                <w:tcPr>
                  <w:tcW w:w="1219" w:type="pct"/>
                  <w:tcBorders>
                    <w:tl2br w:val="nil"/>
                    <w:tr2bl w:val="nil"/>
                  </w:tcBorders>
                  <w:vAlign w:val="center"/>
                </w:tcPr>
                <w:p w14:paraId="57D12F37">
                  <w:pPr>
                    <w:keepNext w:val="0"/>
                    <w:keepLines w:val="0"/>
                    <w:suppressLineNumbers w:val="0"/>
                    <w:spacing w:before="0" w:beforeAutospacing="0" w:after="0" w:afterAutospacing="0"/>
                    <w:ind w:left="-71" w:leftChars="-34" w:right="-71" w:rightChars="-34"/>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氨</w:t>
                  </w:r>
                </w:p>
              </w:tc>
              <w:tc>
                <w:tcPr>
                  <w:tcW w:w="1946" w:type="pct"/>
                  <w:tcBorders>
                    <w:tl2br w:val="nil"/>
                    <w:tr2bl w:val="nil"/>
                  </w:tcBorders>
                  <w:vAlign w:val="center"/>
                </w:tcPr>
                <w:p w14:paraId="5C2AC861">
                  <w:pPr>
                    <w:keepNext w:val="0"/>
                    <w:keepLines w:val="0"/>
                    <w:suppressLineNumbers w:val="0"/>
                    <w:spacing w:before="0" w:beforeAutospacing="0" w:after="0" w:afterAutospacing="0"/>
                    <w:ind w:left="0" w:leftChars="0" w:right="0" w:rightChars="0"/>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0.175</w:t>
                  </w:r>
                </w:p>
              </w:tc>
            </w:tr>
            <w:tr w14:paraId="76784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1834" w:type="pct"/>
                  <w:tcBorders>
                    <w:tl2br w:val="nil"/>
                    <w:tr2bl w:val="nil"/>
                  </w:tcBorders>
                  <w:vAlign w:val="center"/>
                </w:tcPr>
                <w:p w14:paraId="76E3FAC2">
                  <w:pPr>
                    <w:pStyle w:val="15"/>
                    <w:keepNext w:val="0"/>
                    <w:keepLines w:val="0"/>
                    <w:suppressLineNumbers w:val="0"/>
                    <w:spacing w:before="0" w:beforeAutospacing="0" w:after="0" w:afterAutospacing="0"/>
                    <w:ind w:left="-71" w:leftChars="-34" w:right="-71" w:rightChars="-34"/>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腻子粉投料、配料、</w:t>
                  </w:r>
                  <w:r>
                    <w:rPr>
                      <w:rFonts w:hint="eastAsia" w:ascii="Times New Roman" w:hAnsi="Times New Roman" w:cs="Times New Roman"/>
                      <w:color w:val="auto"/>
                      <w:lang w:val="en-US" w:eastAsia="zh-CN"/>
                    </w:rPr>
                    <w:t>混料</w:t>
                  </w:r>
                </w:p>
              </w:tc>
              <w:tc>
                <w:tcPr>
                  <w:tcW w:w="1219" w:type="pct"/>
                  <w:tcBorders>
                    <w:tl2br w:val="nil"/>
                    <w:tr2bl w:val="nil"/>
                  </w:tcBorders>
                  <w:vAlign w:val="center"/>
                </w:tcPr>
                <w:p w14:paraId="55EBB965">
                  <w:pPr>
                    <w:keepNext w:val="0"/>
                    <w:keepLines w:val="0"/>
                    <w:suppressLineNumbers w:val="0"/>
                    <w:spacing w:before="0" w:beforeAutospacing="0" w:after="0" w:afterAutospacing="0"/>
                    <w:ind w:left="-71" w:leftChars="-34" w:right="-71" w:rightChars="-34"/>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946" w:type="pct"/>
                  <w:tcBorders>
                    <w:tl2br w:val="nil"/>
                    <w:tr2bl w:val="nil"/>
                  </w:tcBorders>
                  <w:vAlign w:val="center"/>
                </w:tcPr>
                <w:p w14:paraId="54D31B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bCs/>
                      <w:color w:val="auto"/>
                      <w:kern w:val="0"/>
                      <w:sz w:val="21"/>
                      <w:szCs w:val="21"/>
                      <w:lang w:val="en-US" w:eastAsia="zh-CN" w:bidi="ar-SA"/>
                    </w:rPr>
                    <w:t>1.15</w:t>
                  </w:r>
                </w:p>
              </w:tc>
            </w:tr>
            <w:tr w14:paraId="3F610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1834" w:type="pct"/>
                  <w:tcBorders>
                    <w:tl2br w:val="nil"/>
                    <w:tr2bl w:val="nil"/>
                  </w:tcBorders>
                  <w:vAlign w:val="center"/>
                </w:tcPr>
                <w:p w14:paraId="32F7FAE6">
                  <w:pPr>
                    <w:pStyle w:val="15"/>
                    <w:keepNext w:val="0"/>
                    <w:keepLines w:val="0"/>
                    <w:suppressLineNumbers w:val="0"/>
                    <w:spacing w:before="0" w:beforeAutospacing="0" w:after="0" w:afterAutospacing="0"/>
                    <w:ind w:left="-71" w:leftChars="-34" w:right="-71" w:rightChars="-34"/>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包装机包装</w:t>
                  </w:r>
                </w:p>
              </w:tc>
              <w:tc>
                <w:tcPr>
                  <w:tcW w:w="1219" w:type="pct"/>
                  <w:tcBorders>
                    <w:tl2br w:val="nil"/>
                    <w:tr2bl w:val="nil"/>
                  </w:tcBorders>
                  <w:vAlign w:val="center"/>
                </w:tcPr>
                <w:p w14:paraId="5B700A07">
                  <w:pPr>
                    <w:keepNext w:val="0"/>
                    <w:keepLines w:val="0"/>
                    <w:suppressLineNumbers w:val="0"/>
                    <w:spacing w:before="0" w:beforeAutospacing="0" w:after="0" w:afterAutospacing="0"/>
                    <w:ind w:left="-71" w:leftChars="-34" w:right="-71" w:rightChars="-34"/>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946" w:type="pct"/>
                  <w:tcBorders>
                    <w:tl2br w:val="nil"/>
                    <w:tr2bl w:val="nil"/>
                  </w:tcBorders>
                  <w:vAlign w:val="center"/>
                </w:tcPr>
                <w:p w14:paraId="079E89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bidi="ar-SA"/>
                    </w:rPr>
                    <w:t>0.003</w:t>
                  </w:r>
                </w:p>
              </w:tc>
            </w:tr>
            <w:tr w14:paraId="47AC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1834" w:type="pct"/>
                  <w:tcBorders>
                    <w:tl2br w:val="nil"/>
                    <w:tr2bl w:val="nil"/>
                  </w:tcBorders>
                  <w:vAlign w:val="center"/>
                </w:tcPr>
                <w:p w14:paraId="198DD53B">
                  <w:pPr>
                    <w:pStyle w:val="15"/>
                    <w:keepNext w:val="0"/>
                    <w:keepLines w:val="0"/>
                    <w:suppressLineNumbers w:val="0"/>
                    <w:spacing w:before="0" w:beforeAutospacing="0" w:after="0" w:afterAutospacing="0"/>
                    <w:ind w:left="-71" w:leftChars="-34" w:right="-71" w:rightChars="-34"/>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腻子粉</w:t>
                  </w:r>
                  <w:r>
                    <w:rPr>
                      <w:rFonts w:hint="default" w:ascii="Times New Roman" w:hAnsi="Times New Roman" w:eastAsia="宋体" w:cs="Times New Roman"/>
                      <w:color w:val="auto"/>
                      <w:lang w:val="en-US" w:eastAsia="zh-CN"/>
                    </w:rPr>
                    <w:t>卸料至粉料罐</w:t>
                  </w:r>
                </w:p>
              </w:tc>
              <w:tc>
                <w:tcPr>
                  <w:tcW w:w="1219" w:type="pct"/>
                  <w:tcBorders>
                    <w:tl2br w:val="nil"/>
                    <w:tr2bl w:val="nil"/>
                  </w:tcBorders>
                  <w:vAlign w:val="center"/>
                </w:tcPr>
                <w:p w14:paraId="507F8B25">
                  <w:pPr>
                    <w:keepNext w:val="0"/>
                    <w:keepLines w:val="0"/>
                    <w:suppressLineNumbers w:val="0"/>
                    <w:spacing w:before="0" w:beforeAutospacing="0" w:after="0" w:afterAutospacing="0"/>
                    <w:ind w:left="-71" w:leftChars="-34" w:right="-71" w:rightChars="-34"/>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946" w:type="pct"/>
                  <w:tcBorders>
                    <w:tl2br w:val="nil"/>
                    <w:tr2bl w:val="nil"/>
                  </w:tcBorders>
                  <w:vAlign w:val="center"/>
                </w:tcPr>
                <w:p w14:paraId="48EE01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bidi="ar-SA"/>
                    </w:rPr>
                    <w:t>0.42</w:t>
                  </w:r>
                </w:p>
              </w:tc>
            </w:tr>
          </w:tbl>
          <w:p w14:paraId="1834D92F">
            <w:pPr>
              <w:pStyle w:val="19"/>
              <w:keepNext w:val="0"/>
              <w:keepLines w:val="0"/>
              <w:suppressLineNumbers w:val="0"/>
              <w:spacing w:before="0" w:beforeAutospacing="0" w:after="0" w:afterAutospacing="0" w:line="360" w:lineRule="auto"/>
              <w:ind w:left="0" w:leftChars="0" w:right="0" w:firstLine="480"/>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全厂污染物排放量见下表</w:t>
            </w:r>
            <w:r>
              <w:rPr>
                <w:rFonts w:hint="eastAsia" w:cs="Times New Roman"/>
                <w:color w:val="auto"/>
                <w:sz w:val="24"/>
                <w:szCs w:val="28"/>
                <w:lang w:val="en-US" w:eastAsia="zh-CN"/>
              </w:rPr>
              <w:t>。</w:t>
            </w:r>
          </w:p>
          <w:p w14:paraId="20100EF2">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8</w:t>
            </w:r>
            <w:r>
              <w:rPr>
                <w:rFonts w:hint="default" w:ascii="Times New Roman" w:hAnsi="Times New Roman" w:eastAsia="宋体" w:cs="Times New Roman"/>
                <w:b/>
                <w:bCs/>
                <w:color w:val="auto"/>
                <w:sz w:val="21"/>
                <w:szCs w:val="21"/>
                <w:lang w:val="en-US" w:eastAsia="zh-CN"/>
              </w:rPr>
              <w:t>全厂污染物排放量一览表</w:t>
            </w:r>
          </w:p>
          <w:tbl>
            <w:tblPr>
              <w:tblStyle w:val="2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844"/>
              <w:gridCol w:w="4578"/>
            </w:tblGrid>
            <w:tr w14:paraId="0D5CC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82" w:type="pct"/>
                  <w:shd w:val="clear" w:color="auto" w:fill="auto"/>
                  <w:vAlign w:val="center"/>
                </w:tcPr>
                <w:p w14:paraId="39BCC7D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污染物名称</w:t>
                  </w:r>
                </w:p>
              </w:tc>
              <w:tc>
                <w:tcPr>
                  <w:tcW w:w="2717" w:type="pct"/>
                  <w:shd w:val="clear" w:color="auto" w:fill="auto"/>
                  <w:vAlign w:val="center"/>
                </w:tcPr>
                <w:p w14:paraId="28FA7C1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核算年排放量（t/a）</w:t>
                  </w:r>
                </w:p>
              </w:tc>
            </w:tr>
            <w:tr w14:paraId="32125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 w:hRule="atLeast"/>
                <w:jc w:val="center"/>
              </w:trPr>
              <w:tc>
                <w:tcPr>
                  <w:tcW w:w="2282" w:type="pct"/>
                  <w:shd w:val="clear" w:color="auto" w:fill="auto"/>
                  <w:vAlign w:val="center"/>
                </w:tcPr>
                <w:p w14:paraId="37F33E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2717" w:type="pct"/>
                  <w:shd w:val="clear" w:color="auto" w:fill="auto"/>
                  <w:vAlign w:val="center"/>
                </w:tcPr>
                <w:p w14:paraId="7B0712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6.851</w:t>
                  </w:r>
                </w:p>
              </w:tc>
            </w:tr>
            <w:tr w14:paraId="7908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82" w:type="pct"/>
                  <w:shd w:val="clear" w:color="auto" w:fill="auto"/>
                  <w:vAlign w:val="center"/>
                </w:tcPr>
                <w:p w14:paraId="30B008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非甲烷总烃</w:t>
                  </w:r>
                </w:p>
              </w:tc>
              <w:tc>
                <w:tcPr>
                  <w:tcW w:w="2717" w:type="pct"/>
                  <w:shd w:val="clear" w:color="auto" w:fill="auto"/>
                  <w:vAlign w:val="center"/>
                </w:tcPr>
                <w:p w14:paraId="081AEA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0.127</w:t>
                  </w:r>
                </w:p>
              </w:tc>
            </w:tr>
            <w:tr w14:paraId="274D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82" w:type="pct"/>
                  <w:shd w:val="clear" w:color="auto" w:fill="auto"/>
                  <w:vAlign w:val="center"/>
                </w:tcPr>
                <w:p w14:paraId="2B6CC4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氨</w:t>
                  </w:r>
                </w:p>
              </w:tc>
              <w:tc>
                <w:tcPr>
                  <w:tcW w:w="2717" w:type="pct"/>
                  <w:shd w:val="clear" w:color="auto" w:fill="auto"/>
                  <w:vAlign w:val="center"/>
                </w:tcPr>
                <w:p w14:paraId="24154C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0.175</w:t>
                  </w:r>
                </w:p>
              </w:tc>
            </w:tr>
            <w:tr w14:paraId="4329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82" w:type="pct"/>
                  <w:shd w:val="clear" w:color="auto" w:fill="auto"/>
                  <w:vAlign w:val="center"/>
                </w:tcPr>
                <w:p w14:paraId="120E92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臭气浓度</w:t>
                  </w:r>
                </w:p>
              </w:tc>
              <w:tc>
                <w:tcPr>
                  <w:tcW w:w="2717" w:type="pct"/>
                  <w:shd w:val="clear" w:color="auto" w:fill="auto"/>
                  <w:vAlign w:val="center"/>
                </w:tcPr>
                <w:p w14:paraId="195D62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少量</w:t>
                  </w:r>
                </w:p>
              </w:tc>
            </w:tr>
          </w:tbl>
          <w:p w14:paraId="5914DA7F">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（5）食堂油烟影响分析</w:t>
            </w:r>
          </w:p>
          <w:p w14:paraId="5A59FD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扩建完成后</w:t>
            </w:r>
            <w:r>
              <w:rPr>
                <w:rFonts w:hint="default" w:ascii="Times New Roman" w:hAnsi="Times New Roman" w:eastAsia="宋体" w:cs="Times New Roman"/>
                <w:color w:val="auto"/>
                <w:sz w:val="24"/>
                <w:szCs w:val="24"/>
                <w:lang w:val="en-US" w:eastAsia="zh-CN"/>
              </w:rPr>
              <w:t>，食堂设有1个灶头，每日就餐人数为150人。食堂采用天然气燃料，因此食堂仅产生少量食堂油烟。食堂安装油烟净化器，油烟净化器的风量为6000m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/h，食堂油烟经油烟净化器处理后于生活综合楼楼顶排放。食堂油烟经油烟净化设施处理后排放浓度为1.86mg/m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，满足</w:t>
            </w:r>
            <w:r>
              <w:rPr>
                <w:rFonts w:hint="default" w:ascii="Times New Roman" w:hAnsi="Times New Roman" w:eastAsia="宋体" w:cs="Times New Roman"/>
                <w:color w:val="auto"/>
                <w:sz w:val="24"/>
              </w:rPr>
              <w:t>《饮食业油烟排放标准》（GB18483-2001）小型标准</w:t>
            </w:r>
            <w:r>
              <w:rPr>
                <w:rFonts w:hint="default" w:ascii="Times New Roman" w:hAnsi="Times New Roman" w:eastAsia="宋体" w:cs="Times New Roman"/>
                <w:color w:val="auto"/>
                <w:sz w:val="24"/>
                <w:szCs w:val="24"/>
                <w:lang w:val="en-US" w:eastAsia="zh-CN"/>
              </w:rPr>
              <w:t>，即油烟≤2.0mg/m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p>
          <w:p w14:paraId="6467313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废气处置措施可行性分析</w:t>
            </w:r>
          </w:p>
          <w:p w14:paraId="136C2BA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①UV光氧+活性炭装置分析</w:t>
            </w:r>
          </w:p>
          <w:p w14:paraId="101EEF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zh-CN" w:eastAsia="zh-CN"/>
              </w:rPr>
              <w:t>UV光氧+活性炭</w:t>
            </w:r>
            <w:r>
              <w:rPr>
                <w:rFonts w:hint="default" w:ascii="Times New Roman" w:hAnsi="Times New Roman" w:eastAsia="宋体" w:cs="Times New Roman"/>
                <w:color w:val="auto"/>
                <w:sz w:val="24"/>
                <w:szCs w:val="24"/>
                <w:lang w:val="en-US" w:eastAsia="zh-CN"/>
              </w:rPr>
              <w:t>吸附</w:t>
            </w:r>
            <w:r>
              <w:rPr>
                <w:rFonts w:hint="default" w:ascii="Times New Roman" w:hAnsi="Times New Roman" w:eastAsia="宋体" w:cs="Times New Roman"/>
                <w:color w:val="auto"/>
                <w:sz w:val="24"/>
                <w:szCs w:val="24"/>
                <w:lang w:val="zh-CN" w:eastAsia="zh-CN"/>
              </w:rPr>
              <w:t>装置属于《</w:t>
            </w:r>
            <w:r>
              <w:rPr>
                <w:rFonts w:hint="default" w:ascii="Times New Roman" w:hAnsi="Times New Roman" w:eastAsia="宋体" w:cs="Times New Roman"/>
                <w:color w:val="auto"/>
                <w:sz w:val="24"/>
                <w:szCs w:val="24"/>
              </w:rPr>
              <w:t>排污许可证申请与核发技术规范 涂料、油墨、颜料及类似产品制造业》（HJ 1116-2020）</w:t>
            </w:r>
            <w:r>
              <w:rPr>
                <w:rFonts w:hint="default" w:ascii="Times New Roman" w:hAnsi="Times New Roman" w:eastAsia="宋体" w:cs="Times New Roman"/>
                <w:bCs/>
                <w:color w:val="auto"/>
                <w:sz w:val="24"/>
                <w:szCs w:val="24"/>
                <w:lang w:val="en-US" w:eastAsia="zh-CN"/>
              </w:rPr>
              <w:t>“附录A废气污染防治可行技术”中的技术-“光解+吸附”，属于</w:t>
            </w:r>
            <w:r>
              <w:rPr>
                <w:rFonts w:hint="default" w:ascii="Times New Roman" w:hAnsi="Times New Roman" w:eastAsia="宋体" w:cs="Times New Roman"/>
                <w:color w:val="auto"/>
                <w:sz w:val="24"/>
                <w:szCs w:val="24"/>
              </w:rPr>
              <w:t>可行技术</w:t>
            </w:r>
            <w:r>
              <w:rPr>
                <w:rFonts w:hint="default" w:ascii="Times New Roman" w:hAnsi="Times New Roman" w:eastAsia="宋体" w:cs="Times New Roman"/>
                <w:color w:val="auto"/>
                <w:sz w:val="24"/>
                <w:szCs w:val="24"/>
                <w:lang w:eastAsia="zh-CN"/>
              </w:rPr>
              <w:t>。</w:t>
            </w:r>
          </w:p>
          <w:p w14:paraId="62F008E9">
            <w:pPr>
              <w:keepNext w:val="0"/>
              <w:keepLines w:val="0"/>
              <w:suppressLineNumbers w:val="0"/>
              <w:spacing w:before="0" w:beforeLines="0" w:beforeAutospacing="0" w:after="0" w:afterLines="0" w:afterAutospacing="0" w:line="360" w:lineRule="auto"/>
              <w:ind w:left="0" w:right="0" w:firstLine="48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lang w:val="zh-CN"/>
              </w:rPr>
              <w:t>UV光解技术利用特制的高能高臭氧UV紫外线光束照射废气，使有机或无机高分子恶臭化合物分子链降解转变成低分子化合物，如CO</w:t>
            </w:r>
            <w:r>
              <w:rPr>
                <w:rFonts w:hint="default" w:ascii="Times New Roman" w:hAnsi="Times New Roman" w:eastAsia="宋体" w:cs="Times New Roman"/>
                <w:color w:val="auto"/>
                <w:sz w:val="24"/>
                <w:vertAlign w:val="subscript"/>
                <w:lang w:val="zh-CN"/>
              </w:rPr>
              <w:t>2</w:t>
            </w:r>
            <w:r>
              <w:rPr>
                <w:rFonts w:hint="default" w:ascii="Times New Roman" w:hAnsi="Times New Roman" w:eastAsia="宋体" w:cs="Times New Roman"/>
                <w:color w:val="auto"/>
                <w:sz w:val="24"/>
                <w:lang w:val="zh-CN"/>
              </w:rPr>
              <w:t>、H</w:t>
            </w:r>
            <w:r>
              <w:rPr>
                <w:rFonts w:hint="default" w:ascii="Times New Roman" w:hAnsi="Times New Roman" w:eastAsia="宋体" w:cs="Times New Roman"/>
                <w:color w:val="auto"/>
                <w:sz w:val="24"/>
                <w:vertAlign w:val="subscript"/>
                <w:lang w:val="zh-CN"/>
              </w:rPr>
              <w:t>2</w:t>
            </w:r>
            <w:r>
              <w:rPr>
                <w:rFonts w:hint="default" w:ascii="Times New Roman" w:hAnsi="Times New Roman" w:eastAsia="宋体" w:cs="Times New Roman"/>
                <w:color w:val="auto"/>
                <w:sz w:val="24"/>
                <w:lang w:val="zh-CN"/>
              </w:rPr>
              <w:t>0等。同时高能高臭氧UV紫外线光束分解空气中的氧分子产生游离氧，即活性氧，因游离氧所携正负电子不平衡所以需与氧分子结合，进而产生臭氧。臭氧对有机物具有极强的氧化作用，对工业废气及其它刺激性异味有立竿见影的清除效果。UV光解技术能有效去除</w:t>
            </w:r>
            <w:r>
              <w:rPr>
                <w:rFonts w:hint="default" w:ascii="Times New Roman" w:hAnsi="Times New Roman" w:eastAsia="宋体" w:cs="Times New Roman"/>
                <w:color w:val="auto"/>
                <w:sz w:val="24"/>
                <w:lang w:val="zh-CN" w:eastAsia="zh-CN"/>
              </w:rPr>
              <w:t>TVOC</w:t>
            </w:r>
            <w:r>
              <w:rPr>
                <w:rFonts w:hint="default" w:ascii="Times New Roman" w:hAnsi="Times New Roman" w:eastAsia="宋体" w:cs="Times New Roman"/>
                <w:color w:val="auto"/>
                <w:sz w:val="24"/>
                <w:lang w:val="zh-CN"/>
              </w:rPr>
              <w:t>、无机物、硫化氢、氨气、硫醇类等主要污染物，以及各种恶臭味，净化、脱臭效率可达50%以上。无需添加任何物质，可适应高浓度，大气量，不同工业废气物质的净化处理，可每天24小时连续工作，运行稳定可靠。本设备无任何机械动作，无噪音，需专人管理和日常维护。工业废气无需进行特殊的预处理，如加温、加湿等，设备工作环境温度在摄氏-30℃~95℃之间，湿度在30%~98%、PH在3~11之间均可正常工作。</w:t>
            </w:r>
          </w:p>
          <w:p w14:paraId="210E56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活性炭吸附装置是利用活性炭作为吸附介质，其作用原理为利用微孔活性物质对溶剂分子或分子团的吸附力，当废气通过吸附介质时，其中的有机废气污染物即被阻留下来，从而使得有机废气得到净化处理后排入大气。</w:t>
            </w:r>
          </w:p>
          <w:p w14:paraId="33B7C0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活性炭吸附法一直被认为是比较成熟可靠的技术，活性炭是一种由含碳材料制成的外观呈黑色，内部孔隙结构发达，比表面积大，吸附能力强的一类微晶质碳素材料。有机废气净化采用活性炭吸附处理，是国内最为有效的方法。吸附作用是一种界面现象。所谓吸附，是当两相存在时，在相与相的界面附近的浓度与相内部不一样的现象，吸附的物质称作吸附剂或吸附载体。活性炭的吸附是用活性炭作为吸附载体的吸附。吸附的作用力是吸附载体与吸附质（有机废气）之间在能量方面的相互作用，承担这种相互作用的是电子。吸附载体表面上的原子与吸附质（有机废气）分子互相接近时，即使是无极性，也会瞬时性地造电子分布的不对称而形成电极，并诱导与其相对应的原子或分子产生分电极。在这两个分电极之间，便产生微弱的静电相互作用力。活性炭也能通过使用氧化剂，还原剂进行处理，让表面官能团发生变化，此时，比表面积及孔径也将发生变化。由于活性炭是比较非极性的物质，对有机废气具有很强的亲和性；即使有水份存在，吸附性能下降的也不大。活性炭的吸附性能由空隙大小与比表面积决定，空隙的大小决定对吸附质的选择性，而比表面积的大小则决定了吸附容量。活性炭的特点是比表面积及比孔容积大，单位重量的吸附量也大。</w:t>
            </w:r>
          </w:p>
          <w:p w14:paraId="5C5DA74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本项目产生的有机废气经集气罩收集后，通过UV光氧+活性炭吸附装置处理，经1根</w:t>
            </w:r>
            <w:r>
              <w:rPr>
                <w:rFonts w:hint="default" w:ascii="Times New Roman" w:hAnsi="Times New Roman" w:eastAsia="宋体" w:cs="Times New Roman"/>
                <w:color w:val="auto"/>
                <w:sz w:val="24"/>
                <w:lang w:val="en-US" w:eastAsia="zh-CN"/>
              </w:rPr>
              <w:t>15</w:t>
            </w:r>
            <w:r>
              <w:rPr>
                <w:rFonts w:hint="default" w:ascii="Times New Roman" w:hAnsi="Times New Roman" w:eastAsia="宋体" w:cs="Times New Roman"/>
                <w:color w:val="auto"/>
                <w:sz w:val="24"/>
              </w:rPr>
              <w:t>米高的排气筒排放。根据参考目前国内现行的处理有机废气有效的方法，本项目先通过集气罩收集，进入UV光氧+活性炭吸附装置处理后排气筒排放</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UV光氧+活性炭吸附装置</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对非甲烷总烃的去除效率参照《</w:t>
            </w:r>
            <w:r>
              <w:rPr>
                <w:rFonts w:hint="default" w:ascii="Times New Roman" w:hAnsi="Times New Roman" w:eastAsia="宋体" w:cs="Times New Roman"/>
                <w:color w:val="auto"/>
                <w:sz w:val="24"/>
                <w:lang w:val="zh-CN"/>
              </w:rPr>
              <w:t>国际新材料包装科技文化产业园区（一期）项目</w:t>
            </w:r>
            <w:r>
              <w:rPr>
                <w:rFonts w:hint="default" w:ascii="Times New Roman" w:hAnsi="Times New Roman" w:eastAsia="宋体" w:cs="Times New Roman"/>
                <w:color w:val="auto"/>
                <w:sz w:val="24"/>
              </w:rPr>
              <w:t>竣工环境保护验收监测报告</w:t>
            </w:r>
            <w:r>
              <w:rPr>
                <w:rFonts w:hint="default" w:ascii="Times New Roman" w:hAnsi="Times New Roman" w:eastAsia="宋体" w:cs="Times New Roman"/>
                <w:color w:val="auto"/>
                <w:sz w:val="24"/>
                <w:lang w:val="en-US" w:eastAsia="zh-CN"/>
              </w:rPr>
              <w:t>》的监测数据，具体数值见下表。</w:t>
            </w:r>
          </w:p>
          <w:p w14:paraId="7BECE7F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leftChars="0" w:right="0"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4-9  项目废气治理设施对各污染物处理效率一览表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2084"/>
              <w:gridCol w:w="1838"/>
              <w:gridCol w:w="2055"/>
              <w:gridCol w:w="1368"/>
            </w:tblGrid>
            <w:tr w14:paraId="5C744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876" w:type="pct"/>
                  <w:gridSpan w:val="2"/>
                  <w:vAlign w:val="center"/>
                </w:tcPr>
                <w:p w14:paraId="6E60DE5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检测点位</w:t>
                  </w:r>
                </w:p>
              </w:tc>
              <w:tc>
                <w:tcPr>
                  <w:tcW w:w="2311" w:type="pct"/>
                  <w:gridSpan w:val="2"/>
                  <w:vAlign w:val="center"/>
                </w:tcPr>
                <w:p w14:paraId="2B2EB4C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彩印车间UV光解+活性炭吸附</w:t>
                  </w:r>
                </w:p>
              </w:tc>
              <w:tc>
                <w:tcPr>
                  <w:tcW w:w="812" w:type="pct"/>
                  <w:vMerge w:val="restart"/>
                  <w:vAlign w:val="center"/>
                </w:tcPr>
                <w:p w14:paraId="1D204DA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处理效率（%）</w:t>
                  </w:r>
                </w:p>
              </w:tc>
            </w:tr>
            <w:tr w14:paraId="570F3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6" w:type="pct"/>
                  <w:gridSpan w:val="2"/>
                  <w:vAlign w:val="center"/>
                </w:tcPr>
                <w:p w14:paraId="40A2417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firstLine="1687" w:firstLineChars="800"/>
                    <w:jc w:val="both"/>
                    <w:textAlignment w:val="auto"/>
                    <w:rPr>
                      <w:rFonts w:hint="default" w:ascii="Times New Roman" w:hAnsi="Times New Roman" w:eastAsia="宋体" w:cs="Times New Roman"/>
                      <w:b/>
                      <w:bCs/>
                      <w:color w:val="auto"/>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-47625</wp:posOffset>
                            </wp:positionH>
                            <wp:positionV relativeFrom="paragraph">
                              <wp:posOffset>23495</wp:posOffset>
                            </wp:positionV>
                            <wp:extent cx="2006600" cy="321945"/>
                            <wp:effectExtent l="635" t="4445" r="12065" b="16510"/>
                            <wp:wrapNone/>
                            <wp:docPr id="10" name="直接连接符 10"/>
                            <wp:cNvGraphicFramePr/>
                            <a:graphic xmlns:a="http://schemas.openxmlformats.org/drawingml/2006/main">
                              <a:graphicData uri="http://schemas.microsoft.com/office/word/2010/wordprocessingShape">
                                <wps:wsp>
                                  <wps:cNvCnPr/>
                                  <wps:spPr>
                                    <a:xfrm>
                                      <a:off x="1115695" y="3053080"/>
                                      <a:ext cx="2006600" cy="3219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75pt;margin-top:1.85pt;height:25.35pt;width:158pt;z-index:251661312;mso-width-relative:page;mso-height-relative:page;" filled="f" stroked="t" coordsize="21600,21600" o:gfxdata="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5hSatUAAAAHAQAADwAAAAAAAAABACAAAAAiAAAAZHJzL2Rvd25y&#10;ZXYueG1sUEsBAhQAFAAAAAgAh07iQNCcpr4BAgAA5gMAAA4AAAAAAAAAAQAgAAAAJAEAAGRycy9l&#10;Mm9Eb2MueG1sUEsFBgAAAAAGAAYAWQEAAJcFAAAAAA==&#10;">
                            <v:fill on="f" focussize="0,0"/>
                            <v:stroke color="#000000 [3200]" joinstyle="round"/>
                            <v:imagedata o:title=""/>
                            <o:lock v:ext="edit" aspectratio="f"/>
                          </v:line>
                        </w:pict>
                      </mc:Fallback>
                    </mc:AlternateContent>
                  </w:r>
                  <w:r>
                    <w:rPr>
                      <w:rFonts w:hint="default" w:ascii="Times New Roman" w:hAnsi="Times New Roman" w:eastAsia="宋体" w:cs="Times New Roman"/>
                      <w:b/>
                      <w:bCs/>
                      <w:color w:val="auto"/>
                      <w:sz w:val="21"/>
                      <w:szCs w:val="21"/>
                      <w:vertAlign w:val="baseline"/>
                      <w:lang w:val="en-US" w:eastAsia="zh-CN" w:bidi="ar-SA"/>
                    </w:rPr>
                    <w:t>监测结果</w:t>
                  </w:r>
                </w:p>
                <w:p w14:paraId="73C9986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both"/>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vertAlign w:val="baseline"/>
                      <w:lang w:val="en-US" w:eastAsia="zh-CN" w:bidi="ar-SA"/>
                    </w:rPr>
                    <w:t>监测项目、检测日期</w:t>
                  </w:r>
                </w:p>
              </w:tc>
              <w:tc>
                <w:tcPr>
                  <w:tcW w:w="1091" w:type="pct"/>
                  <w:vAlign w:val="center"/>
                </w:tcPr>
                <w:p w14:paraId="1DEA4DA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进口平均浓度</w:t>
                  </w:r>
                </w:p>
              </w:tc>
              <w:tc>
                <w:tcPr>
                  <w:tcW w:w="1220" w:type="pct"/>
                  <w:vAlign w:val="center"/>
                </w:tcPr>
                <w:p w14:paraId="701C1D1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出口浓度</w:t>
                  </w:r>
                </w:p>
              </w:tc>
              <w:tc>
                <w:tcPr>
                  <w:tcW w:w="812" w:type="pct"/>
                  <w:vMerge w:val="continue"/>
                  <w:vAlign w:val="center"/>
                </w:tcPr>
                <w:p w14:paraId="14C69EA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p>
              </w:tc>
            </w:tr>
            <w:tr w14:paraId="4A9A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39" w:type="pct"/>
                  <w:vMerge w:val="restart"/>
                  <w:vAlign w:val="center"/>
                </w:tcPr>
                <w:p w14:paraId="147A152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zh-CN"/>
                    </w:rPr>
                    <w:t>非甲烷总烃</w:t>
                  </w:r>
                </w:p>
              </w:tc>
              <w:tc>
                <w:tcPr>
                  <w:tcW w:w="1237" w:type="pct"/>
                  <w:vMerge w:val="restart"/>
                  <w:vAlign w:val="center"/>
                </w:tcPr>
                <w:p w14:paraId="35EC2D2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2021.11.8</w:t>
                  </w:r>
                </w:p>
              </w:tc>
              <w:tc>
                <w:tcPr>
                  <w:tcW w:w="1091" w:type="pct"/>
                  <w:vAlign w:val="center"/>
                </w:tcPr>
                <w:p w14:paraId="032A4B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108.85</w:t>
                  </w:r>
                </w:p>
              </w:tc>
              <w:tc>
                <w:tcPr>
                  <w:tcW w:w="1220" w:type="pct"/>
                  <w:vAlign w:val="center"/>
                </w:tcPr>
                <w:p w14:paraId="6B17626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40.2</w:t>
                  </w:r>
                </w:p>
              </w:tc>
              <w:tc>
                <w:tcPr>
                  <w:tcW w:w="812" w:type="pct"/>
                  <w:vAlign w:val="center"/>
                </w:tcPr>
                <w:p w14:paraId="18D181A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63.07</w:t>
                  </w:r>
                </w:p>
              </w:tc>
            </w:tr>
            <w:tr w14:paraId="32360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39" w:type="pct"/>
                  <w:vMerge w:val="continue"/>
                  <w:vAlign w:val="center"/>
                </w:tcPr>
                <w:p w14:paraId="70E057E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p>
              </w:tc>
              <w:tc>
                <w:tcPr>
                  <w:tcW w:w="1237" w:type="pct"/>
                  <w:vMerge w:val="continue"/>
                  <w:vAlign w:val="center"/>
                </w:tcPr>
                <w:p w14:paraId="264CED5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p>
              </w:tc>
              <w:tc>
                <w:tcPr>
                  <w:tcW w:w="1091" w:type="pct"/>
                  <w:vAlign w:val="center"/>
                </w:tcPr>
                <w:p w14:paraId="372D46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112.6</w:t>
                  </w:r>
                </w:p>
              </w:tc>
              <w:tc>
                <w:tcPr>
                  <w:tcW w:w="1220" w:type="pct"/>
                  <w:vAlign w:val="center"/>
                </w:tcPr>
                <w:p w14:paraId="70FC588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33.8</w:t>
                  </w:r>
                </w:p>
              </w:tc>
              <w:tc>
                <w:tcPr>
                  <w:tcW w:w="812" w:type="pct"/>
                  <w:vAlign w:val="center"/>
                </w:tcPr>
                <w:p w14:paraId="6FAF667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69.98</w:t>
                  </w:r>
                </w:p>
              </w:tc>
            </w:tr>
            <w:tr w14:paraId="0A3B0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39" w:type="pct"/>
                  <w:vMerge w:val="continue"/>
                  <w:vAlign w:val="center"/>
                </w:tcPr>
                <w:p w14:paraId="250784B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p>
              </w:tc>
              <w:tc>
                <w:tcPr>
                  <w:tcW w:w="1237" w:type="pct"/>
                  <w:vMerge w:val="continue"/>
                  <w:vAlign w:val="center"/>
                </w:tcPr>
                <w:p w14:paraId="272DC02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p>
              </w:tc>
              <w:tc>
                <w:tcPr>
                  <w:tcW w:w="1091" w:type="pct"/>
                  <w:vAlign w:val="center"/>
                </w:tcPr>
                <w:p w14:paraId="329364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122.75</w:t>
                  </w:r>
                </w:p>
              </w:tc>
              <w:tc>
                <w:tcPr>
                  <w:tcW w:w="1220" w:type="pct"/>
                  <w:vAlign w:val="center"/>
                </w:tcPr>
                <w:p w14:paraId="0EA0ACF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34.1</w:t>
                  </w:r>
                </w:p>
              </w:tc>
              <w:tc>
                <w:tcPr>
                  <w:tcW w:w="812" w:type="pct"/>
                  <w:vAlign w:val="center"/>
                </w:tcPr>
                <w:p w14:paraId="3F0BF61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72.22</w:t>
                  </w:r>
                </w:p>
              </w:tc>
            </w:tr>
            <w:tr w14:paraId="5D92B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39" w:type="pct"/>
                  <w:vMerge w:val="continue"/>
                  <w:vAlign w:val="center"/>
                </w:tcPr>
                <w:p w14:paraId="047C123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p>
              </w:tc>
              <w:tc>
                <w:tcPr>
                  <w:tcW w:w="1237" w:type="pct"/>
                  <w:vAlign w:val="center"/>
                </w:tcPr>
                <w:p w14:paraId="22E2AEE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平均值</w:t>
                  </w:r>
                </w:p>
              </w:tc>
              <w:tc>
                <w:tcPr>
                  <w:tcW w:w="1091" w:type="pct"/>
                  <w:vAlign w:val="center"/>
                </w:tcPr>
                <w:p w14:paraId="071E23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114.9</w:t>
                  </w:r>
                </w:p>
              </w:tc>
              <w:tc>
                <w:tcPr>
                  <w:tcW w:w="1220" w:type="pct"/>
                  <w:vAlign w:val="center"/>
                </w:tcPr>
                <w:p w14:paraId="3E68A90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36.0</w:t>
                  </w:r>
                </w:p>
              </w:tc>
              <w:tc>
                <w:tcPr>
                  <w:tcW w:w="812" w:type="pct"/>
                  <w:vAlign w:val="center"/>
                </w:tcPr>
                <w:p w14:paraId="494917C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68.67</w:t>
                  </w:r>
                </w:p>
              </w:tc>
            </w:tr>
            <w:tr w14:paraId="063DD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39" w:type="pct"/>
                  <w:vMerge w:val="continue"/>
                  <w:vAlign w:val="center"/>
                </w:tcPr>
                <w:p w14:paraId="7FCDDA0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p>
              </w:tc>
              <w:tc>
                <w:tcPr>
                  <w:tcW w:w="1237" w:type="pct"/>
                  <w:vMerge w:val="restart"/>
                  <w:vAlign w:val="center"/>
                </w:tcPr>
                <w:p w14:paraId="572B9D9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2021.11.9</w:t>
                  </w:r>
                </w:p>
              </w:tc>
              <w:tc>
                <w:tcPr>
                  <w:tcW w:w="1091" w:type="pct"/>
                  <w:vAlign w:val="center"/>
                </w:tcPr>
                <w:p w14:paraId="022B27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121.6</w:t>
                  </w:r>
                </w:p>
              </w:tc>
              <w:tc>
                <w:tcPr>
                  <w:tcW w:w="1220" w:type="pct"/>
                  <w:vAlign w:val="center"/>
                </w:tcPr>
                <w:p w14:paraId="7554E7B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31.9</w:t>
                  </w:r>
                </w:p>
              </w:tc>
              <w:tc>
                <w:tcPr>
                  <w:tcW w:w="812" w:type="pct"/>
                  <w:vAlign w:val="center"/>
                </w:tcPr>
                <w:p w14:paraId="33A4BE2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73.77</w:t>
                  </w:r>
                </w:p>
              </w:tc>
            </w:tr>
            <w:tr w14:paraId="607E6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39" w:type="pct"/>
                  <w:vMerge w:val="continue"/>
                  <w:vAlign w:val="center"/>
                </w:tcPr>
                <w:p w14:paraId="3F06B06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p>
              </w:tc>
              <w:tc>
                <w:tcPr>
                  <w:tcW w:w="1237" w:type="pct"/>
                  <w:vMerge w:val="continue"/>
                  <w:vAlign w:val="center"/>
                </w:tcPr>
                <w:p w14:paraId="26E7F07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p>
              </w:tc>
              <w:tc>
                <w:tcPr>
                  <w:tcW w:w="1091" w:type="pct"/>
                  <w:vAlign w:val="center"/>
                </w:tcPr>
                <w:p w14:paraId="21B23E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121.85</w:t>
                  </w:r>
                </w:p>
              </w:tc>
              <w:tc>
                <w:tcPr>
                  <w:tcW w:w="1220" w:type="pct"/>
                  <w:vAlign w:val="center"/>
                </w:tcPr>
                <w:p w14:paraId="4E8CE78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38.7</w:t>
                  </w:r>
                </w:p>
              </w:tc>
              <w:tc>
                <w:tcPr>
                  <w:tcW w:w="812" w:type="pct"/>
                  <w:vAlign w:val="center"/>
                </w:tcPr>
                <w:p w14:paraId="00BC40D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68.24</w:t>
                  </w:r>
                </w:p>
              </w:tc>
            </w:tr>
            <w:tr w14:paraId="0B50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39" w:type="pct"/>
                  <w:vMerge w:val="continue"/>
                  <w:vAlign w:val="center"/>
                </w:tcPr>
                <w:p w14:paraId="2118CE2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p>
              </w:tc>
              <w:tc>
                <w:tcPr>
                  <w:tcW w:w="1237" w:type="pct"/>
                  <w:vMerge w:val="continue"/>
                  <w:vAlign w:val="center"/>
                </w:tcPr>
                <w:p w14:paraId="6092AB9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p>
              </w:tc>
              <w:tc>
                <w:tcPr>
                  <w:tcW w:w="1091" w:type="pct"/>
                  <w:vAlign w:val="center"/>
                </w:tcPr>
                <w:p w14:paraId="605ABE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127.5</w:t>
                  </w:r>
                </w:p>
              </w:tc>
              <w:tc>
                <w:tcPr>
                  <w:tcW w:w="1220" w:type="pct"/>
                  <w:vAlign w:val="center"/>
                </w:tcPr>
                <w:p w14:paraId="0B88235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38.1</w:t>
                  </w:r>
                </w:p>
              </w:tc>
              <w:tc>
                <w:tcPr>
                  <w:tcW w:w="812" w:type="pct"/>
                  <w:vAlign w:val="center"/>
                </w:tcPr>
                <w:p w14:paraId="3434963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70.12</w:t>
                  </w:r>
                </w:p>
              </w:tc>
            </w:tr>
            <w:tr w14:paraId="559A2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39" w:type="pct"/>
                  <w:vMerge w:val="continue"/>
                  <w:vAlign w:val="center"/>
                </w:tcPr>
                <w:p w14:paraId="1BA42A5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rPr>
                  </w:pPr>
                </w:p>
              </w:tc>
              <w:tc>
                <w:tcPr>
                  <w:tcW w:w="1237" w:type="pct"/>
                  <w:vAlign w:val="center"/>
                </w:tcPr>
                <w:p w14:paraId="58B67A6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平均值</w:t>
                  </w:r>
                </w:p>
              </w:tc>
              <w:tc>
                <w:tcPr>
                  <w:tcW w:w="1091" w:type="pct"/>
                  <w:vAlign w:val="center"/>
                </w:tcPr>
                <w:p w14:paraId="0BE23A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123.5</w:t>
                  </w:r>
                </w:p>
              </w:tc>
              <w:tc>
                <w:tcPr>
                  <w:tcW w:w="1220" w:type="pct"/>
                  <w:vAlign w:val="center"/>
                </w:tcPr>
                <w:p w14:paraId="1A053CC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36.2</w:t>
                  </w:r>
                </w:p>
              </w:tc>
              <w:tc>
                <w:tcPr>
                  <w:tcW w:w="812" w:type="pct"/>
                  <w:vAlign w:val="center"/>
                </w:tcPr>
                <w:p w14:paraId="0CE7A5A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70.69</w:t>
                  </w:r>
                </w:p>
              </w:tc>
            </w:tr>
          </w:tbl>
          <w:p w14:paraId="725C8C3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由上表可知UV光解+活性炭吸附装置去除效率在63%-73.77%之间，本项目取值70%。</w:t>
            </w:r>
          </w:p>
          <w:p w14:paraId="17CDAAF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综上所述，项目采用“UV光氧+活性炭吸附装置”处理有机废气是合理、可行的。</w:t>
            </w:r>
          </w:p>
          <w:p w14:paraId="385F8B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default" w:ascii="Times New Roman" w:hAnsi="Times New Roman" w:eastAsia="宋体" w:cs="Times New Roman"/>
                <w:b/>
                <w:bCs w:val="0"/>
                <w:color w:val="auto"/>
                <w:sz w:val="24"/>
                <w:szCs w:val="24"/>
                <w:lang w:eastAsia="zh-CN"/>
              </w:rPr>
            </w:pPr>
            <w:r>
              <w:rPr>
                <w:rFonts w:hint="default" w:ascii="Times New Roman" w:hAnsi="Times New Roman" w:eastAsia="宋体" w:cs="Times New Roman"/>
                <w:b/>
                <w:bCs/>
                <w:color w:val="auto"/>
                <w:sz w:val="24"/>
                <w:szCs w:val="24"/>
                <w:lang w:val="en-US" w:eastAsia="zh-CN"/>
              </w:rPr>
              <w:t>②</w:t>
            </w:r>
            <w:r>
              <w:rPr>
                <w:rFonts w:hint="default" w:ascii="Times New Roman" w:hAnsi="Times New Roman" w:eastAsia="宋体" w:cs="Times New Roman"/>
                <w:b/>
                <w:bCs/>
                <w:color w:val="auto"/>
                <w:sz w:val="24"/>
                <w:szCs w:val="24"/>
                <w:lang w:val="zh-CN" w:eastAsia="zh-CN"/>
              </w:rPr>
              <w:t>脉冲</w:t>
            </w:r>
            <w:r>
              <w:rPr>
                <w:rFonts w:hint="default" w:ascii="Times New Roman" w:hAnsi="Times New Roman" w:eastAsia="宋体" w:cs="Times New Roman"/>
                <w:b/>
                <w:bCs w:val="0"/>
                <w:color w:val="auto"/>
                <w:sz w:val="24"/>
                <w:szCs w:val="24"/>
                <w:lang w:eastAsia="zh-CN"/>
              </w:rPr>
              <w:t>布袋</w:t>
            </w:r>
            <w:r>
              <w:rPr>
                <w:rFonts w:hint="default" w:ascii="Times New Roman" w:hAnsi="Times New Roman" w:eastAsia="宋体" w:cs="Times New Roman"/>
                <w:b/>
                <w:bCs w:val="0"/>
                <w:color w:val="auto"/>
                <w:sz w:val="24"/>
                <w:szCs w:val="24"/>
              </w:rPr>
              <w:t>除尘</w:t>
            </w:r>
            <w:r>
              <w:rPr>
                <w:rFonts w:hint="default" w:ascii="Times New Roman" w:hAnsi="Times New Roman" w:eastAsia="宋体" w:cs="Times New Roman"/>
                <w:b/>
                <w:bCs w:val="0"/>
                <w:color w:val="auto"/>
                <w:sz w:val="24"/>
                <w:szCs w:val="24"/>
                <w:lang w:val="en-US" w:eastAsia="zh-CN"/>
              </w:rPr>
              <w:t>装置</w:t>
            </w:r>
            <w:r>
              <w:rPr>
                <w:rFonts w:hint="default" w:ascii="Times New Roman" w:hAnsi="Times New Roman" w:eastAsia="宋体" w:cs="Times New Roman"/>
                <w:b/>
                <w:bCs w:val="0"/>
                <w:color w:val="auto"/>
                <w:sz w:val="24"/>
                <w:szCs w:val="24"/>
                <w:lang w:eastAsia="zh-CN"/>
              </w:rPr>
              <w:t>分析</w:t>
            </w:r>
          </w:p>
          <w:p w14:paraId="7FFA76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jc w:val="both"/>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eastAsia="zh-CN"/>
              </w:rPr>
              <w:t>布袋</w:t>
            </w:r>
            <w:r>
              <w:rPr>
                <w:rFonts w:hint="default" w:ascii="Times New Roman" w:hAnsi="Times New Roman" w:eastAsia="宋体" w:cs="Times New Roman"/>
                <w:bCs/>
                <w:color w:val="auto"/>
                <w:sz w:val="24"/>
                <w:szCs w:val="24"/>
              </w:rPr>
              <w:t>除尘器</w:t>
            </w:r>
            <w:r>
              <w:rPr>
                <w:rFonts w:hint="default" w:ascii="Times New Roman" w:hAnsi="Times New Roman" w:eastAsia="宋体" w:cs="Times New Roman"/>
                <w:bCs/>
                <w:color w:val="auto"/>
                <w:sz w:val="24"/>
                <w:szCs w:val="24"/>
                <w:lang w:val="en-US" w:eastAsia="zh-CN"/>
              </w:rPr>
              <w:t>属于</w:t>
            </w:r>
            <w:r>
              <w:rPr>
                <w:rFonts w:hint="default"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rPr>
              <w:t>排污许可证申请与核发技术规范 涂料、油墨、颜料及类似产品制造业》（HJ 1116-2020）</w:t>
            </w:r>
            <w:r>
              <w:rPr>
                <w:rFonts w:hint="default" w:ascii="Times New Roman" w:hAnsi="Times New Roman" w:eastAsia="宋体" w:cs="Times New Roman"/>
                <w:bCs/>
                <w:color w:val="auto"/>
                <w:sz w:val="24"/>
                <w:szCs w:val="24"/>
                <w:lang w:val="en-US" w:eastAsia="zh-CN"/>
              </w:rPr>
              <w:t>“附录A废气污染防治可行技术”中的技术-“袋式除尘”，属于</w:t>
            </w:r>
            <w:r>
              <w:rPr>
                <w:rFonts w:hint="default" w:ascii="Times New Roman" w:hAnsi="Times New Roman" w:eastAsia="宋体" w:cs="Times New Roman"/>
                <w:color w:val="auto"/>
                <w:sz w:val="24"/>
                <w:szCs w:val="24"/>
              </w:rPr>
              <w:t>可行技术</w:t>
            </w:r>
            <w:r>
              <w:rPr>
                <w:rFonts w:hint="default" w:ascii="Times New Roman" w:hAnsi="Times New Roman" w:eastAsia="宋体" w:cs="Times New Roman"/>
                <w:color w:val="auto"/>
                <w:sz w:val="24"/>
                <w:szCs w:val="24"/>
                <w:lang w:eastAsia="zh-CN"/>
              </w:rPr>
              <w:t>。</w:t>
            </w:r>
          </w:p>
          <w:p w14:paraId="34EDD8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jc w:val="both"/>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eastAsia="zh-CN"/>
              </w:rPr>
              <w:t>脉冲布袋除尘器</w:t>
            </w:r>
            <w:r>
              <w:rPr>
                <w:rFonts w:hint="default" w:ascii="Times New Roman" w:hAnsi="Times New Roman" w:eastAsia="宋体" w:cs="Times New Roman"/>
                <w:bCs/>
                <w:color w:val="auto"/>
                <w:sz w:val="24"/>
                <w:szCs w:val="24"/>
              </w:rPr>
              <w:t>是先进水平的高效袋式除尘器，由于其脉冲喷吹强度和频率可进行调节，清灰效果好，是目前世界上最为广泛应用的除尘装置。</w:t>
            </w:r>
          </w:p>
          <w:p w14:paraId="29AF05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jc w:val="both"/>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脉冲反吹布袋除尘器原理图所示，含尘气体从袋式除尘器入口进入后，通过烟气分配装置均匀分配进入滤袋，当含尘气体穿过滤袋时，烟尘即被吸附在滤料上，而被净化的气体则从滤袋内排出。当吸附在滤料上的烟尘达到一定厚度时，电磁阀开启，压缩空气从滤袋出口处自上而下与气体排除的相反方向进入滤袋，将吸附在滤袋外表面的烟尘清落至下面的灰斗中。</w:t>
            </w:r>
          </w:p>
          <w:p w14:paraId="4F8879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采取的粉尘处理措施较为常用，实施难度小，投资合理，运行稳定可靠。根据全国类似企业生产情况来看，粉尘处理设施能稳定运行，排放达标。是目前同类企业中使用较为普遍粉尘处理方案，处理工艺较为成熟。符合相关法律法规污染防治规定的措施要求，技术经济可行。</w:t>
            </w:r>
          </w:p>
          <w:p w14:paraId="042C57E4">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③集中式滤筒除尘器分析</w:t>
            </w:r>
          </w:p>
          <w:p w14:paraId="77F743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滤筒除尘器是一种干式除尘设备，使用滤筒作为过滤元件，将微粉尘从气流中分离出来。滤筒除尘器通常设有一个或多个风机，将要过滤的气体吸入滤筒。当气体流经滤筒时，粉尘会被吸附在滤筒表面上，而清洁的气体会穿过滤筒并排出除尘器，除尘效果较好。通过对滤筒表面灰尘周期性清理，使设备运行阻力相对稳定，是保证除尘系统正常工作的重要环节。沉降及清理的灰尘集聚于灰斗内，由排灰阀自动排出或聚于灰桶内，定期人工排放。</w:t>
            </w:r>
          </w:p>
          <w:p w14:paraId="2856099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lang w:val="en-US" w:eastAsia="zh-CN"/>
              </w:rPr>
              <w:t>综上所述，</w:t>
            </w:r>
            <w:r>
              <w:rPr>
                <w:rFonts w:hint="default" w:ascii="Times New Roman" w:hAnsi="Times New Roman" w:eastAsia="宋体" w:cs="Times New Roman"/>
                <w:color w:val="auto"/>
                <w:sz w:val="24"/>
              </w:rPr>
              <w:t>项目采用</w:t>
            </w:r>
            <w:r>
              <w:rPr>
                <w:rFonts w:hint="default" w:ascii="Times New Roman" w:hAnsi="Times New Roman" w:eastAsia="宋体" w:cs="Times New Roman"/>
                <w:color w:val="auto"/>
                <w:sz w:val="24"/>
                <w:lang w:eastAsia="zh-CN"/>
              </w:rPr>
              <w:t>集中式滤筒除尘</w:t>
            </w:r>
            <w:r>
              <w:rPr>
                <w:rFonts w:hint="default" w:ascii="Times New Roman" w:hAnsi="Times New Roman" w:eastAsia="宋体" w:cs="Times New Roman"/>
                <w:color w:val="auto"/>
                <w:sz w:val="24"/>
              </w:rPr>
              <w:t>处理</w:t>
            </w:r>
            <w:r>
              <w:rPr>
                <w:rFonts w:hint="default" w:ascii="Times New Roman" w:hAnsi="Times New Roman" w:eastAsia="宋体" w:cs="Times New Roman"/>
                <w:color w:val="auto"/>
                <w:sz w:val="24"/>
                <w:lang w:eastAsia="zh-CN"/>
              </w:rPr>
              <w:t>腻子粉生产投料粉尘</w:t>
            </w:r>
            <w:r>
              <w:rPr>
                <w:rFonts w:hint="default" w:ascii="Times New Roman" w:hAnsi="Times New Roman" w:eastAsia="宋体" w:cs="Times New Roman"/>
                <w:color w:val="auto"/>
                <w:sz w:val="24"/>
              </w:rPr>
              <w:t>是合理、可行的。</w:t>
            </w:r>
          </w:p>
          <w:p w14:paraId="0D65D630">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cs="Times New Roman"/>
                <w:b/>
                <w:bCs/>
                <w:color w:val="auto"/>
                <w:sz w:val="24"/>
                <w:szCs w:val="28"/>
                <w:lang w:val="en-US" w:eastAsia="zh-CN"/>
              </w:rPr>
            </w:pPr>
            <w:r>
              <w:rPr>
                <w:rFonts w:hint="eastAsia" w:cs="Times New Roman"/>
                <w:b/>
                <w:bCs/>
                <w:color w:val="auto"/>
                <w:sz w:val="24"/>
                <w:szCs w:val="28"/>
                <w:lang w:val="en-US" w:eastAsia="zh-CN"/>
              </w:rPr>
              <w:t>④旋风除尘器分析</w:t>
            </w:r>
          </w:p>
          <w:p w14:paraId="5884854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旋风</w:t>
            </w: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HYPERLINK "https://baike.baidu.com/item/%E9%99%A4%E5%B0%98%E5%99%A8/391130?fromModule=lemma_inlink" \t "https://baike.baidu.com/item/%E6%97%8B%E9%A3%8E%E9%99%A4%E5%B0%98%E5%99%A8/_blank"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除尘器</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是由</w:t>
            </w: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HYPERLINK "https://baike.baidu.com/item/%E8%BF%9B%E6%B0%94%E7%AE%A1/10118194?fromModule=lemma_inlink" \t "https://baike.baidu.com/item/%E6%97%8B%E9%A3%8E%E9%99%A4%E5%B0%98%E5%99%A8/_blank"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进气管</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HYPERLINK "https://baike.baidu.com/item/%E6%8E%92%E6%B0%94%E7%AE%A1/6591407?fromModule=lemma_inlink" \t "https://baike.baidu.com/item/%E6%97%8B%E9%A3%8E%E9%99%A4%E5%B0%98%E5%99%A8/_blank"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排气管</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、圆筒体、</w:t>
            </w: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HYPERLINK "https://baike.baidu.com/item/%E5%9C%86%E9%94%A5/2453504?fromModule=lemma_inlink" \t "https://baike.baidu.com/item/%E6%97%8B%E9%A3%8E%E9%99%A4%E5%B0%98%E5%99%A8/_blank"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圆锥</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体和灰斗组成</w:t>
            </w:r>
            <w:r>
              <w:rPr>
                <w:rFonts w:hint="eastAsia" w:cs="Times New Roman"/>
                <w:color w:val="auto"/>
                <w:sz w:val="24"/>
                <w:lang w:eastAsia="zh-CN"/>
              </w:rPr>
              <w:t>，</w:t>
            </w:r>
            <w:r>
              <w:rPr>
                <w:rFonts w:hint="default" w:ascii="Times New Roman" w:hAnsi="Times New Roman" w:eastAsia="宋体" w:cs="Times New Roman"/>
                <w:color w:val="auto"/>
                <w:sz w:val="24"/>
              </w:rPr>
              <w:t>除尘器结构简单，易于制造、安装和维护管理，</w:t>
            </w: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HYPERLINK "https://baike.baidu.com/item/%E8%AE%BE%E5%A4%87%E6%8A%95%E8%B5%84/3011375?fromModule=lemma_inlink" \t "https://baike.baidu.com/item/%E6%97%8B%E9%A3%8E%E9%99%A4%E5%B0%98%E5%99%A8/_blank"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设备投资</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和操作费用都较低，已广泛用于从气流中分离固体和液体粒子，或从液体中分离</w:t>
            </w: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HYPERLINK "https://baike.baidu.com/item/%E5%9B%BA%E4%BD%93%E7%B2%92%E5%AD%90/10329567?fromModule=lemma_inlink" \t "https://baike.baidu.com/item/%E6%97%8B%E9%A3%8E%E9%99%A4%E5%B0%98%E5%99%A8/_blank"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固体粒子</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。除尘效率受到粉尘粒径大小影响，一般单筒旋风除尘效率60-80%</w:t>
            </w:r>
            <w:r>
              <w:rPr>
                <w:rFonts w:hint="eastAsia" w:cs="Times New Roman"/>
                <w:color w:val="auto"/>
                <w:sz w:val="24"/>
                <w:lang w:eastAsia="zh-CN"/>
              </w:rPr>
              <w:t>，</w:t>
            </w:r>
            <w:r>
              <w:rPr>
                <w:rFonts w:hint="eastAsia" w:cs="Times New Roman"/>
                <w:color w:val="auto"/>
                <w:sz w:val="24"/>
                <w:lang w:val="en-US" w:eastAsia="zh-CN"/>
              </w:rPr>
              <w:t>考虑不利因素本项目取值60%是合理可行的。</w:t>
            </w:r>
          </w:p>
          <w:p w14:paraId="6157B30B">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zh-CN" w:eastAsia="zh-CN"/>
              </w:rPr>
            </w:pPr>
            <w:r>
              <w:rPr>
                <w:rFonts w:hint="default" w:ascii="Times New Roman" w:hAnsi="Times New Roman" w:eastAsia="宋体" w:cs="Times New Roman"/>
                <w:b/>
                <w:bCs/>
                <w:color w:val="auto"/>
                <w:sz w:val="24"/>
                <w:szCs w:val="28"/>
                <w:lang w:val="en-US" w:eastAsia="zh-CN"/>
              </w:rPr>
              <w:t>（9）非正常排放影响分析</w:t>
            </w:r>
          </w:p>
          <w:p w14:paraId="3C1C5C0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项目发生非正常排放，即废气处理设施发生故障时，项目区内的废气收集效率下降甚至完全失效，最不利情况为废气处理设备效率因故障降为0%的情况下，其他排放源正常工作进行设计。</w:t>
            </w:r>
          </w:p>
          <w:p w14:paraId="6B03E2C8">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w:t>
            </w:r>
            <w:r>
              <w:rPr>
                <w:rFonts w:hint="eastAsia" w:hAnsi="Times New Roman" w:cs="Times New Roman"/>
                <w:b/>
                <w:bCs/>
                <w:color w:val="auto"/>
                <w:sz w:val="21"/>
                <w:szCs w:val="21"/>
                <w:lang w:val="en-US" w:eastAsia="zh-CN"/>
              </w:rPr>
              <w:t>10</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大气污染物</w:t>
            </w:r>
            <w:r>
              <w:rPr>
                <w:rFonts w:hint="default" w:ascii="Times New Roman" w:hAnsi="Times New Roman" w:eastAsia="宋体" w:cs="Times New Roman"/>
                <w:b/>
                <w:bCs/>
                <w:color w:val="auto"/>
                <w:sz w:val="21"/>
                <w:szCs w:val="21"/>
                <w:lang w:eastAsia="zh-CN"/>
              </w:rPr>
              <w:t>非正常</w:t>
            </w:r>
            <w:r>
              <w:rPr>
                <w:rFonts w:hint="default" w:ascii="Times New Roman" w:hAnsi="Times New Roman" w:eastAsia="宋体" w:cs="Times New Roman"/>
                <w:b/>
                <w:bCs/>
                <w:color w:val="auto"/>
                <w:sz w:val="21"/>
                <w:szCs w:val="21"/>
              </w:rPr>
              <w:t>排放量核算表</w:t>
            </w:r>
          </w:p>
          <w:tbl>
            <w:tblPr>
              <w:tblStyle w:val="2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1141"/>
              <w:gridCol w:w="942"/>
              <w:gridCol w:w="859"/>
              <w:gridCol w:w="1216"/>
              <w:gridCol w:w="1134"/>
              <w:gridCol w:w="834"/>
              <w:gridCol w:w="896"/>
              <w:gridCol w:w="971"/>
            </w:tblGrid>
            <w:tr w14:paraId="23E1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noWrap w:val="0"/>
                  <w:vAlign w:val="center"/>
                </w:tcPr>
                <w:p w14:paraId="70C84056">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序号</w:t>
                  </w:r>
                </w:p>
              </w:tc>
              <w:tc>
                <w:tcPr>
                  <w:tcW w:w="677" w:type="pct"/>
                  <w:noWrap w:val="0"/>
                  <w:vAlign w:val="center"/>
                </w:tcPr>
                <w:p w14:paraId="224F6BAA">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污染源</w:t>
                  </w:r>
                </w:p>
              </w:tc>
              <w:tc>
                <w:tcPr>
                  <w:tcW w:w="559" w:type="pct"/>
                  <w:noWrap w:val="0"/>
                  <w:vAlign w:val="center"/>
                </w:tcPr>
                <w:p w14:paraId="45AC6364">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非正常排放原因</w:t>
                  </w:r>
                </w:p>
              </w:tc>
              <w:tc>
                <w:tcPr>
                  <w:tcW w:w="510" w:type="pct"/>
                  <w:noWrap w:val="0"/>
                  <w:vAlign w:val="center"/>
                </w:tcPr>
                <w:p w14:paraId="24852A83">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污染物</w:t>
                  </w:r>
                </w:p>
              </w:tc>
              <w:tc>
                <w:tcPr>
                  <w:tcW w:w="722" w:type="pct"/>
                  <w:noWrap w:val="0"/>
                  <w:vAlign w:val="center"/>
                </w:tcPr>
                <w:p w14:paraId="422E8880">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eastAsia="zh-CN"/>
                    </w:rPr>
                    <w:t>非正常排放浓度</w:t>
                  </w:r>
                  <w:r>
                    <w:rPr>
                      <w:rFonts w:hint="default" w:ascii="Times New Roman" w:hAnsi="Times New Roman" w:eastAsia="宋体" w:cs="Times New Roman"/>
                      <w:b/>
                      <w:bCs w:val="0"/>
                      <w:color w:val="auto"/>
                      <w:sz w:val="21"/>
                      <w:szCs w:val="21"/>
                      <w:lang w:val="en-US" w:eastAsia="zh-CN"/>
                    </w:rPr>
                    <w:t>/</w:t>
                  </w:r>
                  <w:r>
                    <w:rPr>
                      <w:rFonts w:hint="default" w:ascii="Times New Roman" w:hAnsi="Times New Roman" w:eastAsia="宋体" w:cs="Times New Roman"/>
                      <w:b/>
                      <w:bCs w:val="0"/>
                      <w:color w:val="auto"/>
                      <w:sz w:val="21"/>
                      <w:szCs w:val="21"/>
                      <w:lang w:eastAsia="zh-CN"/>
                    </w:rPr>
                    <w:t>(</w:t>
                  </w:r>
                  <w:r>
                    <w:rPr>
                      <w:rFonts w:hint="default" w:ascii="Times New Roman" w:hAnsi="Times New Roman" w:eastAsia="宋体" w:cs="Times New Roman"/>
                      <w:b/>
                      <w:bCs w:val="0"/>
                      <w:color w:val="auto"/>
                      <w:sz w:val="21"/>
                      <w:szCs w:val="21"/>
                      <w:lang w:val="en-US" w:eastAsia="zh-CN"/>
                    </w:rPr>
                    <w:t>m</w:t>
                  </w:r>
                  <w:r>
                    <w:rPr>
                      <w:rFonts w:hint="default" w:ascii="Times New Roman" w:hAnsi="Times New Roman" w:eastAsia="宋体" w:cs="Times New Roman"/>
                      <w:b/>
                      <w:bCs w:val="0"/>
                      <w:color w:val="auto"/>
                      <w:sz w:val="21"/>
                      <w:szCs w:val="21"/>
                      <w:lang w:eastAsia="zh-CN"/>
                    </w:rPr>
                    <w:t>g/m</w:t>
                  </w:r>
                  <w:r>
                    <w:rPr>
                      <w:rFonts w:hint="default" w:ascii="Times New Roman" w:hAnsi="Times New Roman" w:eastAsia="宋体" w:cs="Times New Roman"/>
                      <w:b/>
                      <w:bCs w:val="0"/>
                      <w:color w:val="auto"/>
                      <w:sz w:val="21"/>
                      <w:szCs w:val="21"/>
                      <w:vertAlign w:val="superscript"/>
                      <w:lang w:eastAsia="zh-CN"/>
                    </w:rPr>
                    <w:t>3</w:t>
                  </w:r>
                  <w:r>
                    <w:rPr>
                      <w:rFonts w:hint="default" w:ascii="Times New Roman" w:hAnsi="Times New Roman" w:eastAsia="宋体" w:cs="Times New Roman"/>
                      <w:b/>
                      <w:bCs w:val="0"/>
                      <w:color w:val="auto"/>
                      <w:sz w:val="21"/>
                      <w:szCs w:val="21"/>
                      <w:lang w:eastAsia="zh-CN"/>
                    </w:rPr>
                    <w:t>)</w:t>
                  </w:r>
                </w:p>
              </w:tc>
              <w:tc>
                <w:tcPr>
                  <w:tcW w:w="673" w:type="pct"/>
                  <w:noWrap w:val="0"/>
                  <w:vAlign w:val="center"/>
                </w:tcPr>
                <w:p w14:paraId="3D2F1C32">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eastAsia="zh-CN"/>
                    </w:rPr>
                    <w:t>非正常排放速率</w:t>
                  </w:r>
                  <w:r>
                    <w:rPr>
                      <w:rFonts w:hint="default" w:ascii="Times New Roman" w:hAnsi="Times New Roman" w:eastAsia="宋体" w:cs="Times New Roman"/>
                      <w:b/>
                      <w:bCs w:val="0"/>
                      <w:color w:val="auto"/>
                      <w:sz w:val="21"/>
                      <w:szCs w:val="21"/>
                      <w:lang w:val="en-US" w:eastAsia="zh-CN"/>
                    </w:rPr>
                    <w:t>/</w:t>
                  </w:r>
                  <w:r>
                    <w:rPr>
                      <w:rFonts w:hint="default" w:ascii="Times New Roman" w:hAnsi="Times New Roman" w:eastAsia="宋体" w:cs="Times New Roman"/>
                      <w:b/>
                      <w:bCs w:val="0"/>
                      <w:color w:val="auto"/>
                      <w:sz w:val="21"/>
                      <w:szCs w:val="21"/>
                      <w:lang w:eastAsia="zh-CN"/>
                    </w:rPr>
                    <w:t>（kg/h）</w:t>
                  </w:r>
                </w:p>
              </w:tc>
              <w:tc>
                <w:tcPr>
                  <w:tcW w:w="495" w:type="pct"/>
                  <w:noWrap w:val="0"/>
                  <w:vAlign w:val="center"/>
                </w:tcPr>
                <w:p w14:paraId="73727D8F">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eastAsia="zh-CN"/>
                    </w:rPr>
                    <w:t>单次持续时间</w:t>
                  </w:r>
                  <w:r>
                    <w:rPr>
                      <w:rFonts w:hint="default" w:ascii="Times New Roman" w:hAnsi="Times New Roman" w:eastAsia="宋体" w:cs="Times New Roman"/>
                      <w:b/>
                      <w:bCs w:val="0"/>
                      <w:color w:val="auto"/>
                      <w:sz w:val="21"/>
                      <w:szCs w:val="21"/>
                      <w:lang w:val="en-US" w:eastAsia="zh-CN"/>
                    </w:rPr>
                    <w:t>/h</w:t>
                  </w:r>
                </w:p>
              </w:tc>
              <w:tc>
                <w:tcPr>
                  <w:tcW w:w="532" w:type="pct"/>
                  <w:noWrap w:val="0"/>
                  <w:vAlign w:val="center"/>
                </w:tcPr>
                <w:p w14:paraId="64A81C32">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eastAsia="zh-CN"/>
                    </w:rPr>
                    <w:t>年发生频次</w:t>
                  </w:r>
                  <w:r>
                    <w:rPr>
                      <w:rFonts w:hint="default" w:ascii="Times New Roman" w:hAnsi="Times New Roman" w:eastAsia="宋体" w:cs="Times New Roman"/>
                      <w:b/>
                      <w:bCs w:val="0"/>
                      <w:color w:val="auto"/>
                      <w:sz w:val="21"/>
                      <w:szCs w:val="21"/>
                      <w:lang w:val="en-US" w:eastAsia="zh-CN"/>
                    </w:rPr>
                    <w:t>/次</w:t>
                  </w:r>
                </w:p>
              </w:tc>
              <w:tc>
                <w:tcPr>
                  <w:tcW w:w="576" w:type="pct"/>
                  <w:noWrap w:val="0"/>
                  <w:vAlign w:val="center"/>
                </w:tcPr>
                <w:p w14:paraId="3689A1C0">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应对措施</w:t>
                  </w:r>
                </w:p>
              </w:tc>
            </w:tr>
            <w:tr w14:paraId="40DB5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noWrap w:val="0"/>
                  <w:vAlign w:val="center"/>
                </w:tcPr>
                <w:p w14:paraId="7FE1F9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color w:val="auto"/>
                      <w:sz w:val="21"/>
                      <w:szCs w:val="21"/>
                    </w:rPr>
                    <w:t>1</w:t>
                  </w:r>
                </w:p>
              </w:tc>
              <w:tc>
                <w:tcPr>
                  <w:tcW w:w="677" w:type="pct"/>
                  <w:noWrap w:val="0"/>
                  <w:vAlign w:val="center"/>
                </w:tcPr>
                <w:p w14:paraId="29961A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DA001排气筒</w:t>
                  </w:r>
                </w:p>
              </w:tc>
              <w:tc>
                <w:tcPr>
                  <w:tcW w:w="559" w:type="pct"/>
                  <w:vMerge w:val="restart"/>
                  <w:noWrap w:val="0"/>
                  <w:vAlign w:val="center"/>
                </w:tcPr>
                <w:p w14:paraId="3060AD57">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废气处理设备未及时进行清理或出现故障</w:t>
                  </w:r>
                </w:p>
              </w:tc>
              <w:tc>
                <w:tcPr>
                  <w:tcW w:w="510" w:type="pct"/>
                  <w:noWrap w:val="0"/>
                  <w:vAlign w:val="center"/>
                </w:tcPr>
                <w:p w14:paraId="2DF7DDB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722" w:type="pct"/>
                  <w:noWrap w:val="0"/>
                  <w:vAlign w:val="center"/>
                </w:tcPr>
                <w:p w14:paraId="64F403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lang w:val="en-US" w:eastAsia="zh-CN"/>
                    </w:rPr>
                  </w:pPr>
                  <w:r>
                    <w:rPr>
                      <w:rFonts w:hint="eastAsia" w:cs="Times New Roman"/>
                      <w:i w:val="0"/>
                      <w:iCs w:val="0"/>
                      <w:color w:val="auto"/>
                      <w:kern w:val="0"/>
                      <w:sz w:val="21"/>
                      <w:szCs w:val="21"/>
                      <w:u w:val="none"/>
                      <w:lang w:val="en-US" w:eastAsia="zh-CN" w:bidi="ar"/>
                    </w:rPr>
                    <w:t>1996</w:t>
                  </w:r>
                </w:p>
              </w:tc>
              <w:tc>
                <w:tcPr>
                  <w:tcW w:w="673" w:type="pct"/>
                  <w:noWrap w:val="0"/>
                  <w:vAlign w:val="center"/>
                </w:tcPr>
                <w:p w14:paraId="121303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lang w:val="en-US" w:eastAsia="zh-CN"/>
                    </w:rPr>
                  </w:pPr>
                  <w:r>
                    <w:rPr>
                      <w:rFonts w:hint="eastAsia" w:cs="Times New Roman"/>
                      <w:i w:val="0"/>
                      <w:iCs w:val="0"/>
                      <w:color w:val="auto"/>
                      <w:kern w:val="0"/>
                      <w:sz w:val="21"/>
                      <w:szCs w:val="21"/>
                      <w:u w:val="none"/>
                      <w:lang w:val="en-US" w:eastAsia="zh-CN" w:bidi="ar"/>
                    </w:rPr>
                    <w:t>95.8</w:t>
                  </w:r>
                </w:p>
              </w:tc>
              <w:tc>
                <w:tcPr>
                  <w:tcW w:w="495" w:type="pct"/>
                  <w:noWrap w:val="0"/>
                  <w:vAlign w:val="center"/>
                </w:tcPr>
                <w:p w14:paraId="36CB2D4F">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w:t>
                  </w:r>
                </w:p>
              </w:tc>
              <w:tc>
                <w:tcPr>
                  <w:tcW w:w="532" w:type="pct"/>
                  <w:noWrap w:val="0"/>
                  <w:vAlign w:val="center"/>
                </w:tcPr>
                <w:p w14:paraId="0665272A">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576" w:type="pct"/>
                  <w:vMerge w:val="restart"/>
                  <w:noWrap w:val="0"/>
                  <w:vAlign w:val="center"/>
                </w:tcPr>
                <w:p w14:paraId="3FED3F95">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及时停止运行，对设备进行检修，待设备更新或修理完毕后再恢复运营</w:t>
                  </w:r>
                </w:p>
              </w:tc>
            </w:tr>
            <w:tr w14:paraId="17B0E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vMerge w:val="restart"/>
                  <w:noWrap w:val="0"/>
                  <w:vAlign w:val="center"/>
                </w:tcPr>
                <w:p w14:paraId="47F3CD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77" w:type="pct"/>
                  <w:vMerge w:val="restart"/>
                  <w:noWrap w:val="0"/>
                  <w:vAlign w:val="center"/>
                </w:tcPr>
                <w:p w14:paraId="7A0CBA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DA002排气筒</w:t>
                  </w:r>
                </w:p>
              </w:tc>
              <w:tc>
                <w:tcPr>
                  <w:tcW w:w="559" w:type="pct"/>
                  <w:vMerge w:val="continue"/>
                  <w:noWrap w:val="0"/>
                  <w:vAlign w:val="center"/>
                </w:tcPr>
                <w:p w14:paraId="454A38F4">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lang w:eastAsia="zh-CN"/>
                    </w:rPr>
                  </w:pPr>
                </w:p>
              </w:tc>
              <w:tc>
                <w:tcPr>
                  <w:tcW w:w="510" w:type="pct"/>
                  <w:noWrap w:val="0"/>
                  <w:vAlign w:val="center"/>
                </w:tcPr>
                <w:p w14:paraId="34018AC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722" w:type="pct"/>
                  <w:noWrap w:val="0"/>
                  <w:vAlign w:val="center"/>
                </w:tcPr>
                <w:p w14:paraId="4BB5B9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w w:val="10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115</w:t>
                  </w:r>
                </w:p>
              </w:tc>
              <w:tc>
                <w:tcPr>
                  <w:tcW w:w="673" w:type="pct"/>
                  <w:noWrap w:val="0"/>
                  <w:vAlign w:val="center"/>
                </w:tcPr>
                <w:p w14:paraId="6A5C62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w w:val="10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0.69</w:t>
                  </w:r>
                </w:p>
              </w:tc>
              <w:tc>
                <w:tcPr>
                  <w:tcW w:w="495" w:type="pct"/>
                  <w:noWrap w:val="0"/>
                  <w:vAlign w:val="center"/>
                </w:tcPr>
                <w:p w14:paraId="0CCF802E">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color w:val="auto"/>
                      <w:sz w:val="21"/>
                      <w:szCs w:val="21"/>
                      <w:lang w:val="en-US" w:eastAsia="zh-CN"/>
                    </w:rPr>
                    <w:t>0.5</w:t>
                  </w:r>
                </w:p>
              </w:tc>
              <w:tc>
                <w:tcPr>
                  <w:tcW w:w="532" w:type="pct"/>
                  <w:noWrap w:val="0"/>
                  <w:vAlign w:val="center"/>
                </w:tcPr>
                <w:p w14:paraId="03EBDD29">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576" w:type="pct"/>
                  <w:vMerge w:val="continue"/>
                  <w:noWrap w:val="0"/>
                  <w:vAlign w:val="center"/>
                </w:tcPr>
                <w:p w14:paraId="337EDF18">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lang w:eastAsia="zh-CN"/>
                    </w:rPr>
                  </w:pPr>
                </w:p>
              </w:tc>
            </w:tr>
            <w:tr w14:paraId="1BDA0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vMerge w:val="continue"/>
                  <w:noWrap w:val="0"/>
                  <w:vAlign w:val="center"/>
                </w:tcPr>
                <w:p w14:paraId="151F37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7" w:type="pct"/>
                  <w:vMerge w:val="continue"/>
                  <w:noWrap w:val="0"/>
                  <w:vAlign w:val="center"/>
                </w:tcPr>
                <w:p w14:paraId="00B138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559" w:type="pct"/>
                  <w:vMerge w:val="continue"/>
                  <w:noWrap w:val="0"/>
                  <w:vAlign w:val="center"/>
                </w:tcPr>
                <w:p w14:paraId="554C0AC4">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lang w:eastAsia="zh-CN"/>
                    </w:rPr>
                  </w:pPr>
                </w:p>
              </w:tc>
              <w:tc>
                <w:tcPr>
                  <w:tcW w:w="510" w:type="pct"/>
                  <w:noWrap w:val="0"/>
                  <w:vAlign w:val="center"/>
                </w:tcPr>
                <w:p w14:paraId="58F5585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非甲烷总烃</w:t>
                  </w:r>
                </w:p>
              </w:tc>
              <w:tc>
                <w:tcPr>
                  <w:tcW w:w="722" w:type="pct"/>
                  <w:noWrap w:val="0"/>
                  <w:vAlign w:val="center"/>
                </w:tcPr>
                <w:p w14:paraId="67F028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42.5</w:t>
                  </w:r>
                </w:p>
              </w:tc>
              <w:tc>
                <w:tcPr>
                  <w:tcW w:w="673" w:type="pct"/>
                  <w:noWrap w:val="0"/>
                  <w:vAlign w:val="center"/>
                </w:tcPr>
                <w:p w14:paraId="2DC8BD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0.255</w:t>
                  </w:r>
                </w:p>
              </w:tc>
              <w:tc>
                <w:tcPr>
                  <w:tcW w:w="495" w:type="pct"/>
                  <w:noWrap w:val="0"/>
                  <w:vAlign w:val="center"/>
                </w:tcPr>
                <w:p w14:paraId="6C585A78">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0.5</w:t>
                  </w:r>
                </w:p>
              </w:tc>
              <w:tc>
                <w:tcPr>
                  <w:tcW w:w="532" w:type="pct"/>
                  <w:noWrap w:val="0"/>
                  <w:vAlign w:val="center"/>
                </w:tcPr>
                <w:p w14:paraId="502DB5FF">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w:t>
                  </w:r>
                </w:p>
              </w:tc>
              <w:tc>
                <w:tcPr>
                  <w:tcW w:w="576" w:type="pct"/>
                  <w:vMerge w:val="continue"/>
                  <w:noWrap w:val="0"/>
                  <w:vAlign w:val="center"/>
                </w:tcPr>
                <w:p w14:paraId="513FC4C2">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b w:val="0"/>
                      <w:bCs/>
                      <w:color w:val="auto"/>
                      <w:sz w:val="21"/>
                      <w:szCs w:val="21"/>
                      <w:lang w:eastAsia="zh-CN"/>
                    </w:rPr>
                  </w:pPr>
                </w:p>
              </w:tc>
            </w:tr>
          </w:tbl>
          <w:p w14:paraId="47675F7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由上表可知，非正常排放情况下</w:t>
            </w:r>
            <w:r>
              <w:rPr>
                <w:rFonts w:hint="default" w:ascii="Times New Roman" w:hAnsi="Times New Roman" w:eastAsia="宋体" w:cs="Times New Roman"/>
                <w:color w:val="auto"/>
                <w:sz w:val="24"/>
                <w:szCs w:val="24"/>
                <w:lang w:val="en-US" w:eastAsia="zh-CN"/>
              </w:rPr>
              <w:t>DA001、DA002废气排浓度均不能满足《涂料、油墨、胶粘剂工业大气污染物排放标准》（GB37824-2019）表1中有组织最高允许排放浓度限值，</w:t>
            </w:r>
            <w:r>
              <w:rPr>
                <w:rFonts w:hint="default" w:ascii="Times New Roman" w:hAnsi="Times New Roman" w:eastAsia="宋体" w:cs="Times New Roman"/>
                <w:color w:val="auto"/>
                <w:sz w:val="24"/>
              </w:rPr>
              <w:t>必须杜绝项目废气的非正常排放，本次评价提出以下建议措施：</w:t>
            </w:r>
          </w:p>
          <w:p w14:paraId="1C89282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①加强管理，明确岗位责任制，定期检查、维修、保养设备及构件，确保各种工艺、电气、设备的正常运转。</w:t>
            </w:r>
          </w:p>
          <w:p w14:paraId="53C59AE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②在必要位置设置监控、预警等装置，做到及时发现，及时解决。</w:t>
            </w:r>
          </w:p>
          <w:p w14:paraId="25A72F1B">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③若出现非正常情况，应及时停产维修，减少废气对大气环境的影响。</w:t>
            </w:r>
          </w:p>
          <w:p w14:paraId="64813954">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二、废水</w:t>
            </w:r>
          </w:p>
          <w:p w14:paraId="1255381A">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（1）污染源分析</w:t>
            </w:r>
          </w:p>
          <w:p w14:paraId="2B5AC5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本项目废水产排情况统计详见下表。</w:t>
            </w:r>
          </w:p>
          <w:p w14:paraId="7003344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11</w:t>
            </w:r>
            <w:r>
              <w:rPr>
                <w:rFonts w:hint="default" w:ascii="Times New Roman" w:hAnsi="Times New Roman" w:eastAsia="宋体" w:cs="Times New Roman"/>
                <w:b/>
                <w:bCs/>
                <w:color w:val="auto"/>
                <w:sz w:val="21"/>
                <w:szCs w:val="21"/>
                <w:lang w:val="en-US" w:eastAsia="zh-CN"/>
              </w:rPr>
              <w:t xml:space="preserve"> 废水排放分析表</w:t>
            </w:r>
          </w:p>
          <w:tbl>
            <w:tblPr>
              <w:tblStyle w:val="28"/>
              <w:tblW w:w="0" w:type="auto"/>
              <w:tblInd w:w="-1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2"/>
              <w:gridCol w:w="909"/>
              <w:gridCol w:w="645"/>
              <w:gridCol w:w="752"/>
              <w:gridCol w:w="850"/>
              <w:gridCol w:w="752"/>
              <w:gridCol w:w="752"/>
              <w:gridCol w:w="752"/>
              <w:gridCol w:w="752"/>
              <w:gridCol w:w="948"/>
              <w:gridCol w:w="885"/>
            </w:tblGrid>
            <w:tr w14:paraId="41EC6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5EFB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产污排污环节</w:t>
                  </w:r>
                </w:p>
              </w:tc>
              <w:tc>
                <w:tcPr>
                  <w:tcW w:w="70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8C050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生活污水、生产污水</w:t>
                  </w:r>
                </w:p>
              </w:tc>
            </w:tr>
            <w:tr w14:paraId="04807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834B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产生量（</w:t>
                  </w:r>
                  <w:r>
                    <w:rPr>
                      <w:rFonts w:hint="default" w:ascii="Times New Roman" w:hAnsi="Times New Roman" w:eastAsia="宋体" w:cs="Times New Roman"/>
                      <w:b/>
                      <w:bCs/>
                      <w:i w:val="0"/>
                      <w:iCs w:val="0"/>
                      <w:color w:val="000000"/>
                      <w:kern w:val="0"/>
                      <w:sz w:val="21"/>
                      <w:szCs w:val="21"/>
                      <w:u w:val="none"/>
                      <w:lang w:val="en-US" w:eastAsia="zh-CN" w:bidi="ar"/>
                    </w:rPr>
                    <w:t>m</w:t>
                  </w:r>
                  <w:r>
                    <w:rPr>
                      <w:rFonts w:hint="default" w:ascii="Times New Roman" w:hAnsi="Times New Roman" w:eastAsia="宋体" w:cs="Times New Roman"/>
                      <w:b/>
                      <w:bCs/>
                      <w:i w:val="0"/>
                      <w:iCs w:val="0"/>
                      <w:color w:val="000000"/>
                      <w:kern w:val="0"/>
                      <w:sz w:val="21"/>
                      <w:szCs w:val="21"/>
                      <w:u w:val="none"/>
                      <w:vertAlign w:val="superscript"/>
                      <w:lang w:val="en-US" w:eastAsia="zh-CN" w:bidi="ar"/>
                    </w:rPr>
                    <w:t>3</w:t>
                  </w:r>
                  <w:r>
                    <w:rPr>
                      <w:rFonts w:hint="default" w:ascii="Times New Roman" w:hAnsi="Times New Roman" w:eastAsia="宋体" w:cs="Times New Roman"/>
                      <w:b/>
                      <w:bCs/>
                      <w:i w:val="0"/>
                      <w:iCs w:val="0"/>
                      <w:color w:val="000000"/>
                      <w:kern w:val="0"/>
                      <w:sz w:val="21"/>
                      <w:szCs w:val="21"/>
                      <w:u w:val="none"/>
                      <w:lang w:val="en-US" w:eastAsia="zh-CN" w:bidi="ar"/>
                    </w:rPr>
                    <w:t>/a</w:t>
                  </w:r>
                  <w:r>
                    <w:rPr>
                      <w:rFonts w:hint="eastAsia" w:ascii="宋体" w:hAnsi="宋体" w:eastAsia="宋体" w:cs="宋体"/>
                      <w:b/>
                      <w:bCs/>
                      <w:i w:val="0"/>
                      <w:iCs w:val="0"/>
                      <w:color w:val="000000"/>
                      <w:kern w:val="0"/>
                      <w:sz w:val="21"/>
                      <w:szCs w:val="21"/>
                      <w:u w:val="none"/>
                      <w:lang w:val="en-US" w:eastAsia="zh-CN" w:bidi="ar"/>
                    </w:rPr>
                    <w:t>）</w:t>
                  </w:r>
                </w:p>
              </w:tc>
              <w:tc>
                <w:tcPr>
                  <w:tcW w:w="70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8D0B0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12526</w:t>
                  </w:r>
                </w:p>
              </w:tc>
            </w:tr>
            <w:tr w14:paraId="60675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3B45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污染物种类</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A4F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pH</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820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悬浮物</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72C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CODcr</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937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BOD</w:t>
                  </w:r>
                  <w:r>
                    <w:rPr>
                      <w:rFonts w:hint="default" w:ascii="Times New Roman" w:hAnsi="Times New Roman" w:eastAsia="宋体" w:cs="Times New Roman"/>
                      <w:i w:val="0"/>
                      <w:iCs w:val="0"/>
                      <w:color w:val="000000"/>
                      <w:kern w:val="0"/>
                      <w:sz w:val="11"/>
                      <w:szCs w:val="11"/>
                      <w:u w:val="none"/>
                      <w:lang w:val="en-US" w:eastAsia="zh-CN" w:bidi="ar"/>
                    </w:rPr>
                    <w:t>5</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73B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动植物油</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C41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石油</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C8B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LAS</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352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挥发酚</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89A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氨氮</w:t>
                  </w:r>
                </w:p>
              </w:tc>
            </w:tr>
            <w:tr w14:paraId="3AA07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6CEF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污染物产生量（</w:t>
                  </w:r>
                  <w:r>
                    <w:rPr>
                      <w:rFonts w:hint="default" w:ascii="Times New Roman" w:hAnsi="Times New Roman" w:eastAsia="宋体" w:cs="Times New Roman"/>
                      <w:b/>
                      <w:bCs/>
                      <w:i w:val="0"/>
                      <w:iCs w:val="0"/>
                      <w:color w:val="000000"/>
                      <w:kern w:val="0"/>
                      <w:sz w:val="21"/>
                      <w:szCs w:val="21"/>
                      <w:u w:val="none"/>
                      <w:lang w:val="en-US" w:eastAsia="zh-CN" w:bidi="ar"/>
                    </w:rPr>
                    <w:t>t/a</w:t>
                  </w:r>
                  <w:r>
                    <w:rPr>
                      <w:rFonts w:hint="eastAsia" w:ascii="宋体" w:hAnsi="宋体" w:eastAsia="宋体" w:cs="宋体"/>
                      <w:b/>
                      <w:bCs/>
                      <w:i w:val="0"/>
                      <w:iCs w:val="0"/>
                      <w:color w:val="000000"/>
                      <w:kern w:val="0"/>
                      <w:sz w:val="21"/>
                      <w:szCs w:val="21"/>
                      <w:u w:val="none"/>
                      <w:lang w:val="en-US" w:eastAsia="zh-CN" w:bidi="ar"/>
                    </w:rPr>
                    <w: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3086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627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1.428 </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FE9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19.177 </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90C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2.505 </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90A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0.178 </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BFE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0.036 </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EB3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0.034 </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979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0.000 </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0FAF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0.065 </w:t>
                  </w:r>
                </w:p>
              </w:tc>
            </w:tr>
            <w:tr w14:paraId="0B319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625E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污染物产生浓度（</w:t>
                  </w:r>
                  <w:r>
                    <w:rPr>
                      <w:rFonts w:hint="default" w:ascii="Times New Roman" w:hAnsi="Times New Roman" w:eastAsia="宋体" w:cs="Times New Roman"/>
                      <w:b/>
                      <w:bCs/>
                      <w:i w:val="0"/>
                      <w:iCs w:val="0"/>
                      <w:color w:val="000000"/>
                      <w:kern w:val="0"/>
                      <w:sz w:val="21"/>
                      <w:szCs w:val="21"/>
                      <w:u w:val="none"/>
                      <w:lang w:val="en-US" w:eastAsia="zh-CN" w:bidi="ar"/>
                    </w:rPr>
                    <w:t>mg/L</w:t>
                  </w:r>
                  <w:r>
                    <w:rPr>
                      <w:rFonts w:hint="eastAsia" w:ascii="宋体" w:hAnsi="宋体" w:eastAsia="宋体" w:cs="宋体"/>
                      <w:b/>
                      <w:bCs/>
                      <w:i w:val="0"/>
                      <w:iCs w:val="0"/>
                      <w:color w:val="000000"/>
                      <w:kern w:val="0"/>
                      <w:sz w:val="21"/>
                      <w:szCs w:val="21"/>
                      <w:u w:val="none"/>
                      <w:lang w:val="en-US" w:eastAsia="zh-CN" w:bidi="ar"/>
                    </w:rPr>
                    <w: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298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E26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09E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1531</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27A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7D3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C18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C6C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2.74</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A38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0.0094</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CF5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5.15</w:t>
                  </w:r>
                </w:p>
              </w:tc>
            </w:tr>
            <w:tr w14:paraId="5F47E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3580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排放形式</w:t>
                  </w:r>
                </w:p>
              </w:tc>
              <w:tc>
                <w:tcPr>
                  <w:tcW w:w="70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AC71D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间接排放</w:t>
                  </w:r>
                </w:p>
              </w:tc>
            </w:tr>
            <w:tr w14:paraId="4C8E2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FF2F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治理设施</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77B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处理能力</w:t>
                  </w:r>
                </w:p>
              </w:tc>
              <w:tc>
                <w:tcPr>
                  <w:tcW w:w="70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A8272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1F2C7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D7D2F">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464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收集效率（</w:t>
                  </w:r>
                  <w:r>
                    <w:rPr>
                      <w:rFonts w:hint="default" w:ascii="Times New Roman" w:hAnsi="Times New Roman" w:eastAsia="宋体" w:cs="Times New Roman"/>
                      <w:b/>
                      <w:bCs/>
                      <w:i w:val="0"/>
                      <w:iCs w:val="0"/>
                      <w:color w:val="000000"/>
                      <w:kern w:val="0"/>
                      <w:sz w:val="21"/>
                      <w:szCs w:val="21"/>
                      <w:u w:val="none"/>
                      <w:lang w:val="en-US" w:eastAsia="zh-CN" w:bidi="ar"/>
                    </w:rPr>
                    <w:t>%</w:t>
                  </w:r>
                  <w:r>
                    <w:rPr>
                      <w:rFonts w:hint="eastAsia" w:ascii="宋体" w:hAnsi="宋体" w:eastAsia="宋体" w:cs="宋体"/>
                      <w:b/>
                      <w:bCs/>
                      <w:i w:val="0"/>
                      <w:iCs w:val="0"/>
                      <w:color w:val="000000"/>
                      <w:kern w:val="0"/>
                      <w:sz w:val="21"/>
                      <w:szCs w:val="21"/>
                      <w:u w:val="none"/>
                      <w:lang w:val="en-US" w:eastAsia="zh-CN" w:bidi="ar"/>
                    </w:rPr>
                    <w:t>）</w:t>
                  </w:r>
                </w:p>
              </w:tc>
              <w:tc>
                <w:tcPr>
                  <w:tcW w:w="70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71F0F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r>
            <w:tr w14:paraId="68F2D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6096B">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549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治理工艺</w:t>
                  </w:r>
                </w:p>
              </w:tc>
              <w:tc>
                <w:tcPr>
                  <w:tcW w:w="620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94467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混凝沉淀</w:t>
                  </w:r>
                  <w:r>
                    <w:rPr>
                      <w:rFonts w:hint="default" w:ascii="Times New Roman" w:hAnsi="Times New Roman" w:eastAsia="宋体" w:cs="Times New Roman"/>
                      <w:i w:val="0"/>
                      <w:iCs w:val="0"/>
                      <w:color w:val="000000"/>
                      <w:kern w:val="0"/>
                      <w:sz w:val="21"/>
                      <w:szCs w:val="21"/>
                      <w:u w:val="none"/>
                      <w:lang w:val="en-US" w:eastAsia="zh-CN" w:bidi="ar"/>
                    </w:rPr>
                    <w:t xml:space="preserve">+UASB </w:t>
                  </w:r>
                  <w:r>
                    <w:rPr>
                      <w:rFonts w:hint="eastAsia" w:ascii="宋体" w:hAnsi="宋体" w:eastAsia="宋体" w:cs="宋体"/>
                      <w:i w:val="0"/>
                      <w:iCs w:val="0"/>
                      <w:color w:val="000000"/>
                      <w:kern w:val="0"/>
                      <w:sz w:val="21"/>
                      <w:szCs w:val="21"/>
                      <w:u w:val="none"/>
                      <w:lang w:val="en-US" w:eastAsia="zh-CN" w:bidi="ar"/>
                    </w:rPr>
                    <w:t>反应</w:t>
                  </w:r>
                  <w:r>
                    <w:rPr>
                      <w:rFonts w:hint="default" w:ascii="Times New Roman" w:hAnsi="Times New Roman" w:eastAsia="宋体" w:cs="Times New Roman"/>
                      <w:i w:val="0"/>
                      <w:iCs w:val="0"/>
                      <w:color w:val="000000"/>
                      <w:kern w:val="0"/>
                      <w:sz w:val="21"/>
                      <w:szCs w:val="21"/>
                      <w:u w:val="none"/>
                      <w:lang w:val="en-US" w:eastAsia="zh-CN" w:bidi="ar"/>
                    </w:rPr>
                    <w:t>+MBR</w:t>
                  </w:r>
                  <w:r>
                    <w:rPr>
                      <w:rFonts w:hint="eastAsia" w:ascii="宋体" w:hAnsi="宋体" w:eastAsia="宋体" w:cs="宋体"/>
                      <w:i w:val="0"/>
                      <w:iCs w:val="0"/>
                      <w:color w:val="000000"/>
                      <w:kern w:val="0"/>
                      <w:sz w:val="21"/>
                      <w:szCs w:val="21"/>
                      <w:u w:val="none"/>
                      <w:lang w:val="en-US" w:eastAsia="zh-CN" w:bidi="ar"/>
                    </w:rPr>
                    <w:t>膜池</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157FB">
                  <w:pPr>
                    <w:keepNext w:val="0"/>
                    <w:keepLines w:val="0"/>
                    <w:suppressLineNumbers w:val="0"/>
                    <w:spacing w:before="0" w:beforeAutospacing="0" w:after="0" w:afterAutospacing="0"/>
                    <w:ind w:left="0" w:right="0"/>
                    <w:rPr>
                      <w:rFonts w:hint="eastAsia" w:ascii="宋体" w:hAnsi="宋体" w:eastAsia="宋体" w:cs="宋体"/>
                      <w:i w:val="0"/>
                      <w:iCs w:val="0"/>
                      <w:color w:val="000000"/>
                      <w:sz w:val="24"/>
                      <w:szCs w:val="24"/>
                      <w:u w:val="none"/>
                    </w:rPr>
                  </w:pPr>
                </w:p>
              </w:tc>
            </w:tr>
            <w:tr w14:paraId="41064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A9C11">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FE8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治理效率</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EEB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5A2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89.91 </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66C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93.89 </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EB2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90.85 </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184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99.99 </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173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99.99 </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D5A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93.43 </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C92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99.99 </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A20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44.08 </w:t>
                  </w:r>
                </w:p>
              </w:tc>
            </w:tr>
            <w:tr w14:paraId="4F633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86C11">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1"/>
                      <w:szCs w:val="21"/>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A1B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是否为可行技术</w:t>
                  </w:r>
                </w:p>
              </w:tc>
              <w:tc>
                <w:tcPr>
                  <w:tcW w:w="70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18F756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1"/>
                      <w:szCs w:val="21"/>
                      <w:u w:val="none"/>
                      <w:lang w:val="en-US" w:eastAsia="zh-CN" w:bidi="ar"/>
                    </w:rPr>
                    <w:t>是</w:t>
                  </w:r>
                </w:p>
              </w:tc>
            </w:tr>
            <w:tr w14:paraId="021B0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A0D8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污染物排放量（</w:t>
                  </w:r>
                  <w:r>
                    <w:rPr>
                      <w:rFonts w:hint="default" w:ascii="Times New Roman" w:hAnsi="Times New Roman" w:eastAsia="宋体" w:cs="Times New Roman"/>
                      <w:b/>
                      <w:bCs/>
                      <w:i w:val="0"/>
                      <w:iCs w:val="0"/>
                      <w:color w:val="000000"/>
                      <w:kern w:val="0"/>
                      <w:sz w:val="21"/>
                      <w:szCs w:val="21"/>
                      <w:u w:val="none"/>
                      <w:lang w:val="en-US" w:eastAsia="zh-CN" w:bidi="ar"/>
                    </w:rPr>
                    <w:t>t/a</w:t>
                  </w:r>
                  <w:r>
                    <w:rPr>
                      <w:rFonts w:hint="eastAsia" w:ascii="宋体" w:hAnsi="宋体" w:eastAsia="宋体" w:cs="宋体"/>
                      <w:b/>
                      <w:bCs/>
                      <w:i w:val="0"/>
                      <w:iCs w:val="0"/>
                      <w:color w:val="000000"/>
                      <w:kern w:val="0"/>
                      <w:sz w:val="21"/>
                      <w:szCs w:val="21"/>
                      <w:u w:val="none"/>
                      <w:lang w:val="en-US" w:eastAsia="zh-CN" w:bidi="ar"/>
                    </w:rPr>
                    <w: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88A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BE3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0.144 </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9FA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1.171 </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4FF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0.229 </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08A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B55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24B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0.002 </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0AE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0.000 </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FE8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0.036 </w:t>
                  </w:r>
                </w:p>
              </w:tc>
            </w:tr>
            <w:tr w14:paraId="7C098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2B57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污染物排放浓度（</w:t>
                  </w:r>
                  <w:r>
                    <w:rPr>
                      <w:rFonts w:hint="default" w:ascii="Times New Roman" w:hAnsi="Times New Roman" w:eastAsia="宋体" w:cs="Times New Roman"/>
                      <w:b/>
                      <w:bCs/>
                      <w:i w:val="0"/>
                      <w:iCs w:val="0"/>
                      <w:color w:val="000000"/>
                      <w:kern w:val="0"/>
                      <w:sz w:val="21"/>
                      <w:szCs w:val="21"/>
                      <w:u w:val="none"/>
                      <w:lang w:val="en-US" w:eastAsia="zh-CN" w:bidi="ar"/>
                    </w:rPr>
                    <w:t>mg/L</w:t>
                  </w:r>
                  <w:r>
                    <w:rPr>
                      <w:rFonts w:hint="eastAsia" w:ascii="宋体" w:hAnsi="宋体" w:eastAsia="宋体" w:cs="宋体"/>
                      <w:b/>
                      <w:bCs/>
                      <w:i w:val="0"/>
                      <w:iCs w:val="0"/>
                      <w:color w:val="000000"/>
                      <w:kern w:val="0"/>
                      <w:sz w:val="21"/>
                      <w:szCs w:val="21"/>
                      <w:u w:val="none"/>
                      <w:lang w:val="en-US" w:eastAsia="zh-CN" w:bidi="ar"/>
                    </w:rPr>
                    <w: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9B4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7B1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3EE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93.5</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64A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AAA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905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3EA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0.18</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040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0.0007</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E642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2.88</w:t>
                  </w:r>
                </w:p>
              </w:tc>
            </w:tr>
            <w:tr w14:paraId="20F8C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E4D3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排放去向</w:t>
                  </w:r>
                </w:p>
              </w:tc>
              <w:tc>
                <w:tcPr>
                  <w:tcW w:w="70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C7449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生活污水经隔油池、化粪池预处理后同生产废水一并进入自建污水处理系统，处理达《污水排入城镇下水道水质标准》（</w:t>
                  </w:r>
                  <w:r>
                    <w:rPr>
                      <w:rFonts w:hint="default" w:ascii="Times New Roman" w:hAnsi="Times New Roman" w:eastAsia="宋体" w:cs="Times New Roman"/>
                      <w:i w:val="0"/>
                      <w:iCs w:val="0"/>
                      <w:color w:val="000000"/>
                      <w:kern w:val="0"/>
                      <w:sz w:val="21"/>
                      <w:szCs w:val="21"/>
                      <w:u w:val="none"/>
                      <w:lang w:val="en-US" w:eastAsia="zh-CN" w:bidi="ar"/>
                    </w:rPr>
                    <w:t>GB/T131962-2015</w:t>
                  </w:r>
                  <w:r>
                    <w:rPr>
                      <w:rFonts w:hint="eastAsia" w:ascii="宋体" w:hAnsi="宋体" w:eastAsia="宋体" w:cs="宋体"/>
                      <w:i w:val="0"/>
                      <w:iCs w:val="0"/>
                      <w:color w:val="000000"/>
                      <w:kern w:val="0"/>
                      <w:sz w:val="21"/>
                      <w:szCs w:val="21"/>
                      <w:u w:val="none"/>
                      <w:lang w:val="en-US" w:eastAsia="zh-CN" w:bidi="ar"/>
                    </w:rPr>
                    <w:t>）表</w:t>
                  </w: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中</w:t>
                  </w:r>
                  <w:r>
                    <w:rPr>
                      <w:rFonts w:hint="default" w:ascii="Times New Roman" w:hAnsi="Times New Roman" w:eastAsia="宋体" w:cs="Times New Roman"/>
                      <w:i w:val="0"/>
                      <w:iCs w:val="0"/>
                      <w:color w:val="000000"/>
                      <w:kern w:val="0"/>
                      <w:sz w:val="21"/>
                      <w:szCs w:val="21"/>
                      <w:u w:val="none"/>
                      <w:lang w:val="en-US" w:eastAsia="zh-CN" w:bidi="ar"/>
                    </w:rPr>
                    <w:t>A</w:t>
                  </w:r>
                  <w:r>
                    <w:rPr>
                      <w:rFonts w:hint="eastAsia" w:ascii="宋体" w:hAnsi="宋体" w:eastAsia="宋体" w:cs="宋体"/>
                      <w:i w:val="0"/>
                      <w:iCs w:val="0"/>
                      <w:color w:val="000000"/>
                      <w:kern w:val="0"/>
                      <w:sz w:val="21"/>
                      <w:szCs w:val="21"/>
                      <w:u w:val="none"/>
                      <w:lang w:val="en-US" w:eastAsia="zh-CN" w:bidi="ar"/>
                    </w:rPr>
                    <w:t>级标准后进入园区污水管网，最终进入富民工业园区哨箐机械加工园污水处理厂。</w:t>
                  </w:r>
                </w:p>
              </w:tc>
            </w:tr>
            <w:tr w14:paraId="4F010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2A19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排放规律</w:t>
                  </w:r>
                </w:p>
              </w:tc>
              <w:tc>
                <w:tcPr>
                  <w:tcW w:w="70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036C3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间歇排放</w:t>
                  </w:r>
                </w:p>
              </w:tc>
            </w:tr>
            <w:tr w14:paraId="29252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CB33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编号及名称</w:t>
                  </w:r>
                </w:p>
              </w:tc>
              <w:tc>
                <w:tcPr>
                  <w:tcW w:w="70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320D6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DW001</w:t>
                  </w:r>
                </w:p>
              </w:tc>
            </w:tr>
            <w:tr w14:paraId="542AD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8ECD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类型</w:t>
                  </w:r>
                </w:p>
              </w:tc>
              <w:tc>
                <w:tcPr>
                  <w:tcW w:w="70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58229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一般排放口</w:t>
                  </w:r>
                </w:p>
              </w:tc>
            </w:tr>
            <w:tr w14:paraId="39026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4AB2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地理坐标</w:t>
                  </w:r>
                </w:p>
              </w:tc>
              <w:tc>
                <w:tcPr>
                  <w:tcW w:w="70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5B29C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102°27′44.88″</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25°16′12.62″</w:t>
                  </w:r>
                </w:p>
              </w:tc>
            </w:tr>
            <w:tr w14:paraId="58BF5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DF1A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监测点位</w:t>
                  </w:r>
                </w:p>
              </w:tc>
              <w:tc>
                <w:tcPr>
                  <w:tcW w:w="70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9D5C3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污水处理系统出口</w:t>
                  </w:r>
                </w:p>
              </w:tc>
            </w:tr>
            <w:tr w14:paraId="1851E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1EE5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监测因子</w:t>
                  </w:r>
                </w:p>
              </w:tc>
              <w:tc>
                <w:tcPr>
                  <w:tcW w:w="70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772AA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PH</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COD</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BOD</w:t>
                  </w:r>
                  <w:r>
                    <w:rPr>
                      <w:rFonts w:hint="default" w:ascii="Times New Roman" w:hAnsi="Times New Roman" w:eastAsia="宋体" w:cs="Times New Roman"/>
                      <w:i w:val="0"/>
                      <w:iCs w:val="0"/>
                      <w:color w:val="000000"/>
                      <w:kern w:val="0"/>
                      <w:sz w:val="21"/>
                      <w:szCs w:val="21"/>
                      <w:u w:val="none"/>
                      <w:vertAlign w:val="subscript"/>
                      <w:lang w:val="en-US" w:eastAsia="zh-CN" w:bidi="ar"/>
                    </w:rPr>
                    <w:t>5</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SS</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NH</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-N</w:t>
                  </w:r>
                  <w:r>
                    <w:rPr>
                      <w:rFonts w:hint="eastAsia" w:ascii="宋体" w:hAnsi="宋体" w:eastAsia="宋体" w:cs="宋体"/>
                      <w:i w:val="0"/>
                      <w:iCs w:val="0"/>
                      <w:color w:val="000000"/>
                      <w:kern w:val="0"/>
                      <w:sz w:val="21"/>
                      <w:szCs w:val="21"/>
                      <w:u w:val="none"/>
                      <w:lang w:val="en-US" w:eastAsia="zh-CN" w:bidi="ar"/>
                    </w:rPr>
                    <w:t>、总磷、总氮、动植物油、总磷、总氮</w:t>
                  </w:r>
                </w:p>
              </w:tc>
            </w:tr>
            <w:tr w14:paraId="47A8E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2D7A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监测频次</w:t>
                  </w:r>
                </w:p>
              </w:tc>
              <w:tc>
                <w:tcPr>
                  <w:tcW w:w="70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F2CE8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根据《排污单位自行监测技术指南</w:t>
                  </w:r>
                  <w:r>
                    <w:rPr>
                      <w:rFonts w:hint="default" w:ascii="Times New Roman" w:hAnsi="Times New Roman" w:eastAsia="宋体" w:cs="Times New Roman"/>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涂料油墨制造》（</w:t>
                  </w:r>
                  <w:r>
                    <w:rPr>
                      <w:rFonts w:hint="default" w:ascii="Times New Roman" w:hAnsi="Times New Roman" w:eastAsia="宋体" w:cs="Times New Roman"/>
                      <w:i w:val="0"/>
                      <w:iCs w:val="0"/>
                      <w:color w:val="000000"/>
                      <w:kern w:val="0"/>
                      <w:sz w:val="21"/>
                      <w:szCs w:val="21"/>
                      <w:u w:val="none"/>
                      <w:lang w:val="en-US" w:eastAsia="zh-CN" w:bidi="ar"/>
                    </w:rPr>
                    <w:t>HJ1087-2020</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次</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半年</w:t>
                  </w:r>
                </w:p>
              </w:tc>
            </w:tr>
            <w:tr w14:paraId="54F31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3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1E8B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执行标准</w:t>
                  </w:r>
                </w:p>
              </w:tc>
              <w:tc>
                <w:tcPr>
                  <w:tcW w:w="708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7EA84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《污水排入城镇下水道水质标准》（</w:t>
                  </w:r>
                  <w:r>
                    <w:rPr>
                      <w:rFonts w:hint="default" w:ascii="Times New Roman" w:hAnsi="Times New Roman" w:eastAsia="宋体" w:cs="Times New Roman"/>
                      <w:i w:val="0"/>
                      <w:iCs w:val="0"/>
                      <w:color w:val="000000"/>
                      <w:kern w:val="0"/>
                      <w:sz w:val="21"/>
                      <w:szCs w:val="21"/>
                      <w:u w:val="none"/>
                      <w:lang w:val="en-US" w:eastAsia="zh-CN" w:bidi="ar"/>
                    </w:rPr>
                    <w:t>GB/T131962-2015</w:t>
                  </w:r>
                  <w:r>
                    <w:rPr>
                      <w:rFonts w:hint="eastAsia" w:ascii="宋体" w:hAnsi="宋体" w:eastAsia="宋体" w:cs="宋体"/>
                      <w:i w:val="0"/>
                      <w:iCs w:val="0"/>
                      <w:color w:val="000000"/>
                      <w:kern w:val="0"/>
                      <w:sz w:val="21"/>
                      <w:szCs w:val="21"/>
                      <w:u w:val="none"/>
                      <w:lang w:val="en-US" w:eastAsia="zh-CN" w:bidi="ar"/>
                    </w:rPr>
                    <w:t>）表</w:t>
                  </w: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中</w:t>
                  </w:r>
                  <w:r>
                    <w:rPr>
                      <w:rFonts w:hint="default" w:ascii="Times New Roman" w:hAnsi="Times New Roman" w:eastAsia="宋体" w:cs="Times New Roman"/>
                      <w:i w:val="0"/>
                      <w:iCs w:val="0"/>
                      <w:color w:val="000000"/>
                      <w:kern w:val="0"/>
                      <w:sz w:val="21"/>
                      <w:szCs w:val="21"/>
                      <w:u w:val="none"/>
                      <w:lang w:val="en-US" w:eastAsia="zh-CN" w:bidi="ar"/>
                    </w:rPr>
                    <w:t>A</w:t>
                  </w:r>
                  <w:r>
                    <w:rPr>
                      <w:rFonts w:hint="eastAsia" w:ascii="宋体" w:hAnsi="宋体" w:eastAsia="宋体" w:cs="宋体"/>
                      <w:i w:val="0"/>
                      <w:iCs w:val="0"/>
                      <w:color w:val="000000"/>
                      <w:kern w:val="0"/>
                      <w:sz w:val="21"/>
                      <w:szCs w:val="21"/>
                      <w:u w:val="none"/>
                      <w:lang w:val="en-US" w:eastAsia="zh-CN" w:bidi="ar"/>
                    </w:rPr>
                    <w:t>级标准</w:t>
                  </w:r>
                </w:p>
              </w:tc>
            </w:tr>
          </w:tbl>
          <w:p w14:paraId="58E3E2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本项目实行雨污分流，厂区内初期雨水经初期雨水收集池收集、沉淀后进入园区污水管网，设置阀门，15分钟之后的</w:t>
            </w:r>
            <w:r>
              <w:rPr>
                <w:rFonts w:hint="default" w:ascii="Times New Roman" w:hAnsi="Times New Roman" w:eastAsia="宋体" w:cs="Times New Roman"/>
                <w:color w:val="auto"/>
                <w:sz w:val="24"/>
                <w:szCs w:val="24"/>
              </w:rPr>
              <w:t>雨水排入园区雨水管网。</w:t>
            </w:r>
          </w:p>
          <w:p w14:paraId="4905FD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本项目废水主要包括生活废水和生产废水。</w:t>
            </w:r>
          </w:p>
          <w:p w14:paraId="3ED9731A">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（3）废水产排情况</w:t>
            </w:r>
          </w:p>
          <w:p w14:paraId="3DFF20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根据水平衡分析，项目运营期工作人员办公生活废水和食堂废水产生量为14.4m³/d，</w:t>
            </w:r>
            <w:r>
              <w:rPr>
                <w:rFonts w:hint="eastAsia" w:cs="Times New Roman"/>
                <w:color w:val="auto"/>
                <w:sz w:val="24"/>
                <w:szCs w:val="24"/>
                <w:lang w:val="en-US" w:eastAsia="zh-CN"/>
              </w:rPr>
              <w:t>4320</w:t>
            </w:r>
            <w:r>
              <w:rPr>
                <w:rFonts w:hint="default" w:ascii="Times New Roman" w:hAnsi="Times New Roman" w:eastAsia="宋体" w:cs="Times New Roman"/>
                <w:color w:val="auto"/>
                <w:sz w:val="24"/>
                <w:szCs w:val="24"/>
                <w:lang w:val="en-US" w:eastAsia="zh-CN"/>
              </w:rPr>
              <w:t>m³/a，生产废水产生量为13.76m³/d，</w:t>
            </w:r>
            <w:r>
              <w:rPr>
                <w:rFonts w:hint="eastAsia" w:cs="Times New Roman"/>
                <w:color w:val="auto"/>
                <w:sz w:val="24"/>
                <w:szCs w:val="24"/>
                <w:lang w:val="en-US" w:eastAsia="zh-CN"/>
              </w:rPr>
              <w:t>8206</w:t>
            </w:r>
            <w:r>
              <w:rPr>
                <w:rFonts w:hint="default" w:ascii="Times New Roman" w:hAnsi="Times New Roman" w:eastAsia="宋体" w:cs="Times New Roman"/>
                <w:color w:val="auto"/>
                <w:sz w:val="24"/>
                <w:szCs w:val="24"/>
                <w:lang w:val="en-US" w:eastAsia="zh-CN"/>
              </w:rPr>
              <w:t>m³/a。本项目生活污水经隔油池化粪池预处理后，与各清洗废水一同进入自建的污水处理系统进行处理，处理达《污水排入城镇下水道水质标准》（GB/T131962-2015）表1中A级标准后进入园区污水管网。厂区内已设置1个处理规模为50m³/d，处理工艺为“混凝沉淀+UASB 反应+MBR 膜池”的污水处理系统。本项目扩建完成后污水产生量为28.16m³/d，在已建成污水处理系统的处理范围内，且扩建项目生产工艺、原辅材料种类均不发生变化，污染因子不发生变化，</w:t>
            </w:r>
            <w:r>
              <w:rPr>
                <w:rFonts w:hint="eastAsia" w:cs="Times New Roman"/>
                <w:color w:val="auto"/>
                <w:sz w:val="24"/>
                <w:szCs w:val="24"/>
                <w:lang w:val="en-US" w:eastAsia="zh-CN"/>
              </w:rPr>
              <w:t>因此污水处理系统进出口污染物浓度引用原项目竣工环境保护验收的监测数据，具体的监测</w:t>
            </w:r>
            <w:r>
              <w:rPr>
                <w:rFonts w:hint="default" w:ascii="Times New Roman" w:hAnsi="Times New Roman" w:eastAsia="宋体" w:cs="Times New Roman"/>
                <w:color w:val="auto"/>
                <w:sz w:val="24"/>
                <w:lang w:eastAsia="zh-CN"/>
              </w:rPr>
              <w:t>数据</w:t>
            </w:r>
            <w:r>
              <w:rPr>
                <w:rFonts w:hint="eastAsia" w:cs="Times New Roman"/>
                <w:color w:val="auto"/>
                <w:sz w:val="24"/>
                <w:lang w:eastAsia="zh-CN"/>
              </w:rPr>
              <w:t>见下面</w:t>
            </w:r>
            <w:r>
              <w:rPr>
                <w:rFonts w:hint="default" w:ascii="Times New Roman" w:hAnsi="Times New Roman" w:eastAsia="宋体" w:cs="Times New Roman"/>
                <w:color w:val="auto"/>
                <w:sz w:val="24"/>
                <w:lang w:eastAsia="zh-CN"/>
              </w:rPr>
              <w:t>。</w:t>
            </w:r>
          </w:p>
          <w:p w14:paraId="2B98F4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 xml:space="preserve">表4-12 </w:t>
            </w:r>
            <w:r>
              <w:rPr>
                <w:rFonts w:hint="default" w:ascii="Times New Roman" w:hAnsi="Times New Roman" w:eastAsia="宋体" w:cs="Times New Roman"/>
                <w:b/>
                <w:bCs/>
                <w:color w:val="auto"/>
                <w:sz w:val="21"/>
                <w:szCs w:val="21"/>
                <w:lang w:val="en-US" w:eastAsia="zh-CN"/>
              </w:rPr>
              <w:t>项目污水处理系统</w:t>
            </w:r>
            <w:r>
              <w:rPr>
                <w:rFonts w:hint="eastAsia" w:cs="Times New Roman"/>
                <w:b/>
                <w:bCs/>
                <w:color w:val="auto"/>
                <w:sz w:val="21"/>
                <w:szCs w:val="21"/>
                <w:lang w:val="en-US" w:eastAsia="zh-CN"/>
              </w:rPr>
              <w:t>进</w:t>
            </w:r>
            <w:r>
              <w:rPr>
                <w:rFonts w:hint="default" w:ascii="Times New Roman" w:hAnsi="Times New Roman" w:eastAsia="宋体" w:cs="Times New Roman"/>
                <w:b/>
                <w:bCs/>
                <w:color w:val="auto"/>
                <w:sz w:val="21"/>
                <w:szCs w:val="21"/>
                <w:lang w:val="en-US" w:eastAsia="zh-CN"/>
              </w:rPr>
              <w:t>出水水质</w:t>
            </w:r>
            <w:r>
              <w:rPr>
                <w:rFonts w:hint="eastAsia" w:cs="Times New Roman"/>
                <w:b/>
                <w:bCs/>
                <w:color w:val="auto"/>
                <w:sz w:val="21"/>
                <w:szCs w:val="21"/>
                <w:lang w:val="en-US" w:eastAsia="zh-CN"/>
              </w:rPr>
              <w:t>状况</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8"/>
              <w:gridCol w:w="604"/>
              <w:gridCol w:w="612"/>
              <w:gridCol w:w="868"/>
              <w:gridCol w:w="698"/>
              <w:gridCol w:w="819"/>
              <w:gridCol w:w="777"/>
              <w:gridCol w:w="797"/>
              <w:gridCol w:w="807"/>
              <w:gridCol w:w="585"/>
              <w:gridCol w:w="576"/>
            </w:tblGrid>
            <w:tr w14:paraId="7079C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6C207DB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监测点</w:t>
                  </w:r>
                </w:p>
              </w:tc>
              <w:tc>
                <w:tcPr>
                  <w:tcW w:w="722" w:type="pct"/>
                  <w:gridSpan w:val="2"/>
                  <w:vAlign w:val="center"/>
                </w:tcPr>
                <w:p w14:paraId="66771E4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污水处理设施进口</w:t>
                  </w:r>
                </w:p>
              </w:tc>
              <w:tc>
                <w:tcPr>
                  <w:tcW w:w="2828" w:type="pct"/>
                  <w:gridSpan w:val="6"/>
                  <w:vAlign w:val="center"/>
                </w:tcPr>
                <w:p w14:paraId="1353465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污水处理设施出口</w:t>
                  </w:r>
                </w:p>
              </w:tc>
              <w:tc>
                <w:tcPr>
                  <w:tcW w:w="347" w:type="pct"/>
                  <w:vMerge w:val="restart"/>
                  <w:vAlign w:val="center"/>
                </w:tcPr>
                <w:p w14:paraId="7EC2A2F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进口平均值</w:t>
                  </w:r>
                </w:p>
              </w:tc>
              <w:tc>
                <w:tcPr>
                  <w:tcW w:w="342" w:type="pct"/>
                  <w:vMerge w:val="restart"/>
                  <w:vAlign w:val="center"/>
                </w:tcPr>
                <w:p w14:paraId="5314F41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出口平均值</w:t>
                  </w:r>
                </w:p>
              </w:tc>
            </w:tr>
            <w:tr w14:paraId="7A501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Merge w:val="restart"/>
                  <w:vAlign w:val="center"/>
                </w:tcPr>
                <w:p w14:paraId="6301BA3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时间</w:t>
                  </w:r>
                </w:p>
                <w:p w14:paraId="504F7F7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指标</w:t>
                  </w:r>
                </w:p>
              </w:tc>
              <w:tc>
                <w:tcPr>
                  <w:tcW w:w="359" w:type="pct"/>
                  <w:vMerge w:val="restart"/>
                  <w:vAlign w:val="center"/>
                </w:tcPr>
                <w:p w14:paraId="226FB48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09:20</w:t>
                  </w:r>
                </w:p>
              </w:tc>
              <w:tc>
                <w:tcPr>
                  <w:tcW w:w="362" w:type="pct"/>
                  <w:vMerge w:val="restart"/>
                  <w:vAlign w:val="center"/>
                </w:tcPr>
                <w:p w14:paraId="0D77B9C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09:05</w:t>
                  </w:r>
                </w:p>
              </w:tc>
              <w:tc>
                <w:tcPr>
                  <w:tcW w:w="1415" w:type="pct"/>
                  <w:gridSpan w:val="3"/>
                  <w:vAlign w:val="center"/>
                </w:tcPr>
                <w:p w14:paraId="4A2DFDA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2019.05.08</w:t>
                  </w:r>
                </w:p>
              </w:tc>
              <w:tc>
                <w:tcPr>
                  <w:tcW w:w="1412" w:type="pct"/>
                  <w:gridSpan w:val="3"/>
                  <w:vAlign w:val="center"/>
                </w:tcPr>
                <w:p w14:paraId="4EFB8E0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2019.05.09</w:t>
                  </w:r>
                </w:p>
              </w:tc>
              <w:tc>
                <w:tcPr>
                  <w:tcW w:w="347" w:type="pct"/>
                  <w:vMerge w:val="continue"/>
                  <w:tcBorders>
                    <w:top w:val="nil"/>
                  </w:tcBorders>
                  <w:vAlign w:val="center"/>
                </w:tcPr>
                <w:p w14:paraId="0B9902E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
                      <w:szCs w:val="2"/>
                    </w:rPr>
                  </w:pPr>
                </w:p>
              </w:tc>
              <w:tc>
                <w:tcPr>
                  <w:tcW w:w="342" w:type="pct"/>
                  <w:vMerge w:val="continue"/>
                  <w:tcBorders>
                    <w:top w:val="nil"/>
                  </w:tcBorders>
                  <w:vAlign w:val="center"/>
                </w:tcPr>
                <w:p w14:paraId="43C2946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
                      <w:szCs w:val="2"/>
                    </w:rPr>
                  </w:pPr>
                </w:p>
              </w:tc>
            </w:tr>
            <w:tr w14:paraId="58862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Merge w:val="continue"/>
                  <w:tcBorders>
                    <w:top w:val="nil"/>
                  </w:tcBorders>
                  <w:vAlign w:val="center"/>
                </w:tcPr>
                <w:p w14:paraId="1B2F4EE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
                      <w:szCs w:val="2"/>
                    </w:rPr>
                  </w:pPr>
                </w:p>
              </w:tc>
              <w:tc>
                <w:tcPr>
                  <w:tcW w:w="359" w:type="pct"/>
                  <w:vMerge w:val="continue"/>
                  <w:tcBorders>
                    <w:top w:val="nil"/>
                  </w:tcBorders>
                  <w:vAlign w:val="center"/>
                </w:tcPr>
                <w:p w14:paraId="3EA95F2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
                      <w:szCs w:val="2"/>
                    </w:rPr>
                  </w:pPr>
                </w:p>
              </w:tc>
              <w:tc>
                <w:tcPr>
                  <w:tcW w:w="362" w:type="pct"/>
                  <w:vMerge w:val="continue"/>
                  <w:tcBorders>
                    <w:top w:val="nil"/>
                  </w:tcBorders>
                  <w:vAlign w:val="center"/>
                </w:tcPr>
                <w:p w14:paraId="226F8F1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
                      <w:szCs w:val="2"/>
                    </w:rPr>
                  </w:pPr>
                </w:p>
              </w:tc>
              <w:tc>
                <w:tcPr>
                  <w:tcW w:w="515" w:type="pct"/>
                  <w:vAlign w:val="center"/>
                </w:tcPr>
                <w:p w14:paraId="33B827B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09:10</w:t>
                  </w:r>
                </w:p>
              </w:tc>
              <w:tc>
                <w:tcPr>
                  <w:tcW w:w="414" w:type="pct"/>
                  <w:vAlign w:val="center"/>
                </w:tcPr>
                <w:p w14:paraId="6F5D717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w w:val="95"/>
                      <w:sz w:val="21"/>
                    </w:rPr>
                    <w:t>10:10</w:t>
                  </w:r>
                </w:p>
              </w:tc>
              <w:tc>
                <w:tcPr>
                  <w:tcW w:w="486" w:type="pct"/>
                  <w:vAlign w:val="center"/>
                </w:tcPr>
                <w:p w14:paraId="1E93DA8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11:10</w:t>
                  </w:r>
                </w:p>
              </w:tc>
              <w:tc>
                <w:tcPr>
                  <w:tcW w:w="461" w:type="pct"/>
                  <w:vAlign w:val="center"/>
                </w:tcPr>
                <w:p w14:paraId="56F5B67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09:12</w:t>
                  </w:r>
                </w:p>
              </w:tc>
              <w:tc>
                <w:tcPr>
                  <w:tcW w:w="473" w:type="pct"/>
                  <w:vAlign w:val="center"/>
                </w:tcPr>
                <w:p w14:paraId="5591466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10:15</w:t>
                  </w:r>
                </w:p>
              </w:tc>
              <w:tc>
                <w:tcPr>
                  <w:tcW w:w="477" w:type="pct"/>
                  <w:vAlign w:val="center"/>
                </w:tcPr>
                <w:p w14:paraId="5350DA4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21"/>
                    </w:rPr>
                  </w:pPr>
                  <w:r>
                    <w:rPr>
                      <w:rFonts w:hint="default"/>
                      <w:b/>
                      <w:sz w:val="21"/>
                    </w:rPr>
                    <w:t>11:10</w:t>
                  </w:r>
                </w:p>
              </w:tc>
              <w:tc>
                <w:tcPr>
                  <w:tcW w:w="347" w:type="pct"/>
                  <w:vMerge w:val="continue"/>
                  <w:tcBorders>
                    <w:top w:val="nil"/>
                  </w:tcBorders>
                  <w:vAlign w:val="center"/>
                </w:tcPr>
                <w:p w14:paraId="4061A9C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
                      <w:szCs w:val="2"/>
                    </w:rPr>
                  </w:pPr>
                </w:p>
              </w:tc>
              <w:tc>
                <w:tcPr>
                  <w:tcW w:w="342" w:type="pct"/>
                  <w:vMerge w:val="continue"/>
                  <w:tcBorders>
                    <w:top w:val="nil"/>
                  </w:tcBorders>
                  <w:vAlign w:val="center"/>
                </w:tcPr>
                <w:p w14:paraId="2220DF5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
                      <w:szCs w:val="2"/>
                    </w:rPr>
                  </w:pPr>
                </w:p>
              </w:tc>
            </w:tr>
            <w:tr w14:paraId="208E6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3E3C49F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pH(无量纲)</w:t>
                  </w:r>
                </w:p>
              </w:tc>
              <w:tc>
                <w:tcPr>
                  <w:tcW w:w="359" w:type="pct"/>
                  <w:vAlign w:val="center"/>
                </w:tcPr>
                <w:p w14:paraId="22B3673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7.48</w:t>
                  </w:r>
                </w:p>
              </w:tc>
              <w:tc>
                <w:tcPr>
                  <w:tcW w:w="362" w:type="pct"/>
                  <w:vAlign w:val="center"/>
                </w:tcPr>
                <w:p w14:paraId="1A70110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7.42</w:t>
                  </w:r>
                </w:p>
              </w:tc>
              <w:tc>
                <w:tcPr>
                  <w:tcW w:w="515" w:type="pct"/>
                  <w:vAlign w:val="center"/>
                </w:tcPr>
                <w:p w14:paraId="1865315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7.84</w:t>
                  </w:r>
                </w:p>
              </w:tc>
              <w:tc>
                <w:tcPr>
                  <w:tcW w:w="414" w:type="pct"/>
                  <w:vAlign w:val="center"/>
                </w:tcPr>
                <w:p w14:paraId="6CF78FF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7.90</w:t>
                  </w:r>
                </w:p>
              </w:tc>
              <w:tc>
                <w:tcPr>
                  <w:tcW w:w="486" w:type="pct"/>
                  <w:vAlign w:val="center"/>
                </w:tcPr>
                <w:p w14:paraId="76DB03A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7.88</w:t>
                  </w:r>
                </w:p>
              </w:tc>
              <w:tc>
                <w:tcPr>
                  <w:tcW w:w="461" w:type="pct"/>
                  <w:vAlign w:val="center"/>
                </w:tcPr>
                <w:p w14:paraId="021A353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7.82</w:t>
                  </w:r>
                </w:p>
              </w:tc>
              <w:tc>
                <w:tcPr>
                  <w:tcW w:w="473" w:type="pct"/>
                  <w:vAlign w:val="center"/>
                </w:tcPr>
                <w:p w14:paraId="43E4DE2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7.86</w:t>
                  </w:r>
                </w:p>
              </w:tc>
              <w:tc>
                <w:tcPr>
                  <w:tcW w:w="477" w:type="pct"/>
                  <w:vAlign w:val="center"/>
                </w:tcPr>
                <w:p w14:paraId="3FE4E79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7.85</w:t>
                  </w:r>
                </w:p>
              </w:tc>
              <w:tc>
                <w:tcPr>
                  <w:tcW w:w="347" w:type="pct"/>
                  <w:vAlign w:val="center"/>
                </w:tcPr>
                <w:p w14:paraId="5FF6A5D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7.45</w:t>
                  </w:r>
                </w:p>
              </w:tc>
              <w:tc>
                <w:tcPr>
                  <w:tcW w:w="342" w:type="pct"/>
                  <w:vAlign w:val="center"/>
                </w:tcPr>
                <w:p w14:paraId="13C146B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7.86</w:t>
                  </w:r>
                </w:p>
              </w:tc>
            </w:tr>
            <w:tr w14:paraId="0B3EE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0E3FC80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悬浮物</w:t>
                  </w:r>
                </w:p>
              </w:tc>
              <w:tc>
                <w:tcPr>
                  <w:tcW w:w="359" w:type="pct"/>
                  <w:vAlign w:val="center"/>
                </w:tcPr>
                <w:p w14:paraId="0100332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104</w:t>
                  </w:r>
                </w:p>
              </w:tc>
              <w:tc>
                <w:tcPr>
                  <w:tcW w:w="362" w:type="pct"/>
                  <w:vAlign w:val="center"/>
                </w:tcPr>
                <w:p w14:paraId="3793CE0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124</w:t>
                  </w:r>
                </w:p>
              </w:tc>
              <w:tc>
                <w:tcPr>
                  <w:tcW w:w="515" w:type="pct"/>
                  <w:vAlign w:val="center"/>
                </w:tcPr>
                <w:p w14:paraId="340E087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10</w:t>
                  </w:r>
                </w:p>
              </w:tc>
              <w:tc>
                <w:tcPr>
                  <w:tcW w:w="414" w:type="pct"/>
                  <w:vAlign w:val="center"/>
                </w:tcPr>
                <w:p w14:paraId="3D53F5D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14</w:t>
                  </w:r>
                </w:p>
              </w:tc>
              <w:tc>
                <w:tcPr>
                  <w:tcW w:w="486" w:type="pct"/>
                  <w:vAlign w:val="center"/>
                </w:tcPr>
                <w:p w14:paraId="03E2952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10</w:t>
                  </w:r>
                </w:p>
              </w:tc>
              <w:tc>
                <w:tcPr>
                  <w:tcW w:w="461" w:type="pct"/>
                  <w:vAlign w:val="center"/>
                </w:tcPr>
                <w:p w14:paraId="208212B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12</w:t>
                  </w:r>
                </w:p>
              </w:tc>
              <w:tc>
                <w:tcPr>
                  <w:tcW w:w="473" w:type="pct"/>
                  <w:vAlign w:val="center"/>
                </w:tcPr>
                <w:p w14:paraId="26B504A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12</w:t>
                  </w:r>
                </w:p>
              </w:tc>
              <w:tc>
                <w:tcPr>
                  <w:tcW w:w="477" w:type="pct"/>
                  <w:vAlign w:val="center"/>
                </w:tcPr>
                <w:p w14:paraId="5059C17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11</w:t>
                  </w:r>
                </w:p>
              </w:tc>
              <w:tc>
                <w:tcPr>
                  <w:tcW w:w="347" w:type="pct"/>
                  <w:vAlign w:val="center"/>
                </w:tcPr>
                <w:p w14:paraId="3499258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114</w:t>
                  </w:r>
                </w:p>
              </w:tc>
              <w:tc>
                <w:tcPr>
                  <w:tcW w:w="342" w:type="pct"/>
                  <w:vAlign w:val="center"/>
                </w:tcPr>
                <w:p w14:paraId="5B14BA2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11.5</w:t>
                  </w:r>
                </w:p>
              </w:tc>
            </w:tr>
            <w:tr w14:paraId="14FDE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7FA4B86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COD</w:t>
                  </w:r>
                </w:p>
              </w:tc>
              <w:tc>
                <w:tcPr>
                  <w:tcW w:w="359" w:type="pct"/>
                  <w:vAlign w:val="center"/>
                </w:tcPr>
                <w:p w14:paraId="1DE6AD3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1473</w:t>
                  </w:r>
                </w:p>
              </w:tc>
              <w:tc>
                <w:tcPr>
                  <w:tcW w:w="362" w:type="pct"/>
                  <w:vAlign w:val="center"/>
                </w:tcPr>
                <w:p w14:paraId="693810E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1589</w:t>
                  </w:r>
                </w:p>
              </w:tc>
              <w:tc>
                <w:tcPr>
                  <w:tcW w:w="515" w:type="pct"/>
                  <w:vAlign w:val="center"/>
                </w:tcPr>
                <w:p w14:paraId="72BCF76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104</w:t>
                  </w:r>
                </w:p>
              </w:tc>
              <w:tc>
                <w:tcPr>
                  <w:tcW w:w="414" w:type="pct"/>
                  <w:vAlign w:val="center"/>
                </w:tcPr>
                <w:p w14:paraId="758B59D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97</w:t>
                  </w:r>
                </w:p>
              </w:tc>
              <w:tc>
                <w:tcPr>
                  <w:tcW w:w="486" w:type="pct"/>
                  <w:vAlign w:val="center"/>
                </w:tcPr>
                <w:p w14:paraId="1B54601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92</w:t>
                  </w:r>
                </w:p>
              </w:tc>
              <w:tc>
                <w:tcPr>
                  <w:tcW w:w="461" w:type="pct"/>
                  <w:vAlign w:val="center"/>
                </w:tcPr>
                <w:p w14:paraId="073DD6E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88</w:t>
                  </w:r>
                </w:p>
              </w:tc>
              <w:tc>
                <w:tcPr>
                  <w:tcW w:w="473" w:type="pct"/>
                  <w:vAlign w:val="center"/>
                </w:tcPr>
                <w:p w14:paraId="5D1DCA1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103</w:t>
                  </w:r>
                </w:p>
              </w:tc>
              <w:tc>
                <w:tcPr>
                  <w:tcW w:w="477" w:type="pct"/>
                  <w:vAlign w:val="center"/>
                </w:tcPr>
                <w:p w14:paraId="58A659A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77</w:t>
                  </w:r>
                </w:p>
              </w:tc>
              <w:tc>
                <w:tcPr>
                  <w:tcW w:w="347" w:type="pct"/>
                  <w:vAlign w:val="center"/>
                </w:tcPr>
                <w:p w14:paraId="57C84AA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1531</w:t>
                  </w:r>
                </w:p>
              </w:tc>
              <w:tc>
                <w:tcPr>
                  <w:tcW w:w="342" w:type="pct"/>
                  <w:vAlign w:val="center"/>
                </w:tcPr>
                <w:p w14:paraId="1FE46BD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93.5</w:t>
                  </w:r>
                </w:p>
              </w:tc>
            </w:tr>
            <w:tr w14:paraId="6096F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59B4383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position w:val="1"/>
                      <w:sz w:val="21"/>
                    </w:rPr>
                    <w:t>BOD</w:t>
                  </w:r>
                  <w:r>
                    <w:rPr>
                      <w:rFonts w:hint="default"/>
                      <w:sz w:val="11"/>
                    </w:rPr>
                    <w:t>5</w:t>
                  </w:r>
                </w:p>
              </w:tc>
              <w:tc>
                <w:tcPr>
                  <w:tcW w:w="359" w:type="pct"/>
                  <w:vAlign w:val="center"/>
                </w:tcPr>
                <w:p w14:paraId="48B6396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198</w:t>
                  </w:r>
                </w:p>
              </w:tc>
              <w:tc>
                <w:tcPr>
                  <w:tcW w:w="362" w:type="pct"/>
                  <w:vAlign w:val="center"/>
                </w:tcPr>
                <w:p w14:paraId="63FB983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202</w:t>
                  </w:r>
                </w:p>
              </w:tc>
              <w:tc>
                <w:tcPr>
                  <w:tcW w:w="515" w:type="pct"/>
                  <w:vAlign w:val="center"/>
                </w:tcPr>
                <w:p w14:paraId="10EA25B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18.0</w:t>
                  </w:r>
                </w:p>
              </w:tc>
              <w:tc>
                <w:tcPr>
                  <w:tcW w:w="414" w:type="pct"/>
                  <w:vAlign w:val="center"/>
                </w:tcPr>
                <w:p w14:paraId="297ECDB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18.4</w:t>
                  </w:r>
                </w:p>
              </w:tc>
              <w:tc>
                <w:tcPr>
                  <w:tcW w:w="486" w:type="pct"/>
                  <w:vAlign w:val="center"/>
                </w:tcPr>
                <w:p w14:paraId="030D208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16.9</w:t>
                  </w:r>
                </w:p>
              </w:tc>
              <w:tc>
                <w:tcPr>
                  <w:tcW w:w="461" w:type="pct"/>
                  <w:vAlign w:val="center"/>
                </w:tcPr>
                <w:p w14:paraId="5CC6361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18.7</w:t>
                  </w:r>
                </w:p>
              </w:tc>
              <w:tc>
                <w:tcPr>
                  <w:tcW w:w="473" w:type="pct"/>
                  <w:vAlign w:val="center"/>
                </w:tcPr>
                <w:p w14:paraId="6F1B100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19.2</w:t>
                  </w:r>
                </w:p>
              </w:tc>
              <w:tc>
                <w:tcPr>
                  <w:tcW w:w="477" w:type="pct"/>
                  <w:vAlign w:val="center"/>
                </w:tcPr>
                <w:p w14:paraId="0042E9A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18.3</w:t>
                  </w:r>
                </w:p>
              </w:tc>
              <w:tc>
                <w:tcPr>
                  <w:tcW w:w="347" w:type="pct"/>
                  <w:vAlign w:val="center"/>
                </w:tcPr>
                <w:p w14:paraId="096D2AC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200</w:t>
                  </w:r>
                </w:p>
              </w:tc>
              <w:tc>
                <w:tcPr>
                  <w:tcW w:w="342" w:type="pct"/>
                  <w:vAlign w:val="center"/>
                </w:tcPr>
                <w:p w14:paraId="4C791A2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18.3</w:t>
                  </w:r>
                </w:p>
              </w:tc>
            </w:tr>
            <w:tr w14:paraId="32DE1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2B141D8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动植物油</w:t>
                  </w:r>
                </w:p>
              </w:tc>
              <w:tc>
                <w:tcPr>
                  <w:tcW w:w="359" w:type="pct"/>
                  <w:vAlign w:val="center"/>
                </w:tcPr>
                <w:p w14:paraId="187A7A8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15.7</w:t>
                  </w:r>
                </w:p>
              </w:tc>
              <w:tc>
                <w:tcPr>
                  <w:tcW w:w="362" w:type="pct"/>
                  <w:vAlign w:val="center"/>
                </w:tcPr>
                <w:p w14:paraId="60A4952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12.7</w:t>
                  </w:r>
                </w:p>
              </w:tc>
              <w:tc>
                <w:tcPr>
                  <w:tcW w:w="515" w:type="pct"/>
                  <w:vAlign w:val="center"/>
                </w:tcPr>
                <w:p w14:paraId="528671E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eastAsia="宋体"/>
                      <w:sz w:val="21"/>
                      <w:lang w:eastAsia="zh-CN"/>
                    </w:rPr>
                  </w:pPr>
                  <w:r>
                    <w:rPr>
                      <w:rFonts w:hint="eastAsia"/>
                      <w:sz w:val="21"/>
                      <w:lang w:eastAsia="zh-CN"/>
                    </w:rPr>
                    <w:t>/</w:t>
                  </w:r>
                </w:p>
              </w:tc>
              <w:tc>
                <w:tcPr>
                  <w:tcW w:w="702" w:type="dxa"/>
                  <w:vAlign w:val="center"/>
                </w:tcPr>
                <w:p w14:paraId="3E30ADD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rPr>
                  </w:pPr>
                  <w:r>
                    <w:rPr>
                      <w:rFonts w:hint="eastAsia"/>
                      <w:sz w:val="21"/>
                      <w:lang w:eastAsia="zh-CN"/>
                    </w:rPr>
                    <w:t>/</w:t>
                  </w:r>
                </w:p>
              </w:tc>
              <w:tc>
                <w:tcPr>
                  <w:tcW w:w="825" w:type="dxa"/>
                  <w:vAlign w:val="center"/>
                </w:tcPr>
                <w:p w14:paraId="578A9E8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rPr>
                  </w:pPr>
                  <w:r>
                    <w:rPr>
                      <w:rFonts w:hint="eastAsia"/>
                      <w:sz w:val="21"/>
                      <w:lang w:eastAsia="zh-CN"/>
                    </w:rPr>
                    <w:t>/</w:t>
                  </w:r>
                </w:p>
              </w:tc>
              <w:tc>
                <w:tcPr>
                  <w:tcW w:w="782" w:type="dxa"/>
                  <w:vAlign w:val="center"/>
                </w:tcPr>
                <w:p w14:paraId="5ECF9FF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rPr>
                  </w:pPr>
                  <w:r>
                    <w:rPr>
                      <w:rFonts w:hint="eastAsia"/>
                      <w:sz w:val="21"/>
                      <w:lang w:eastAsia="zh-CN"/>
                    </w:rPr>
                    <w:t>/</w:t>
                  </w:r>
                </w:p>
              </w:tc>
              <w:tc>
                <w:tcPr>
                  <w:tcW w:w="802" w:type="dxa"/>
                  <w:vAlign w:val="center"/>
                </w:tcPr>
                <w:p w14:paraId="37A6C29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rPr>
                  </w:pPr>
                  <w:r>
                    <w:rPr>
                      <w:rFonts w:hint="eastAsia"/>
                      <w:sz w:val="21"/>
                      <w:lang w:eastAsia="zh-CN"/>
                    </w:rPr>
                    <w:t>/</w:t>
                  </w:r>
                </w:p>
              </w:tc>
              <w:tc>
                <w:tcPr>
                  <w:tcW w:w="813" w:type="dxa"/>
                  <w:vAlign w:val="center"/>
                </w:tcPr>
                <w:p w14:paraId="5737A9B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rPr>
                  </w:pPr>
                  <w:r>
                    <w:rPr>
                      <w:rFonts w:hint="eastAsia"/>
                      <w:sz w:val="21"/>
                      <w:lang w:eastAsia="zh-CN"/>
                    </w:rPr>
                    <w:t>/</w:t>
                  </w:r>
                </w:p>
              </w:tc>
              <w:tc>
                <w:tcPr>
                  <w:tcW w:w="347" w:type="pct"/>
                  <w:vAlign w:val="center"/>
                </w:tcPr>
                <w:p w14:paraId="61E57BE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14.2</w:t>
                  </w:r>
                </w:p>
              </w:tc>
              <w:tc>
                <w:tcPr>
                  <w:tcW w:w="342" w:type="pct"/>
                  <w:vAlign w:val="center"/>
                </w:tcPr>
                <w:p w14:paraId="2D52018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eastAsia="宋体"/>
                      <w:sz w:val="21"/>
                      <w:lang w:eastAsia="zh-CN"/>
                    </w:rPr>
                  </w:pPr>
                  <w:r>
                    <w:rPr>
                      <w:rFonts w:hint="eastAsia"/>
                      <w:sz w:val="21"/>
                      <w:lang w:eastAsia="zh-CN"/>
                    </w:rPr>
                    <w:t>/</w:t>
                  </w:r>
                </w:p>
              </w:tc>
            </w:tr>
            <w:tr w14:paraId="5C742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6CAB5CC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石油</w:t>
                  </w:r>
                </w:p>
              </w:tc>
              <w:tc>
                <w:tcPr>
                  <w:tcW w:w="359" w:type="pct"/>
                  <w:vAlign w:val="center"/>
                </w:tcPr>
                <w:p w14:paraId="52E0D8D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2.94</w:t>
                  </w:r>
                </w:p>
              </w:tc>
              <w:tc>
                <w:tcPr>
                  <w:tcW w:w="362" w:type="pct"/>
                  <w:vAlign w:val="center"/>
                </w:tcPr>
                <w:p w14:paraId="0B7955E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2.85</w:t>
                  </w:r>
                </w:p>
              </w:tc>
              <w:tc>
                <w:tcPr>
                  <w:tcW w:w="515" w:type="pct"/>
                  <w:vAlign w:val="center"/>
                </w:tcPr>
                <w:p w14:paraId="43E84C2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eastAsia="宋体"/>
                      <w:sz w:val="21"/>
                      <w:lang w:val="en-US" w:eastAsia="zh-CN"/>
                    </w:rPr>
                  </w:pPr>
                  <w:r>
                    <w:rPr>
                      <w:rFonts w:hint="eastAsia"/>
                      <w:sz w:val="21"/>
                      <w:lang w:val="en-US" w:eastAsia="zh-CN"/>
                    </w:rPr>
                    <w:t>/</w:t>
                  </w:r>
                </w:p>
              </w:tc>
              <w:tc>
                <w:tcPr>
                  <w:tcW w:w="702" w:type="dxa"/>
                  <w:vAlign w:val="center"/>
                </w:tcPr>
                <w:p w14:paraId="502878A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lang w:val="en-US"/>
                    </w:rPr>
                  </w:pPr>
                  <w:r>
                    <w:rPr>
                      <w:rFonts w:hint="eastAsia"/>
                      <w:sz w:val="21"/>
                      <w:lang w:val="en-US" w:eastAsia="zh-CN"/>
                    </w:rPr>
                    <w:t>/</w:t>
                  </w:r>
                </w:p>
              </w:tc>
              <w:tc>
                <w:tcPr>
                  <w:tcW w:w="825" w:type="dxa"/>
                  <w:vAlign w:val="center"/>
                </w:tcPr>
                <w:p w14:paraId="2FFE0AA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lang w:val="en-US"/>
                    </w:rPr>
                  </w:pPr>
                  <w:r>
                    <w:rPr>
                      <w:rFonts w:hint="eastAsia"/>
                      <w:sz w:val="21"/>
                      <w:lang w:val="en-US" w:eastAsia="zh-CN"/>
                    </w:rPr>
                    <w:t>/</w:t>
                  </w:r>
                </w:p>
              </w:tc>
              <w:tc>
                <w:tcPr>
                  <w:tcW w:w="782" w:type="dxa"/>
                  <w:vAlign w:val="center"/>
                </w:tcPr>
                <w:p w14:paraId="405C2B8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lang w:val="en-US"/>
                    </w:rPr>
                  </w:pPr>
                  <w:r>
                    <w:rPr>
                      <w:rFonts w:hint="eastAsia"/>
                      <w:sz w:val="21"/>
                      <w:lang w:val="en-US" w:eastAsia="zh-CN"/>
                    </w:rPr>
                    <w:t>/</w:t>
                  </w:r>
                </w:p>
              </w:tc>
              <w:tc>
                <w:tcPr>
                  <w:tcW w:w="802" w:type="dxa"/>
                  <w:vAlign w:val="center"/>
                </w:tcPr>
                <w:p w14:paraId="2189DE3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lang w:val="en-US"/>
                    </w:rPr>
                  </w:pPr>
                  <w:r>
                    <w:rPr>
                      <w:rFonts w:hint="eastAsia"/>
                      <w:sz w:val="21"/>
                      <w:lang w:val="en-US" w:eastAsia="zh-CN"/>
                    </w:rPr>
                    <w:t>/</w:t>
                  </w:r>
                </w:p>
              </w:tc>
              <w:tc>
                <w:tcPr>
                  <w:tcW w:w="813" w:type="dxa"/>
                  <w:vAlign w:val="center"/>
                </w:tcPr>
                <w:p w14:paraId="43074C5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sz w:val="21"/>
                      <w:lang w:val="en-US"/>
                    </w:rPr>
                  </w:pPr>
                  <w:r>
                    <w:rPr>
                      <w:rFonts w:hint="eastAsia"/>
                      <w:sz w:val="21"/>
                      <w:lang w:val="en-US" w:eastAsia="zh-CN"/>
                    </w:rPr>
                    <w:t>/</w:t>
                  </w:r>
                </w:p>
              </w:tc>
              <w:tc>
                <w:tcPr>
                  <w:tcW w:w="347" w:type="pct"/>
                  <w:vAlign w:val="center"/>
                </w:tcPr>
                <w:p w14:paraId="0F07480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b/>
                      <w:sz w:val="14"/>
                    </w:rPr>
                  </w:pPr>
                </w:p>
                <w:p w14:paraId="78710B4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2.90</w:t>
                  </w:r>
                </w:p>
              </w:tc>
              <w:tc>
                <w:tcPr>
                  <w:tcW w:w="342" w:type="pct"/>
                  <w:vAlign w:val="center"/>
                </w:tcPr>
                <w:p w14:paraId="6C33A01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eastAsia="宋体"/>
                      <w:sz w:val="21"/>
                      <w:lang w:val="en-US" w:eastAsia="zh-CN"/>
                    </w:rPr>
                  </w:pPr>
                  <w:r>
                    <w:rPr>
                      <w:rFonts w:hint="eastAsia"/>
                      <w:sz w:val="21"/>
                      <w:lang w:val="en-US" w:eastAsia="zh-CN"/>
                    </w:rPr>
                    <w:t>/</w:t>
                  </w:r>
                </w:p>
              </w:tc>
            </w:tr>
            <w:tr w14:paraId="59AA6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3F55191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阴离子表面活性剂</w:t>
                  </w:r>
                </w:p>
              </w:tc>
              <w:tc>
                <w:tcPr>
                  <w:tcW w:w="359" w:type="pct"/>
                  <w:vAlign w:val="center"/>
                </w:tcPr>
                <w:p w14:paraId="033D8A3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2.97</w:t>
                  </w:r>
                </w:p>
              </w:tc>
              <w:tc>
                <w:tcPr>
                  <w:tcW w:w="362" w:type="pct"/>
                  <w:vAlign w:val="center"/>
                </w:tcPr>
                <w:p w14:paraId="1AE9ECF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2.50</w:t>
                  </w:r>
                </w:p>
              </w:tc>
              <w:tc>
                <w:tcPr>
                  <w:tcW w:w="515" w:type="pct"/>
                  <w:vAlign w:val="center"/>
                </w:tcPr>
                <w:p w14:paraId="5EBEDC2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0.18</w:t>
                  </w:r>
                </w:p>
              </w:tc>
              <w:tc>
                <w:tcPr>
                  <w:tcW w:w="414" w:type="pct"/>
                  <w:vAlign w:val="center"/>
                </w:tcPr>
                <w:p w14:paraId="5ED4B33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0.16</w:t>
                  </w:r>
                </w:p>
              </w:tc>
              <w:tc>
                <w:tcPr>
                  <w:tcW w:w="486" w:type="pct"/>
                  <w:vAlign w:val="center"/>
                </w:tcPr>
                <w:p w14:paraId="3B75F0D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0.21</w:t>
                  </w:r>
                </w:p>
              </w:tc>
              <w:tc>
                <w:tcPr>
                  <w:tcW w:w="461" w:type="pct"/>
                  <w:vAlign w:val="center"/>
                </w:tcPr>
                <w:p w14:paraId="4F220EC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0.15</w:t>
                  </w:r>
                </w:p>
              </w:tc>
              <w:tc>
                <w:tcPr>
                  <w:tcW w:w="473" w:type="pct"/>
                  <w:vAlign w:val="center"/>
                </w:tcPr>
                <w:p w14:paraId="16E46C8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0.19</w:t>
                  </w:r>
                </w:p>
              </w:tc>
              <w:tc>
                <w:tcPr>
                  <w:tcW w:w="477" w:type="pct"/>
                  <w:vAlign w:val="center"/>
                </w:tcPr>
                <w:p w14:paraId="4FF8383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0.16</w:t>
                  </w:r>
                </w:p>
              </w:tc>
              <w:tc>
                <w:tcPr>
                  <w:tcW w:w="347" w:type="pct"/>
                  <w:vAlign w:val="center"/>
                </w:tcPr>
                <w:p w14:paraId="01EB1E0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2.74</w:t>
                  </w:r>
                </w:p>
              </w:tc>
              <w:tc>
                <w:tcPr>
                  <w:tcW w:w="342" w:type="pct"/>
                  <w:vAlign w:val="center"/>
                </w:tcPr>
                <w:p w14:paraId="44649B3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0.18</w:t>
                  </w:r>
                </w:p>
              </w:tc>
            </w:tr>
            <w:tr w14:paraId="29443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44C4230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挥发酚</w:t>
                  </w:r>
                </w:p>
              </w:tc>
              <w:tc>
                <w:tcPr>
                  <w:tcW w:w="359" w:type="pct"/>
                  <w:vAlign w:val="center"/>
                </w:tcPr>
                <w:p w14:paraId="7C5B292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0.0096</w:t>
                  </w:r>
                </w:p>
              </w:tc>
              <w:tc>
                <w:tcPr>
                  <w:tcW w:w="362" w:type="pct"/>
                  <w:vAlign w:val="center"/>
                </w:tcPr>
                <w:p w14:paraId="3008B5D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0.0091</w:t>
                  </w:r>
                </w:p>
              </w:tc>
              <w:tc>
                <w:tcPr>
                  <w:tcW w:w="515" w:type="pct"/>
                  <w:vAlign w:val="center"/>
                </w:tcPr>
                <w:p w14:paraId="238C9D9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0.0005</w:t>
                  </w:r>
                </w:p>
              </w:tc>
              <w:tc>
                <w:tcPr>
                  <w:tcW w:w="414" w:type="pct"/>
                  <w:vAlign w:val="center"/>
                </w:tcPr>
                <w:p w14:paraId="48FA2A5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0.0008</w:t>
                  </w:r>
                </w:p>
              </w:tc>
              <w:tc>
                <w:tcPr>
                  <w:tcW w:w="486" w:type="pct"/>
                  <w:vAlign w:val="center"/>
                </w:tcPr>
                <w:p w14:paraId="51FE092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eastAsia" w:eastAsia="宋体"/>
                      <w:sz w:val="21"/>
                      <w:lang w:eastAsia="zh-CN"/>
                    </w:rPr>
                  </w:pPr>
                  <w:r>
                    <w:rPr>
                      <w:rFonts w:hint="eastAsia"/>
                      <w:sz w:val="21"/>
                      <w:lang w:val="en-US" w:eastAsia="zh-CN"/>
                    </w:rPr>
                    <w:t>/</w:t>
                  </w:r>
                </w:p>
              </w:tc>
              <w:tc>
                <w:tcPr>
                  <w:tcW w:w="461" w:type="pct"/>
                  <w:vAlign w:val="center"/>
                </w:tcPr>
                <w:p w14:paraId="554E8D1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0.0003</w:t>
                  </w:r>
                </w:p>
              </w:tc>
              <w:tc>
                <w:tcPr>
                  <w:tcW w:w="473" w:type="pct"/>
                  <w:vAlign w:val="center"/>
                </w:tcPr>
                <w:p w14:paraId="3FF11FB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0.0011</w:t>
                  </w:r>
                </w:p>
              </w:tc>
              <w:tc>
                <w:tcPr>
                  <w:tcW w:w="477" w:type="pct"/>
                  <w:vAlign w:val="center"/>
                </w:tcPr>
                <w:p w14:paraId="5A25175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0.0009</w:t>
                  </w:r>
                </w:p>
              </w:tc>
              <w:tc>
                <w:tcPr>
                  <w:tcW w:w="347" w:type="pct"/>
                  <w:vAlign w:val="center"/>
                </w:tcPr>
                <w:p w14:paraId="4CC4D1D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0.009</w:t>
                  </w:r>
                </w:p>
                <w:p w14:paraId="6028D97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4</w:t>
                  </w:r>
                </w:p>
              </w:tc>
              <w:tc>
                <w:tcPr>
                  <w:tcW w:w="342" w:type="pct"/>
                  <w:vAlign w:val="center"/>
                </w:tcPr>
                <w:p w14:paraId="363C5C8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0.000</w:t>
                  </w:r>
                </w:p>
                <w:p w14:paraId="193DA39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7</w:t>
                  </w:r>
                </w:p>
              </w:tc>
            </w:tr>
            <w:tr w14:paraId="6F875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58D9065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氨氮</w:t>
                  </w:r>
                </w:p>
              </w:tc>
              <w:tc>
                <w:tcPr>
                  <w:tcW w:w="359" w:type="pct"/>
                  <w:vAlign w:val="center"/>
                </w:tcPr>
                <w:p w14:paraId="7C82B7F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4.68</w:t>
                  </w:r>
                </w:p>
              </w:tc>
              <w:tc>
                <w:tcPr>
                  <w:tcW w:w="362" w:type="pct"/>
                  <w:vAlign w:val="center"/>
                </w:tcPr>
                <w:p w14:paraId="3352CF1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5.61</w:t>
                  </w:r>
                </w:p>
              </w:tc>
              <w:tc>
                <w:tcPr>
                  <w:tcW w:w="515" w:type="pct"/>
                  <w:vAlign w:val="center"/>
                </w:tcPr>
                <w:p w14:paraId="5BFF0A0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2.88</w:t>
                  </w:r>
                </w:p>
              </w:tc>
              <w:tc>
                <w:tcPr>
                  <w:tcW w:w="414" w:type="pct"/>
                  <w:vAlign w:val="center"/>
                </w:tcPr>
                <w:p w14:paraId="04E8265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2.90</w:t>
                  </w:r>
                </w:p>
              </w:tc>
              <w:tc>
                <w:tcPr>
                  <w:tcW w:w="486" w:type="pct"/>
                  <w:vAlign w:val="center"/>
                </w:tcPr>
                <w:p w14:paraId="53FBDD6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2.87</w:t>
                  </w:r>
                </w:p>
              </w:tc>
              <w:tc>
                <w:tcPr>
                  <w:tcW w:w="461" w:type="pct"/>
                  <w:vAlign w:val="center"/>
                </w:tcPr>
                <w:p w14:paraId="0025D72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2.76</w:t>
                  </w:r>
                </w:p>
              </w:tc>
              <w:tc>
                <w:tcPr>
                  <w:tcW w:w="473" w:type="pct"/>
                  <w:vAlign w:val="center"/>
                </w:tcPr>
                <w:p w14:paraId="501CA4C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2.93</w:t>
                  </w:r>
                </w:p>
              </w:tc>
              <w:tc>
                <w:tcPr>
                  <w:tcW w:w="477" w:type="pct"/>
                  <w:vAlign w:val="center"/>
                </w:tcPr>
                <w:p w14:paraId="18B56E7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2.96</w:t>
                  </w:r>
                </w:p>
              </w:tc>
              <w:tc>
                <w:tcPr>
                  <w:tcW w:w="347" w:type="pct"/>
                  <w:vAlign w:val="center"/>
                </w:tcPr>
                <w:p w14:paraId="25EA0A5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5.15</w:t>
                  </w:r>
                </w:p>
              </w:tc>
              <w:tc>
                <w:tcPr>
                  <w:tcW w:w="342" w:type="pct"/>
                  <w:vAlign w:val="center"/>
                </w:tcPr>
                <w:p w14:paraId="54A9FA2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2.88</w:t>
                  </w:r>
                </w:p>
              </w:tc>
            </w:tr>
            <w:tr w14:paraId="053F5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59" w:type="pct"/>
                  <w:vAlign w:val="center"/>
                </w:tcPr>
                <w:p w14:paraId="06BF892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pacing w:val="-1"/>
                      <w:sz w:val="21"/>
                    </w:rPr>
                    <w:t>磷酸盐</w:t>
                  </w:r>
                  <w:r>
                    <w:rPr>
                      <w:rFonts w:hint="default"/>
                      <w:spacing w:val="-3"/>
                      <w:sz w:val="21"/>
                    </w:rPr>
                    <w:t>（</w:t>
                  </w:r>
                  <w:r>
                    <w:rPr>
                      <w:rFonts w:hint="default"/>
                      <w:spacing w:val="-25"/>
                      <w:sz w:val="21"/>
                    </w:rPr>
                    <w:t xml:space="preserve">以 </w:t>
                  </w:r>
                  <w:r>
                    <w:rPr>
                      <w:rFonts w:hint="default"/>
                      <w:sz w:val="21"/>
                    </w:rPr>
                    <w:t>P</w:t>
                  </w:r>
                  <w:r>
                    <w:rPr>
                      <w:rFonts w:hint="default"/>
                      <w:spacing w:val="-27"/>
                      <w:sz w:val="21"/>
                    </w:rPr>
                    <w:t xml:space="preserve"> 计</w:t>
                  </w:r>
                  <w:r>
                    <w:rPr>
                      <w:rFonts w:hint="default"/>
                      <w:spacing w:val="-80"/>
                      <w:sz w:val="21"/>
                    </w:rPr>
                    <w:t>）</w:t>
                  </w:r>
                </w:p>
              </w:tc>
              <w:tc>
                <w:tcPr>
                  <w:tcW w:w="359" w:type="pct"/>
                  <w:vAlign w:val="center"/>
                </w:tcPr>
                <w:p w14:paraId="76DCA1C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1.36</w:t>
                  </w:r>
                </w:p>
              </w:tc>
              <w:tc>
                <w:tcPr>
                  <w:tcW w:w="362" w:type="pct"/>
                  <w:vAlign w:val="center"/>
                </w:tcPr>
                <w:p w14:paraId="5749C6F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1.48</w:t>
                  </w:r>
                </w:p>
              </w:tc>
              <w:tc>
                <w:tcPr>
                  <w:tcW w:w="515" w:type="pct"/>
                  <w:vAlign w:val="center"/>
                </w:tcPr>
                <w:p w14:paraId="57633DD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0.74</w:t>
                  </w:r>
                </w:p>
              </w:tc>
              <w:tc>
                <w:tcPr>
                  <w:tcW w:w="414" w:type="pct"/>
                  <w:vAlign w:val="center"/>
                </w:tcPr>
                <w:p w14:paraId="7EABA2E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0.74</w:t>
                  </w:r>
                </w:p>
              </w:tc>
              <w:tc>
                <w:tcPr>
                  <w:tcW w:w="486" w:type="pct"/>
                  <w:vAlign w:val="center"/>
                </w:tcPr>
                <w:p w14:paraId="16FDB3C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0.76</w:t>
                  </w:r>
                </w:p>
              </w:tc>
              <w:tc>
                <w:tcPr>
                  <w:tcW w:w="461" w:type="pct"/>
                  <w:vAlign w:val="center"/>
                </w:tcPr>
                <w:p w14:paraId="494C5FC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0.72</w:t>
                  </w:r>
                </w:p>
              </w:tc>
              <w:tc>
                <w:tcPr>
                  <w:tcW w:w="473" w:type="pct"/>
                  <w:vAlign w:val="center"/>
                </w:tcPr>
                <w:p w14:paraId="0D016D3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0.74</w:t>
                  </w:r>
                </w:p>
              </w:tc>
              <w:tc>
                <w:tcPr>
                  <w:tcW w:w="477" w:type="pct"/>
                  <w:vAlign w:val="center"/>
                </w:tcPr>
                <w:p w14:paraId="517EFD8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0.74</w:t>
                  </w:r>
                </w:p>
              </w:tc>
              <w:tc>
                <w:tcPr>
                  <w:tcW w:w="347" w:type="pct"/>
                  <w:vAlign w:val="center"/>
                </w:tcPr>
                <w:p w14:paraId="3C230A4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1.42</w:t>
                  </w:r>
                </w:p>
              </w:tc>
              <w:tc>
                <w:tcPr>
                  <w:tcW w:w="342" w:type="pct"/>
                  <w:vAlign w:val="center"/>
                </w:tcPr>
                <w:p w14:paraId="17896DF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sz w:val="21"/>
                    </w:rPr>
                  </w:pPr>
                  <w:r>
                    <w:rPr>
                      <w:rFonts w:hint="default"/>
                      <w:sz w:val="21"/>
                    </w:rPr>
                    <w:t>0.74</w:t>
                  </w:r>
                </w:p>
              </w:tc>
            </w:tr>
          </w:tbl>
          <w:p w14:paraId="580D15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污染物产排情况及达标情况见下表。</w:t>
            </w:r>
          </w:p>
          <w:p w14:paraId="11D29F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4</w:t>
            </w:r>
            <w:r>
              <w:rPr>
                <w:rFonts w:hint="eastAsia" w:cs="Times New Roman"/>
                <w:b/>
                <w:bCs/>
                <w:color w:val="auto"/>
                <w:sz w:val="21"/>
                <w:szCs w:val="21"/>
                <w:lang w:val="en-US" w:eastAsia="zh-CN"/>
              </w:rPr>
              <w:t>-13</w:t>
            </w:r>
            <w:r>
              <w:rPr>
                <w:rFonts w:hint="default" w:ascii="Times New Roman" w:hAnsi="Times New Roman" w:eastAsia="宋体" w:cs="Times New Roman"/>
                <w:b/>
                <w:bCs/>
                <w:color w:val="auto"/>
                <w:sz w:val="21"/>
                <w:szCs w:val="21"/>
                <w:lang w:val="en-US" w:eastAsia="zh-CN"/>
              </w:rPr>
              <w:tab/>
            </w:r>
            <w:r>
              <w:rPr>
                <w:rFonts w:hint="eastAsia" w:cs="Times New Roman"/>
                <w:b/>
                <w:bCs/>
                <w:color w:val="auto"/>
                <w:sz w:val="21"/>
                <w:szCs w:val="21"/>
                <w:lang w:val="en-US" w:eastAsia="zh-CN"/>
              </w:rPr>
              <w:t xml:space="preserve"> 废水污染物产排情况一览表</w:t>
            </w:r>
            <w:r>
              <w:rPr>
                <w:rFonts w:hint="default" w:ascii="Times New Roman" w:hAnsi="Times New Roman" w:eastAsia="宋体" w:cs="Times New Roman"/>
                <w:b/>
                <w:bCs/>
                <w:color w:val="auto"/>
                <w:sz w:val="21"/>
                <w:szCs w:val="21"/>
                <w:lang w:val="en-US" w:eastAsia="zh-CN"/>
              </w:rPr>
              <w:tab/>
            </w:r>
          </w:p>
          <w:tbl>
            <w:tblPr>
              <w:tblStyle w:val="28"/>
              <w:tblW w:w="4926"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89"/>
              <w:gridCol w:w="966"/>
              <w:gridCol w:w="757"/>
              <w:gridCol w:w="745"/>
              <w:gridCol w:w="863"/>
              <w:gridCol w:w="629"/>
              <w:gridCol w:w="670"/>
              <w:gridCol w:w="709"/>
              <w:gridCol w:w="620"/>
              <w:gridCol w:w="620"/>
              <w:gridCol w:w="710"/>
              <w:gridCol w:w="621"/>
            </w:tblGrid>
            <w:tr w14:paraId="44D30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5" w:hRule="atLeast"/>
              </w:trPr>
              <w:tc>
                <w:tcPr>
                  <w:tcW w:w="817" w:type="pct"/>
                  <w:gridSpan w:val="2"/>
                  <w:shd w:val="clear" w:color="auto" w:fill="auto"/>
                  <w:vAlign w:val="center"/>
                </w:tcPr>
                <w:p w14:paraId="4B3579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项目废水</w:t>
                  </w:r>
                </w:p>
              </w:tc>
              <w:tc>
                <w:tcPr>
                  <w:tcW w:w="455" w:type="pct"/>
                  <w:shd w:val="clear" w:color="auto" w:fill="auto"/>
                  <w:vAlign w:val="center"/>
                </w:tcPr>
                <w:p w14:paraId="1523AF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水量（</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/a</w:t>
                  </w:r>
                  <w:r>
                    <w:rPr>
                      <w:rFonts w:hint="eastAsia" w:ascii="宋体" w:hAnsi="宋体" w:eastAsia="宋体" w:cs="宋体"/>
                      <w:i w:val="0"/>
                      <w:iCs w:val="0"/>
                      <w:color w:val="000000"/>
                      <w:kern w:val="0"/>
                      <w:sz w:val="21"/>
                      <w:szCs w:val="21"/>
                      <w:u w:val="none"/>
                      <w:lang w:val="en-US" w:eastAsia="zh-CN" w:bidi="ar"/>
                    </w:rPr>
                    <w:t>）</w:t>
                  </w:r>
                </w:p>
              </w:tc>
              <w:tc>
                <w:tcPr>
                  <w:tcW w:w="449" w:type="pct"/>
                  <w:shd w:val="clear" w:color="auto" w:fill="auto"/>
                  <w:vAlign w:val="center"/>
                </w:tcPr>
                <w:p w14:paraId="3F2F66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pH</w:t>
                  </w:r>
                </w:p>
              </w:tc>
              <w:tc>
                <w:tcPr>
                  <w:tcW w:w="519" w:type="pct"/>
                  <w:shd w:val="clear" w:color="auto" w:fill="auto"/>
                  <w:vAlign w:val="center"/>
                </w:tcPr>
                <w:p w14:paraId="608AFA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悬浮物</w:t>
                  </w:r>
                </w:p>
              </w:tc>
              <w:tc>
                <w:tcPr>
                  <w:tcW w:w="378" w:type="pct"/>
                  <w:shd w:val="clear" w:color="auto" w:fill="auto"/>
                  <w:vAlign w:val="center"/>
                </w:tcPr>
                <w:p w14:paraId="6DF964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CODcr</w:t>
                  </w:r>
                </w:p>
              </w:tc>
              <w:tc>
                <w:tcPr>
                  <w:tcW w:w="403" w:type="pct"/>
                  <w:shd w:val="clear" w:color="auto" w:fill="auto"/>
                  <w:vAlign w:val="center"/>
                </w:tcPr>
                <w:p w14:paraId="7FA7D0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BOD</w:t>
                  </w:r>
                  <w:r>
                    <w:rPr>
                      <w:rFonts w:hint="default" w:ascii="Times New Roman" w:hAnsi="Times New Roman" w:eastAsia="宋体" w:cs="Times New Roman"/>
                      <w:i w:val="0"/>
                      <w:iCs w:val="0"/>
                      <w:color w:val="000000"/>
                      <w:kern w:val="0"/>
                      <w:sz w:val="21"/>
                      <w:szCs w:val="21"/>
                      <w:u w:val="none"/>
                      <w:vertAlign w:val="subscript"/>
                      <w:lang w:val="en-US" w:eastAsia="zh-CN" w:bidi="ar"/>
                    </w:rPr>
                    <w:t>5</w:t>
                  </w:r>
                </w:p>
              </w:tc>
              <w:tc>
                <w:tcPr>
                  <w:tcW w:w="427" w:type="pct"/>
                  <w:shd w:val="clear" w:color="auto" w:fill="auto"/>
                  <w:vAlign w:val="center"/>
                </w:tcPr>
                <w:p w14:paraId="2974F0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动植物油</w:t>
                  </w:r>
                </w:p>
              </w:tc>
              <w:tc>
                <w:tcPr>
                  <w:tcW w:w="373" w:type="pct"/>
                  <w:shd w:val="clear" w:color="auto" w:fill="auto"/>
                  <w:vAlign w:val="center"/>
                </w:tcPr>
                <w:p w14:paraId="1C41DA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石油</w:t>
                  </w:r>
                </w:p>
              </w:tc>
              <w:tc>
                <w:tcPr>
                  <w:tcW w:w="373" w:type="pct"/>
                  <w:shd w:val="clear" w:color="auto" w:fill="auto"/>
                  <w:vAlign w:val="center"/>
                </w:tcPr>
                <w:p w14:paraId="40996C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LAS</w:t>
                  </w:r>
                </w:p>
              </w:tc>
              <w:tc>
                <w:tcPr>
                  <w:tcW w:w="427" w:type="pct"/>
                  <w:shd w:val="clear" w:color="auto" w:fill="auto"/>
                  <w:vAlign w:val="center"/>
                </w:tcPr>
                <w:p w14:paraId="03D347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挥发酚</w:t>
                  </w:r>
                </w:p>
              </w:tc>
              <w:tc>
                <w:tcPr>
                  <w:tcW w:w="373" w:type="pct"/>
                  <w:shd w:val="clear" w:color="auto" w:fill="auto"/>
                  <w:vAlign w:val="center"/>
                </w:tcPr>
                <w:p w14:paraId="4D1481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氨氮</w:t>
                  </w:r>
                </w:p>
              </w:tc>
            </w:tr>
            <w:tr w14:paraId="70077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17" w:type="pct"/>
                  <w:gridSpan w:val="2"/>
                  <w:shd w:val="clear" w:color="auto" w:fill="auto"/>
                  <w:vAlign w:val="center"/>
                </w:tcPr>
                <w:p w14:paraId="49D32E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产生浓度（</w:t>
                  </w:r>
                  <w:r>
                    <w:rPr>
                      <w:rFonts w:hint="default" w:ascii="Times New Roman" w:hAnsi="Times New Roman" w:eastAsia="宋体" w:cs="Times New Roman"/>
                      <w:i w:val="0"/>
                      <w:iCs w:val="0"/>
                      <w:color w:val="000000"/>
                      <w:kern w:val="0"/>
                      <w:sz w:val="21"/>
                      <w:szCs w:val="21"/>
                      <w:u w:val="none"/>
                      <w:lang w:val="en-US" w:eastAsia="zh-CN" w:bidi="ar"/>
                    </w:rPr>
                    <w:t>mg/L</w:t>
                  </w:r>
                  <w:r>
                    <w:rPr>
                      <w:rFonts w:hint="eastAsia" w:ascii="宋体" w:hAnsi="宋体" w:eastAsia="宋体" w:cs="宋体"/>
                      <w:i w:val="0"/>
                      <w:iCs w:val="0"/>
                      <w:color w:val="000000"/>
                      <w:kern w:val="0"/>
                      <w:sz w:val="21"/>
                      <w:szCs w:val="21"/>
                      <w:u w:val="none"/>
                      <w:vertAlign w:val="superscript"/>
                      <w:lang w:val="en-US" w:eastAsia="zh-CN" w:bidi="ar"/>
                    </w:rPr>
                    <w:t>）</w:t>
                  </w:r>
                </w:p>
              </w:tc>
              <w:tc>
                <w:tcPr>
                  <w:tcW w:w="455" w:type="pct"/>
                  <w:shd w:val="clear" w:color="auto" w:fill="auto"/>
                  <w:vAlign w:val="center"/>
                </w:tcPr>
                <w:p w14:paraId="658A40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12526</w:t>
                  </w:r>
                </w:p>
              </w:tc>
              <w:tc>
                <w:tcPr>
                  <w:tcW w:w="449" w:type="pct"/>
                  <w:shd w:val="clear" w:color="auto" w:fill="auto"/>
                  <w:vAlign w:val="center"/>
                </w:tcPr>
                <w:p w14:paraId="593772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7.45</w:t>
                  </w:r>
                </w:p>
              </w:tc>
              <w:tc>
                <w:tcPr>
                  <w:tcW w:w="863" w:type="dxa"/>
                  <w:shd w:val="clear" w:color="auto" w:fill="auto"/>
                  <w:vAlign w:val="center"/>
                </w:tcPr>
                <w:p w14:paraId="203EE3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114</w:t>
                  </w:r>
                </w:p>
              </w:tc>
              <w:tc>
                <w:tcPr>
                  <w:tcW w:w="629" w:type="dxa"/>
                  <w:shd w:val="clear" w:color="auto" w:fill="auto"/>
                  <w:vAlign w:val="center"/>
                </w:tcPr>
                <w:p w14:paraId="2EE7B0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1531</w:t>
                  </w:r>
                </w:p>
              </w:tc>
              <w:tc>
                <w:tcPr>
                  <w:tcW w:w="670" w:type="dxa"/>
                  <w:shd w:val="clear" w:color="auto" w:fill="auto"/>
                  <w:vAlign w:val="center"/>
                </w:tcPr>
                <w:p w14:paraId="3D40EB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09" w:type="dxa"/>
                  <w:shd w:val="clear" w:color="auto" w:fill="auto"/>
                  <w:vAlign w:val="center"/>
                </w:tcPr>
                <w:p w14:paraId="7ABCA9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620" w:type="dxa"/>
                  <w:shd w:val="clear" w:color="auto" w:fill="auto"/>
                  <w:vAlign w:val="center"/>
                </w:tcPr>
                <w:p w14:paraId="351F11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620" w:type="dxa"/>
                  <w:shd w:val="clear" w:color="auto" w:fill="auto"/>
                  <w:vAlign w:val="center"/>
                </w:tcPr>
                <w:p w14:paraId="730F12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2.74</w:t>
                  </w:r>
                </w:p>
              </w:tc>
              <w:tc>
                <w:tcPr>
                  <w:tcW w:w="710" w:type="dxa"/>
                  <w:shd w:val="clear" w:color="auto" w:fill="auto"/>
                  <w:vAlign w:val="center"/>
                </w:tcPr>
                <w:p w14:paraId="3C775F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0.0094</w:t>
                  </w:r>
                </w:p>
              </w:tc>
              <w:tc>
                <w:tcPr>
                  <w:tcW w:w="620" w:type="dxa"/>
                  <w:shd w:val="clear" w:color="auto" w:fill="auto"/>
                  <w:vAlign w:val="center"/>
                </w:tcPr>
                <w:p w14:paraId="490D1A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5.15</w:t>
                  </w:r>
                </w:p>
              </w:tc>
            </w:tr>
            <w:tr w14:paraId="228A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5" w:type="pct"/>
                  <w:vMerge w:val="restart"/>
                  <w:shd w:val="clear" w:color="auto" w:fill="auto"/>
                  <w:vAlign w:val="center"/>
                </w:tcPr>
                <w:p w14:paraId="3B84F7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污水处理系统</w:t>
                  </w:r>
                </w:p>
              </w:tc>
              <w:tc>
                <w:tcPr>
                  <w:tcW w:w="581" w:type="pct"/>
                  <w:shd w:val="clear" w:color="auto" w:fill="auto"/>
                  <w:vAlign w:val="center"/>
                </w:tcPr>
                <w:p w14:paraId="38DA6B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污染物产生量</w:t>
                  </w:r>
                </w:p>
              </w:tc>
              <w:tc>
                <w:tcPr>
                  <w:tcW w:w="455" w:type="pct"/>
                  <w:shd w:val="clear" w:color="auto" w:fill="auto"/>
                  <w:vAlign w:val="center"/>
                </w:tcPr>
                <w:p w14:paraId="5515C2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49" w:type="pct"/>
                  <w:shd w:val="clear" w:color="auto" w:fill="auto"/>
                  <w:vAlign w:val="center"/>
                </w:tcPr>
                <w:p w14:paraId="414BFA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863" w:type="dxa"/>
                  <w:shd w:val="clear" w:color="auto" w:fill="auto"/>
                  <w:vAlign w:val="center"/>
                </w:tcPr>
                <w:p w14:paraId="5AC454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1.428 </w:t>
                  </w:r>
                </w:p>
              </w:tc>
              <w:tc>
                <w:tcPr>
                  <w:tcW w:w="629" w:type="dxa"/>
                  <w:shd w:val="clear" w:color="auto" w:fill="auto"/>
                  <w:vAlign w:val="center"/>
                </w:tcPr>
                <w:p w14:paraId="0BF96F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19.177 </w:t>
                  </w:r>
                </w:p>
              </w:tc>
              <w:tc>
                <w:tcPr>
                  <w:tcW w:w="670" w:type="dxa"/>
                  <w:shd w:val="clear" w:color="auto" w:fill="auto"/>
                  <w:vAlign w:val="center"/>
                </w:tcPr>
                <w:p w14:paraId="0FB63F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2.505 </w:t>
                  </w:r>
                </w:p>
              </w:tc>
              <w:tc>
                <w:tcPr>
                  <w:tcW w:w="709" w:type="dxa"/>
                  <w:shd w:val="clear" w:color="auto" w:fill="auto"/>
                  <w:vAlign w:val="center"/>
                </w:tcPr>
                <w:p w14:paraId="3F66ED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0.178 </w:t>
                  </w:r>
                </w:p>
              </w:tc>
              <w:tc>
                <w:tcPr>
                  <w:tcW w:w="620" w:type="dxa"/>
                  <w:shd w:val="clear" w:color="auto" w:fill="auto"/>
                  <w:vAlign w:val="center"/>
                </w:tcPr>
                <w:p w14:paraId="2DB458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0.036 </w:t>
                  </w:r>
                </w:p>
              </w:tc>
              <w:tc>
                <w:tcPr>
                  <w:tcW w:w="620" w:type="dxa"/>
                  <w:shd w:val="clear" w:color="auto" w:fill="auto"/>
                  <w:vAlign w:val="center"/>
                </w:tcPr>
                <w:p w14:paraId="4922EC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0.034 </w:t>
                  </w:r>
                </w:p>
              </w:tc>
              <w:tc>
                <w:tcPr>
                  <w:tcW w:w="710" w:type="dxa"/>
                  <w:shd w:val="clear" w:color="auto" w:fill="auto"/>
                  <w:vAlign w:val="center"/>
                </w:tcPr>
                <w:p w14:paraId="6631C2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0.000 </w:t>
                  </w:r>
                </w:p>
              </w:tc>
              <w:tc>
                <w:tcPr>
                  <w:tcW w:w="620" w:type="dxa"/>
                  <w:shd w:val="clear" w:color="auto" w:fill="auto"/>
                  <w:vAlign w:val="center"/>
                </w:tcPr>
                <w:p w14:paraId="7E0E50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0.065 </w:t>
                  </w:r>
                </w:p>
              </w:tc>
            </w:tr>
            <w:tr w14:paraId="14542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35" w:type="pct"/>
                  <w:vMerge w:val="continue"/>
                  <w:shd w:val="clear" w:color="auto" w:fill="auto"/>
                  <w:vAlign w:val="center"/>
                </w:tcPr>
                <w:p w14:paraId="45E105D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81" w:type="pct"/>
                  <w:shd w:val="clear" w:color="auto" w:fill="auto"/>
                  <w:vAlign w:val="center"/>
                </w:tcPr>
                <w:p w14:paraId="1DDFC1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去除效率（</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w:t>
                  </w:r>
                </w:p>
              </w:tc>
              <w:tc>
                <w:tcPr>
                  <w:tcW w:w="455" w:type="pct"/>
                  <w:shd w:val="clear" w:color="auto" w:fill="auto"/>
                  <w:vAlign w:val="center"/>
                </w:tcPr>
                <w:p w14:paraId="702004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49" w:type="pct"/>
                  <w:shd w:val="clear" w:color="auto" w:fill="auto"/>
                  <w:vAlign w:val="center"/>
                </w:tcPr>
                <w:p w14:paraId="0A195F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863" w:type="dxa"/>
                  <w:shd w:val="clear" w:color="auto" w:fill="auto"/>
                  <w:vAlign w:val="center"/>
                </w:tcPr>
                <w:p w14:paraId="7449F8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89.91 </w:t>
                  </w:r>
                </w:p>
              </w:tc>
              <w:tc>
                <w:tcPr>
                  <w:tcW w:w="629" w:type="dxa"/>
                  <w:shd w:val="clear" w:color="auto" w:fill="auto"/>
                  <w:vAlign w:val="center"/>
                </w:tcPr>
                <w:p w14:paraId="2357E6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93.89 </w:t>
                  </w:r>
                </w:p>
              </w:tc>
              <w:tc>
                <w:tcPr>
                  <w:tcW w:w="670" w:type="dxa"/>
                  <w:shd w:val="clear" w:color="auto" w:fill="auto"/>
                  <w:vAlign w:val="center"/>
                </w:tcPr>
                <w:p w14:paraId="4AAE33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90.85 </w:t>
                  </w:r>
                </w:p>
              </w:tc>
              <w:tc>
                <w:tcPr>
                  <w:tcW w:w="709" w:type="dxa"/>
                  <w:shd w:val="clear" w:color="auto" w:fill="auto"/>
                  <w:vAlign w:val="center"/>
                </w:tcPr>
                <w:p w14:paraId="3D5CFE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99.99 </w:t>
                  </w:r>
                </w:p>
              </w:tc>
              <w:tc>
                <w:tcPr>
                  <w:tcW w:w="620" w:type="dxa"/>
                  <w:shd w:val="clear" w:color="auto" w:fill="auto"/>
                  <w:vAlign w:val="center"/>
                </w:tcPr>
                <w:p w14:paraId="6C102F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99.99 </w:t>
                  </w:r>
                </w:p>
              </w:tc>
              <w:tc>
                <w:tcPr>
                  <w:tcW w:w="620" w:type="dxa"/>
                  <w:shd w:val="clear" w:color="auto" w:fill="auto"/>
                  <w:vAlign w:val="center"/>
                </w:tcPr>
                <w:p w14:paraId="09CA28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93.43 </w:t>
                  </w:r>
                </w:p>
              </w:tc>
              <w:tc>
                <w:tcPr>
                  <w:tcW w:w="710" w:type="dxa"/>
                  <w:shd w:val="clear" w:color="auto" w:fill="auto"/>
                  <w:vAlign w:val="center"/>
                </w:tcPr>
                <w:p w14:paraId="47C457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99.99 </w:t>
                  </w:r>
                </w:p>
              </w:tc>
              <w:tc>
                <w:tcPr>
                  <w:tcW w:w="620" w:type="dxa"/>
                  <w:shd w:val="clear" w:color="auto" w:fill="auto"/>
                  <w:vAlign w:val="center"/>
                </w:tcPr>
                <w:p w14:paraId="696CF2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44.08 </w:t>
                  </w:r>
                </w:p>
              </w:tc>
            </w:tr>
            <w:tr w14:paraId="40F63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5" w:type="pct"/>
                  <w:vMerge w:val="continue"/>
                  <w:shd w:val="clear" w:color="auto" w:fill="auto"/>
                  <w:vAlign w:val="center"/>
                </w:tcPr>
                <w:p w14:paraId="596B7E6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81" w:type="pct"/>
                  <w:shd w:val="clear" w:color="auto" w:fill="auto"/>
                  <w:vAlign w:val="center"/>
                </w:tcPr>
                <w:p w14:paraId="6B1EBA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削减量（</w:t>
                  </w:r>
                  <w:r>
                    <w:rPr>
                      <w:rFonts w:hint="default" w:ascii="Times New Roman" w:hAnsi="Times New Roman" w:eastAsia="宋体" w:cs="Times New Roman"/>
                      <w:i w:val="0"/>
                      <w:iCs w:val="0"/>
                      <w:color w:val="000000"/>
                      <w:kern w:val="0"/>
                      <w:sz w:val="21"/>
                      <w:szCs w:val="21"/>
                      <w:u w:val="none"/>
                      <w:lang w:val="en-US" w:eastAsia="zh-CN" w:bidi="ar"/>
                    </w:rPr>
                    <w:t>t/a</w:t>
                  </w:r>
                  <w:r>
                    <w:rPr>
                      <w:rFonts w:hint="eastAsia" w:ascii="宋体" w:hAnsi="宋体" w:eastAsia="宋体" w:cs="宋体"/>
                      <w:i w:val="0"/>
                      <w:iCs w:val="0"/>
                      <w:color w:val="000000"/>
                      <w:kern w:val="0"/>
                      <w:sz w:val="21"/>
                      <w:szCs w:val="21"/>
                      <w:u w:val="none"/>
                      <w:lang w:val="en-US" w:eastAsia="zh-CN" w:bidi="ar"/>
                    </w:rPr>
                    <w:t>）</w:t>
                  </w:r>
                </w:p>
              </w:tc>
              <w:tc>
                <w:tcPr>
                  <w:tcW w:w="455" w:type="pct"/>
                  <w:shd w:val="clear" w:color="auto" w:fill="auto"/>
                  <w:vAlign w:val="center"/>
                </w:tcPr>
                <w:p w14:paraId="109590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49" w:type="pct"/>
                  <w:shd w:val="clear" w:color="auto" w:fill="auto"/>
                  <w:vAlign w:val="center"/>
                </w:tcPr>
                <w:p w14:paraId="75C736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863" w:type="dxa"/>
                  <w:shd w:val="clear" w:color="auto" w:fill="auto"/>
                  <w:vAlign w:val="center"/>
                </w:tcPr>
                <w:p w14:paraId="06ECE8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1.284 </w:t>
                  </w:r>
                </w:p>
              </w:tc>
              <w:tc>
                <w:tcPr>
                  <w:tcW w:w="629" w:type="dxa"/>
                  <w:shd w:val="clear" w:color="auto" w:fill="auto"/>
                  <w:vAlign w:val="center"/>
                </w:tcPr>
                <w:p w14:paraId="6E76EB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18.006 </w:t>
                  </w:r>
                </w:p>
              </w:tc>
              <w:tc>
                <w:tcPr>
                  <w:tcW w:w="670" w:type="dxa"/>
                  <w:shd w:val="clear" w:color="auto" w:fill="auto"/>
                  <w:vAlign w:val="center"/>
                </w:tcPr>
                <w:p w14:paraId="3CF8D1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2.276 </w:t>
                  </w:r>
                </w:p>
              </w:tc>
              <w:tc>
                <w:tcPr>
                  <w:tcW w:w="709" w:type="dxa"/>
                  <w:shd w:val="clear" w:color="auto" w:fill="auto"/>
                  <w:vAlign w:val="center"/>
                </w:tcPr>
                <w:p w14:paraId="79E019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1.428 </w:t>
                  </w:r>
                </w:p>
              </w:tc>
              <w:tc>
                <w:tcPr>
                  <w:tcW w:w="620" w:type="dxa"/>
                  <w:shd w:val="clear" w:color="auto" w:fill="auto"/>
                  <w:vAlign w:val="center"/>
                </w:tcPr>
                <w:p w14:paraId="1629EE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1.428 </w:t>
                  </w:r>
                </w:p>
              </w:tc>
              <w:tc>
                <w:tcPr>
                  <w:tcW w:w="620" w:type="dxa"/>
                  <w:shd w:val="clear" w:color="auto" w:fill="auto"/>
                  <w:vAlign w:val="center"/>
                </w:tcPr>
                <w:p w14:paraId="3F96E2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0.032 </w:t>
                  </w:r>
                </w:p>
              </w:tc>
              <w:tc>
                <w:tcPr>
                  <w:tcW w:w="710" w:type="dxa"/>
                  <w:shd w:val="clear" w:color="auto" w:fill="auto"/>
                  <w:vAlign w:val="center"/>
                </w:tcPr>
                <w:p w14:paraId="0AED9C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0.000 </w:t>
                  </w:r>
                </w:p>
              </w:tc>
              <w:tc>
                <w:tcPr>
                  <w:tcW w:w="620" w:type="dxa"/>
                  <w:shd w:val="clear" w:color="auto" w:fill="auto"/>
                  <w:vAlign w:val="center"/>
                </w:tcPr>
                <w:p w14:paraId="7057BE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0.028 </w:t>
                  </w:r>
                </w:p>
              </w:tc>
            </w:tr>
            <w:tr w14:paraId="1C22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5" w:type="pct"/>
                  <w:vMerge w:val="continue"/>
                  <w:shd w:val="clear" w:color="auto" w:fill="auto"/>
                  <w:vAlign w:val="center"/>
                </w:tcPr>
                <w:p w14:paraId="2D1027D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81" w:type="pct"/>
                  <w:vMerge w:val="restart"/>
                  <w:shd w:val="clear" w:color="auto" w:fill="auto"/>
                  <w:vAlign w:val="center"/>
                </w:tcPr>
                <w:p w14:paraId="5A3D22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出水浓度（</w:t>
                  </w:r>
                  <w:r>
                    <w:rPr>
                      <w:rFonts w:hint="default" w:ascii="Times New Roman" w:hAnsi="Times New Roman" w:eastAsia="宋体" w:cs="Times New Roman"/>
                      <w:i w:val="0"/>
                      <w:iCs w:val="0"/>
                      <w:color w:val="000000"/>
                      <w:kern w:val="0"/>
                      <w:sz w:val="21"/>
                      <w:szCs w:val="21"/>
                      <w:u w:val="none"/>
                      <w:lang w:val="en-US" w:eastAsia="zh-CN" w:bidi="ar"/>
                    </w:rPr>
                    <w:t>mg/L</w:t>
                  </w:r>
                  <w:r>
                    <w:rPr>
                      <w:rFonts w:hint="eastAsia" w:ascii="宋体" w:hAnsi="宋体" w:eastAsia="宋体" w:cs="宋体"/>
                      <w:i w:val="0"/>
                      <w:iCs w:val="0"/>
                      <w:color w:val="000000"/>
                      <w:kern w:val="0"/>
                      <w:sz w:val="21"/>
                      <w:szCs w:val="21"/>
                      <w:u w:val="none"/>
                      <w:lang w:val="en-US" w:eastAsia="zh-CN" w:bidi="ar"/>
                    </w:rPr>
                    <w:t>）</w:t>
                  </w:r>
                </w:p>
              </w:tc>
              <w:tc>
                <w:tcPr>
                  <w:tcW w:w="455" w:type="pct"/>
                  <w:vMerge w:val="restart"/>
                  <w:shd w:val="clear" w:color="auto" w:fill="auto"/>
                  <w:vAlign w:val="center"/>
                </w:tcPr>
                <w:p w14:paraId="3D1D51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49" w:type="pct"/>
                  <w:vMerge w:val="restart"/>
                  <w:shd w:val="clear" w:color="auto" w:fill="auto"/>
                  <w:vAlign w:val="center"/>
                </w:tcPr>
                <w:p w14:paraId="551FF6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7.86</w:t>
                  </w:r>
                </w:p>
              </w:tc>
              <w:tc>
                <w:tcPr>
                  <w:tcW w:w="863" w:type="dxa"/>
                  <w:vMerge w:val="restart"/>
                  <w:shd w:val="clear" w:color="auto" w:fill="auto"/>
                  <w:vAlign w:val="center"/>
                </w:tcPr>
                <w:p w14:paraId="0A7F8C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11.5</w:t>
                  </w:r>
                </w:p>
              </w:tc>
              <w:tc>
                <w:tcPr>
                  <w:tcW w:w="629" w:type="dxa"/>
                  <w:vMerge w:val="restart"/>
                  <w:shd w:val="clear" w:color="auto" w:fill="auto"/>
                  <w:vAlign w:val="center"/>
                </w:tcPr>
                <w:p w14:paraId="159386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93.5</w:t>
                  </w:r>
                </w:p>
              </w:tc>
              <w:tc>
                <w:tcPr>
                  <w:tcW w:w="670" w:type="dxa"/>
                  <w:vMerge w:val="restart"/>
                  <w:shd w:val="clear" w:color="auto" w:fill="auto"/>
                  <w:vAlign w:val="center"/>
                </w:tcPr>
                <w:p w14:paraId="4E4DFC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18.3</w:t>
                  </w:r>
                </w:p>
              </w:tc>
              <w:tc>
                <w:tcPr>
                  <w:tcW w:w="709" w:type="dxa"/>
                  <w:vMerge w:val="restart"/>
                  <w:shd w:val="clear" w:color="auto" w:fill="auto"/>
                  <w:vAlign w:val="center"/>
                </w:tcPr>
                <w:p w14:paraId="772C45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0</w:t>
                  </w:r>
                </w:p>
              </w:tc>
              <w:tc>
                <w:tcPr>
                  <w:tcW w:w="620" w:type="dxa"/>
                  <w:vMerge w:val="restart"/>
                  <w:shd w:val="clear" w:color="auto" w:fill="auto"/>
                  <w:vAlign w:val="center"/>
                </w:tcPr>
                <w:p w14:paraId="4C9A44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0</w:t>
                  </w:r>
                </w:p>
              </w:tc>
              <w:tc>
                <w:tcPr>
                  <w:tcW w:w="620" w:type="dxa"/>
                  <w:vMerge w:val="restart"/>
                  <w:shd w:val="clear" w:color="auto" w:fill="auto"/>
                  <w:vAlign w:val="center"/>
                </w:tcPr>
                <w:p w14:paraId="440631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0.18</w:t>
                  </w:r>
                </w:p>
              </w:tc>
              <w:tc>
                <w:tcPr>
                  <w:tcW w:w="710" w:type="dxa"/>
                  <w:vMerge w:val="restart"/>
                  <w:shd w:val="clear" w:color="auto" w:fill="auto"/>
                  <w:vAlign w:val="center"/>
                </w:tcPr>
                <w:p w14:paraId="337796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0.0007</w:t>
                  </w:r>
                </w:p>
              </w:tc>
              <w:tc>
                <w:tcPr>
                  <w:tcW w:w="620" w:type="dxa"/>
                  <w:vMerge w:val="restart"/>
                  <w:shd w:val="clear" w:color="auto" w:fill="auto"/>
                  <w:vAlign w:val="center"/>
                </w:tcPr>
                <w:p w14:paraId="757996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2.88</w:t>
                  </w:r>
                </w:p>
              </w:tc>
            </w:tr>
            <w:tr w14:paraId="15F1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35" w:type="pct"/>
                  <w:vMerge w:val="continue"/>
                  <w:shd w:val="clear" w:color="auto" w:fill="auto"/>
                  <w:vAlign w:val="center"/>
                </w:tcPr>
                <w:p w14:paraId="652BEB0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81" w:type="pct"/>
                  <w:vMerge w:val="continue"/>
                  <w:shd w:val="clear" w:color="auto" w:fill="auto"/>
                  <w:vAlign w:val="center"/>
                </w:tcPr>
                <w:p w14:paraId="51B8180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455" w:type="pct"/>
                  <w:vMerge w:val="continue"/>
                  <w:shd w:val="clear" w:color="auto" w:fill="auto"/>
                  <w:vAlign w:val="center"/>
                </w:tcPr>
                <w:p w14:paraId="52CF5BF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449" w:type="pct"/>
                  <w:vMerge w:val="continue"/>
                  <w:shd w:val="clear" w:color="auto" w:fill="auto"/>
                  <w:vAlign w:val="center"/>
                </w:tcPr>
                <w:p w14:paraId="71C293B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519" w:type="pct"/>
                  <w:vMerge w:val="continue"/>
                  <w:shd w:val="clear" w:color="auto" w:fill="auto"/>
                  <w:vAlign w:val="center"/>
                </w:tcPr>
                <w:p w14:paraId="79D7108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378" w:type="pct"/>
                  <w:vMerge w:val="continue"/>
                  <w:shd w:val="clear" w:color="auto" w:fill="auto"/>
                  <w:vAlign w:val="center"/>
                </w:tcPr>
                <w:p w14:paraId="443BD49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403" w:type="pct"/>
                  <w:vMerge w:val="continue"/>
                  <w:shd w:val="clear" w:color="auto" w:fill="auto"/>
                  <w:vAlign w:val="center"/>
                </w:tcPr>
                <w:p w14:paraId="6F4183A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427" w:type="pct"/>
                  <w:vMerge w:val="continue"/>
                  <w:shd w:val="clear" w:color="auto" w:fill="auto"/>
                  <w:vAlign w:val="center"/>
                </w:tcPr>
                <w:p w14:paraId="0603AE7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373" w:type="pct"/>
                  <w:vMerge w:val="continue"/>
                  <w:shd w:val="clear" w:color="auto" w:fill="auto"/>
                  <w:vAlign w:val="center"/>
                </w:tcPr>
                <w:p w14:paraId="3C34F61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373" w:type="pct"/>
                  <w:vMerge w:val="continue"/>
                  <w:shd w:val="clear" w:color="auto" w:fill="auto"/>
                  <w:vAlign w:val="center"/>
                </w:tcPr>
                <w:p w14:paraId="30809B0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427" w:type="pct"/>
                  <w:vMerge w:val="continue"/>
                  <w:shd w:val="clear" w:color="auto" w:fill="auto"/>
                  <w:vAlign w:val="center"/>
                </w:tcPr>
                <w:p w14:paraId="65B70F8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373" w:type="pct"/>
                  <w:vMerge w:val="continue"/>
                  <w:shd w:val="clear" w:color="auto" w:fill="auto"/>
                  <w:vAlign w:val="center"/>
                </w:tcPr>
                <w:p w14:paraId="6C30A22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r>
            <w:tr w14:paraId="65A14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5" w:type="pct"/>
                  <w:vMerge w:val="continue"/>
                  <w:shd w:val="clear" w:color="auto" w:fill="auto"/>
                  <w:vAlign w:val="center"/>
                </w:tcPr>
                <w:p w14:paraId="6E7EEA9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81" w:type="pct"/>
                  <w:shd w:val="clear" w:color="auto" w:fill="auto"/>
                  <w:vAlign w:val="center"/>
                </w:tcPr>
                <w:p w14:paraId="570485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排放量（</w:t>
                  </w:r>
                  <w:r>
                    <w:rPr>
                      <w:rFonts w:hint="default" w:ascii="Times New Roman" w:hAnsi="Times New Roman" w:eastAsia="宋体" w:cs="Times New Roman"/>
                      <w:i w:val="0"/>
                      <w:iCs w:val="0"/>
                      <w:color w:val="000000"/>
                      <w:kern w:val="0"/>
                      <w:sz w:val="21"/>
                      <w:szCs w:val="21"/>
                      <w:u w:val="none"/>
                      <w:lang w:val="en-US" w:eastAsia="zh-CN" w:bidi="ar"/>
                    </w:rPr>
                    <w:t>t/a</w:t>
                  </w:r>
                  <w:r>
                    <w:rPr>
                      <w:rFonts w:hint="eastAsia" w:ascii="宋体" w:hAnsi="宋体" w:eastAsia="宋体" w:cs="宋体"/>
                      <w:i w:val="0"/>
                      <w:iCs w:val="0"/>
                      <w:color w:val="000000"/>
                      <w:kern w:val="0"/>
                      <w:sz w:val="21"/>
                      <w:szCs w:val="21"/>
                      <w:u w:val="none"/>
                      <w:lang w:val="en-US" w:eastAsia="zh-CN" w:bidi="ar"/>
                    </w:rPr>
                    <w:t>）</w:t>
                  </w:r>
                </w:p>
              </w:tc>
              <w:tc>
                <w:tcPr>
                  <w:tcW w:w="455" w:type="pct"/>
                  <w:shd w:val="clear" w:color="auto" w:fill="auto"/>
                  <w:vAlign w:val="center"/>
                </w:tcPr>
                <w:p w14:paraId="5F711B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12526</w:t>
                  </w:r>
                </w:p>
              </w:tc>
              <w:tc>
                <w:tcPr>
                  <w:tcW w:w="449" w:type="pct"/>
                  <w:shd w:val="clear" w:color="auto" w:fill="auto"/>
                  <w:vAlign w:val="center"/>
                </w:tcPr>
                <w:p w14:paraId="594498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863" w:type="dxa"/>
                  <w:shd w:val="clear" w:color="auto" w:fill="auto"/>
                  <w:vAlign w:val="center"/>
                </w:tcPr>
                <w:p w14:paraId="4F700F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0.144 </w:t>
                  </w:r>
                </w:p>
              </w:tc>
              <w:tc>
                <w:tcPr>
                  <w:tcW w:w="629" w:type="dxa"/>
                  <w:shd w:val="clear" w:color="auto" w:fill="auto"/>
                  <w:vAlign w:val="center"/>
                </w:tcPr>
                <w:p w14:paraId="30E688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1.171 </w:t>
                  </w:r>
                </w:p>
              </w:tc>
              <w:tc>
                <w:tcPr>
                  <w:tcW w:w="670" w:type="dxa"/>
                  <w:shd w:val="clear" w:color="auto" w:fill="auto"/>
                  <w:vAlign w:val="center"/>
                </w:tcPr>
                <w:p w14:paraId="282FAA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0.229 </w:t>
                  </w:r>
                </w:p>
              </w:tc>
              <w:tc>
                <w:tcPr>
                  <w:tcW w:w="709" w:type="dxa"/>
                  <w:shd w:val="clear" w:color="auto" w:fill="auto"/>
                  <w:vAlign w:val="center"/>
                </w:tcPr>
                <w:p w14:paraId="6CFC3B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20" w:type="dxa"/>
                  <w:shd w:val="clear" w:color="auto" w:fill="auto"/>
                  <w:vAlign w:val="center"/>
                </w:tcPr>
                <w:p w14:paraId="57C1FA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20" w:type="dxa"/>
                  <w:shd w:val="clear" w:color="auto" w:fill="auto"/>
                  <w:vAlign w:val="center"/>
                </w:tcPr>
                <w:p w14:paraId="0AD57B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0.002 </w:t>
                  </w:r>
                </w:p>
              </w:tc>
              <w:tc>
                <w:tcPr>
                  <w:tcW w:w="710" w:type="dxa"/>
                  <w:shd w:val="clear" w:color="auto" w:fill="auto"/>
                  <w:vAlign w:val="center"/>
                </w:tcPr>
                <w:p w14:paraId="0E88F2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0.000 </w:t>
                  </w:r>
                </w:p>
              </w:tc>
              <w:tc>
                <w:tcPr>
                  <w:tcW w:w="620" w:type="dxa"/>
                  <w:shd w:val="clear" w:color="auto" w:fill="auto"/>
                  <w:vAlign w:val="center"/>
                </w:tcPr>
                <w:p w14:paraId="7028C7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0.036 </w:t>
                  </w:r>
                </w:p>
              </w:tc>
            </w:tr>
            <w:tr w14:paraId="2EEA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73" w:type="pct"/>
                  <w:gridSpan w:val="3"/>
                  <w:shd w:val="clear" w:color="auto" w:fill="auto"/>
                  <w:noWrap/>
                  <w:vAlign w:val="center"/>
                </w:tcPr>
                <w:p w14:paraId="0E7D8E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标准值</w:t>
                  </w:r>
                </w:p>
              </w:tc>
              <w:tc>
                <w:tcPr>
                  <w:tcW w:w="449" w:type="pct"/>
                  <w:shd w:val="clear" w:color="auto" w:fill="auto"/>
                  <w:noWrap/>
                  <w:vAlign w:val="center"/>
                </w:tcPr>
                <w:p w14:paraId="24D471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6.5</w:t>
                  </w:r>
                  <w:r>
                    <w:rPr>
                      <w:rFonts w:hint="eastAsia" w:ascii="宋体" w:hAnsi="宋体" w:eastAsia="宋体" w:cs="宋体"/>
                      <w:b/>
                      <w:bCs/>
                      <w:i w:val="0"/>
                      <w:iCs w:val="0"/>
                      <w:color w:val="000000"/>
                      <w:kern w:val="0"/>
                      <w:sz w:val="21"/>
                      <w:szCs w:val="21"/>
                      <w:u w:val="none"/>
                      <w:lang w:val="en-US" w:eastAsia="zh-CN" w:bidi="ar"/>
                    </w:rPr>
                    <w:t>～</w:t>
                  </w:r>
                  <w:r>
                    <w:rPr>
                      <w:rFonts w:hint="default" w:ascii="Times New Roman" w:hAnsi="Times New Roman" w:eastAsia="宋体" w:cs="Times New Roman"/>
                      <w:b/>
                      <w:bCs/>
                      <w:i w:val="0"/>
                      <w:iCs w:val="0"/>
                      <w:color w:val="000000"/>
                      <w:kern w:val="0"/>
                      <w:sz w:val="21"/>
                      <w:szCs w:val="21"/>
                      <w:u w:val="none"/>
                      <w:lang w:val="en-US" w:eastAsia="zh-CN" w:bidi="ar"/>
                    </w:rPr>
                    <w:t>9.5</w:t>
                  </w:r>
                </w:p>
              </w:tc>
              <w:tc>
                <w:tcPr>
                  <w:tcW w:w="863" w:type="dxa"/>
                  <w:shd w:val="clear" w:color="auto" w:fill="auto"/>
                  <w:noWrap/>
                  <w:vAlign w:val="center"/>
                </w:tcPr>
                <w:p w14:paraId="57F1EF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400</w:t>
                  </w:r>
                </w:p>
              </w:tc>
              <w:tc>
                <w:tcPr>
                  <w:tcW w:w="629" w:type="dxa"/>
                  <w:shd w:val="clear" w:color="auto" w:fill="auto"/>
                  <w:noWrap/>
                  <w:vAlign w:val="center"/>
                </w:tcPr>
                <w:p w14:paraId="428AE0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500</w:t>
                  </w:r>
                </w:p>
              </w:tc>
              <w:tc>
                <w:tcPr>
                  <w:tcW w:w="670" w:type="dxa"/>
                  <w:shd w:val="clear" w:color="auto" w:fill="auto"/>
                  <w:noWrap/>
                  <w:vAlign w:val="center"/>
                </w:tcPr>
                <w:p w14:paraId="7DDDC6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350</w:t>
                  </w:r>
                </w:p>
              </w:tc>
              <w:tc>
                <w:tcPr>
                  <w:tcW w:w="709" w:type="dxa"/>
                  <w:shd w:val="clear" w:color="auto" w:fill="auto"/>
                  <w:noWrap/>
                  <w:vAlign w:val="center"/>
                </w:tcPr>
                <w:p w14:paraId="5D9862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100</w:t>
                  </w:r>
                </w:p>
              </w:tc>
              <w:tc>
                <w:tcPr>
                  <w:tcW w:w="620" w:type="dxa"/>
                  <w:shd w:val="clear" w:color="auto" w:fill="auto"/>
                  <w:noWrap/>
                  <w:vAlign w:val="center"/>
                </w:tcPr>
                <w:p w14:paraId="592AA2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15</w:t>
                  </w:r>
                </w:p>
              </w:tc>
              <w:tc>
                <w:tcPr>
                  <w:tcW w:w="620" w:type="dxa"/>
                  <w:shd w:val="clear" w:color="auto" w:fill="auto"/>
                  <w:noWrap/>
                  <w:vAlign w:val="center"/>
                </w:tcPr>
                <w:p w14:paraId="1D795F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20</w:t>
                  </w:r>
                </w:p>
              </w:tc>
              <w:tc>
                <w:tcPr>
                  <w:tcW w:w="710" w:type="dxa"/>
                  <w:shd w:val="clear" w:color="auto" w:fill="auto"/>
                  <w:noWrap/>
                  <w:vAlign w:val="center"/>
                </w:tcPr>
                <w:p w14:paraId="2BA934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1</w:t>
                  </w:r>
                </w:p>
              </w:tc>
              <w:tc>
                <w:tcPr>
                  <w:tcW w:w="620" w:type="dxa"/>
                  <w:shd w:val="clear" w:color="auto" w:fill="auto"/>
                  <w:noWrap/>
                  <w:vAlign w:val="center"/>
                </w:tcPr>
                <w:p w14:paraId="63F3B8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45</w:t>
                  </w:r>
                </w:p>
              </w:tc>
            </w:tr>
            <w:tr w14:paraId="799F4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1273" w:type="pct"/>
                  <w:gridSpan w:val="3"/>
                  <w:shd w:val="clear" w:color="auto" w:fill="auto"/>
                  <w:noWrap/>
                  <w:vAlign w:val="center"/>
                </w:tcPr>
                <w:p w14:paraId="404E97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达标情况</w:t>
                  </w:r>
                </w:p>
              </w:tc>
              <w:tc>
                <w:tcPr>
                  <w:tcW w:w="449" w:type="pct"/>
                  <w:shd w:val="clear" w:color="auto" w:fill="auto"/>
                  <w:noWrap/>
                  <w:vAlign w:val="center"/>
                </w:tcPr>
                <w:p w14:paraId="0AE200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c>
                <w:tcPr>
                  <w:tcW w:w="519" w:type="pct"/>
                  <w:shd w:val="clear" w:color="auto" w:fill="auto"/>
                  <w:noWrap/>
                  <w:vAlign w:val="center"/>
                </w:tcPr>
                <w:p w14:paraId="75A84F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c>
                <w:tcPr>
                  <w:tcW w:w="378" w:type="pct"/>
                  <w:shd w:val="clear" w:color="auto" w:fill="auto"/>
                  <w:noWrap/>
                  <w:vAlign w:val="center"/>
                </w:tcPr>
                <w:p w14:paraId="4A32E9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c>
                <w:tcPr>
                  <w:tcW w:w="403" w:type="pct"/>
                  <w:shd w:val="clear" w:color="auto" w:fill="auto"/>
                  <w:noWrap/>
                  <w:vAlign w:val="center"/>
                </w:tcPr>
                <w:p w14:paraId="7AC1AD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c>
                <w:tcPr>
                  <w:tcW w:w="427" w:type="pct"/>
                  <w:shd w:val="clear" w:color="auto" w:fill="auto"/>
                  <w:noWrap/>
                  <w:vAlign w:val="center"/>
                </w:tcPr>
                <w:p w14:paraId="1DF338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c>
                <w:tcPr>
                  <w:tcW w:w="373" w:type="pct"/>
                  <w:shd w:val="clear" w:color="auto" w:fill="auto"/>
                  <w:noWrap/>
                  <w:vAlign w:val="center"/>
                </w:tcPr>
                <w:p w14:paraId="5144F0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c>
                <w:tcPr>
                  <w:tcW w:w="373" w:type="pct"/>
                  <w:shd w:val="clear" w:color="auto" w:fill="auto"/>
                  <w:noWrap/>
                  <w:vAlign w:val="center"/>
                </w:tcPr>
                <w:p w14:paraId="741B5A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c>
                <w:tcPr>
                  <w:tcW w:w="427" w:type="pct"/>
                  <w:shd w:val="clear" w:color="auto" w:fill="auto"/>
                  <w:noWrap/>
                  <w:vAlign w:val="center"/>
                </w:tcPr>
                <w:p w14:paraId="5D723A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c>
                <w:tcPr>
                  <w:tcW w:w="373" w:type="pct"/>
                  <w:shd w:val="clear" w:color="auto" w:fill="auto"/>
                  <w:noWrap/>
                  <w:vAlign w:val="center"/>
                </w:tcPr>
                <w:p w14:paraId="210CDF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达标</w:t>
                  </w:r>
                </w:p>
              </w:tc>
            </w:tr>
          </w:tbl>
          <w:p w14:paraId="4F17C9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根据上表可知，本项目生活污水经隔油池、化粪池预处理后，与生产废水一同进入自建的污水处理系统进行处理后，可</w:t>
            </w:r>
            <w:r>
              <w:rPr>
                <w:rFonts w:hint="eastAsia" w:cs="Times New Roman"/>
                <w:color w:val="auto"/>
                <w:sz w:val="24"/>
                <w:szCs w:val="24"/>
                <w:lang w:val="en-US" w:eastAsia="zh-CN"/>
              </w:rPr>
              <w:t>达</w:t>
            </w:r>
            <w:r>
              <w:rPr>
                <w:rFonts w:hint="default" w:ascii="Times New Roman" w:hAnsi="Times New Roman" w:eastAsia="宋体" w:cs="Times New Roman"/>
                <w:color w:val="auto"/>
                <w:sz w:val="24"/>
                <w:szCs w:val="24"/>
                <w:lang w:val="en-US" w:eastAsia="zh-CN"/>
              </w:rPr>
              <w:t>《污水排入城镇下水道水质标准》（GB/T131962-2015）表1中A级标准后进入园区污水管网。</w:t>
            </w:r>
          </w:p>
          <w:p w14:paraId="1C74F37D">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2"/>
                <w:sz w:val="24"/>
                <w:szCs w:val="24"/>
                <w:lang w:val="en-US" w:eastAsia="zh-CN" w:bidi="ar"/>
              </w:rPr>
            </w:pPr>
            <w:r>
              <w:rPr>
                <w:rFonts w:hint="default" w:ascii="Times New Roman" w:hAnsi="Times New Roman" w:eastAsia="宋体" w:cs="Times New Roman"/>
                <w:b/>
                <w:bCs/>
                <w:color w:val="auto"/>
                <w:kern w:val="2"/>
                <w:sz w:val="24"/>
                <w:szCs w:val="24"/>
                <w:lang w:val="en-US" w:eastAsia="zh-CN" w:bidi="ar"/>
              </w:rPr>
              <w:t>（3）污水处理设施的可行性</w:t>
            </w:r>
          </w:p>
          <w:p w14:paraId="36EE4F34">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2"/>
                <w:sz w:val="24"/>
                <w:szCs w:val="24"/>
                <w:lang w:val="en-US" w:eastAsia="zh-CN" w:bidi="ar"/>
              </w:rPr>
            </w:pPr>
            <w:r>
              <w:rPr>
                <w:rFonts w:hint="default" w:ascii="Times New Roman" w:hAnsi="Times New Roman" w:eastAsia="宋体" w:cs="Times New Roman"/>
                <w:b/>
                <w:bCs/>
                <w:color w:val="auto"/>
                <w:kern w:val="2"/>
                <w:sz w:val="24"/>
                <w:szCs w:val="24"/>
                <w:lang w:val="en-US" w:eastAsia="zh-CN" w:bidi="ar"/>
              </w:rPr>
              <w:t>①化粪池的效果分析</w:t>
            </w:r>
          </w:p>
          <w:p w14:paraId="21DCA84D">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本项目为扩建项目，本次项目扩建依托使用原项目已建成1个容积为20m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的化粪池，厂区内工作人员劳动定员150人，产生的办公生活污水量为14.4m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vertAlign w:val="baseline"/>
                <w:lang w:val="en-US" w:eastAsia="zh-CN" w:bidi="ar"/>
              </w:rPr>
              <w:t>/d，化粪池满足对生活污水的处理，</w:t>
            </w:r>
            <w:r>
              <w:rPr>
                <w:rFonts w:hint="default" w:ascii="Times New Roman" w:hAnsi="Times New Roman" w:eastAsia="宋体" w:cs="Times New Roman"/>
                <w:color w:val="auto"/>
                <w:kern w:val="2"/>
                <w:sz w:val="24"/>
                <w:szCs w:val="24"/>
                <w:lang w:val="en-US" w:eastAsia="zh-CN" w:bidi="ar"/>
              </w:rPr>
              <w:t>项目办公生活污水水质简单不会影响化粪池的处理效果</w:t>
            </w:r>
            <w:r>
              <w:rPr>
                <w:rFonts w:hint="eastAsia" w:cs="Times New Roman"/>
                <w:color w:val="auto"/>
                <w:kern w:val="2"/>
                <w:sz w:val="24"/>
                <w:szCs w:val="24"/>
                <w:lang w:val="en-US" w:eastAsia="zh-CN" w:bidi="ar"/>
              </w:rPr>
              <w:t>，因此本项目</w:t>
            </w:r>
            <w:r>
              <w:rPr>
                <w:rFonts w:hint="default" w:ascii="Times New Roman" w:hAnsi="Times New Roman" w:eastAsia="宋体" w:cs="Times New Roman"/>
                <w:color w:val="auto"/>
                <w:kern w:val="2"/>
                <w:sz w:val="24"/>
                <w:szCs w:val="24"/>
                <w:lang w:val="en-US" w:eastAsia="zh-CN" w:bidi="ar"/>
              </w:rPr>
              <w:t>生活污水依托原项目已建成化粪池处理是可行。</w:t>
            </w:r>
          </w:p>
          <w:p w14:paraId="2892AC6F">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2"/>
                <w:sz w:val="24"/>
                <w:szCs w:val="24"/>
                <w:lang w:val="en-US" w:eastAsia="zh-CN" w:bidi="ar"/>
              </w:rPr>
            </w:pPr>
            <w:r>
              <w:rPr>
                <w:rFonts w:hint="default" w:ascii="Times New Roman" w:hAnsi="Times New Roman" w:eastAsia="宋体" w:cs="Times New Roman"/>
                <w:b/>
                <w:bCs/>
                <w:color w:val="auto"/>
                <w:kern w:val="2"/>
                <w:sz w:val="24"/>
                <w:szCs w:val="24"/>
                <w:lang w:val="en-US" w:eastAsia="zh-CN" w:bidi="ar"/>
              </w:rPr>
              <w:t>②隔油池</w:t>
            </w:r>
          </w:p>
          <w:p w14:paraId="2F4AFE4B">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本项目为扩建项目，本次项目扩建依托使用原项目已建成1个容积为4m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的隔油池，产生的含油废水量为2.4m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vertAlign w:val="baseline"/>
                <w:lang w:val="en-US" w:eastAsia="zh-CN" w:bidi="ar"/>
              </w:rPr>
              <w:t>/d，隔油池满足对含油废水的处理</w:t>
            </w:r>
            <w:r>
              <w:rPr>
                <w:rFonts w:hint="default" w:ascii="Times New Roman" w:hAnsi="Times New Roman" w:eastAsia="宋体" w:cs="Times New Roman"/>
                <w:color w:val="auto"/>
                <w:kern w:val="2"/>
                <w:sz w:val="24"/>
                <w:szCs w:val="24"/>
                <w:lang w:val="en-US" w:eastAsia="zh-CN" w:bidi="ar"/>
              </w:rPr>
              <w:t>，隔油池设置合理可行。</w:t>
            </w:r>
          </w:p>
          <w:p w14:paraId="29F4770F">
            <w:pPr>
              <w:pStyle w:val="6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snapToGrid/>
                <w:color w:val="auto"/>
                <w:kern w:val="2"/>
                <w:sz w:val="24"/>
                <w:szCs w:val="24"/>
                <w:lang w:val="en-US" w:eastAsia="zh-CN" w:bidi="ar-SA"/>
              </w:rPr>
            </w:pPr>
            <w:r>
              <w:rPr>
                <w:rFonts w:hint="default" w:ascii="Times New Roman" w:hAnsi="Times New Roman" w:eastAsia="宋体" w:cs="Times New Roman"/>
                <w:b/>
                <w:bCs/>
                <w:snapToGrid/>
                <w:color w:val="auto"/>
                <w:kern w:val="2"/>
                <w:sz w:val="24"/>
                <w:szCs w:val="24"/>
                <w:lang w:val="en-US" w:eastAsia="zh-CN" w:bidi="ar-SA"/>
              </w:rPr>
              <w:t>（4）污水进入</w:t>
            </w:r>
            <w:r>
              <w:rPr>
                <w:rFonts w:hint="eastAsia" w:ascii="Times New Roman" w:hAnsi="Times New Roman" w:eastAsia="宋体" w:cs="Times New Roman"/>
                <w:b/>
                <w:bCs/>
                <w:snapToGrid/>
                <w:color w:val="auto"/>
                <w:kern w:val="2"/>
                <w:sz w:val="24"/>
                <w:szCs w:val="24"/>
                <w:lang w:val="en-US" w:eastAsia="zh-CN" w:bidi="ar-SA"/>
              </w:rPr>
              <w:t>富民工业园区哨箐机械加工园污水处理厂</w:t>
            </w:r>
            <w:r>
              <w:rPr>
                <w:rFonts w:hint="default" w:ascii="Times New Roman" w:hAnsi="Times New Roman" w:eastAsia="宋体" w:cs="Times New Roman"/>
                <w:b/>
                <w:bCs/>
                <w:snapToGrid/>
                <w:color w:val="auto"/>
                <w:kern w:val="2"/>
                <w:sz w:val="24"/>
                <w:szCs w:val="24"/>
                <w:lang w:val="en-US" w:eastAsia="zh-CN" w:bidi="ar-SA"/>
              </w:rPr>
              <w:t>的可行性分析</w:t>
            </w:r>
          </w:p>
          <w:p w14:paraId="6EDE04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富民工业园区哨箐机械加工园污水处理厂</w:t>
            </w:r>
            <w:r>
              <w:rPr>
                <w:rFonts w:hint="default" w:ascii="Times New Roman" w:hAnsi="Times New Roman" w:eastAsia="宋体" w:cs="Times New Roman"/>
                <w:color w:val="auto"/>
                <w:sz w:val="24"/>
                <w:szCs w:val="24"/>
                <w:highlight w:val="none"/>
                <w:lang w:val="en-US" w:eastAsia="zh-CN"/>
              </w:rPr>
              <w:t>位于昆明富民工业园区哨箐富民工业园区，污水处理工艺为MBR，污水处理厂总投资1243万元，净用地面积4.32亩，设计处理规模为每天500立方米，出水执行《城镇污水处理厂污染物排放标准》（GB18918-2002）一级 A 标准。该污水处理厂于 2018 年 1 年19 投产运行，出水水质满足设计水质要求，目前运行稳定，出水水质达标。</w:t>
            </w:r>
          </w:p>
          <w:p w14:paraId="18741DD7">
            <w:pPr>
              <w:keepNext w:val="0"/>
              <w:keepLines w:val="0"/>
              <w:widowControl/>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本项目位于富民工业园区哨箐</w:t>
            </w:r>
            <w:r>
              <w:rPr>
                <w:rFonts w:hint="eastAsia" w:ascii="Times New Roman" w:hAnsi="Times New Roman" w:eastAsia="宋体" w:cs="Times New Roman"/>
                <w:color w:val="auto"/>
                <w:sz w:val="24"/>
                <w:szCs w:val="24"/>
                <w:highlight w:val="none"/>
                <w:lang w:val="en-US" w:eastAsia="zh-CN"/>
              </w:rPr>
              <w:t>机械加工园</w:t>
            </w:r>
            <w:r>
              <w:rPr>
                <w:rFonts w:hint="default" w:ascii="Times New Roman" w:hAnsi="Times New Roman" w:eastAsia="宋体" w:cs="Times New Roman"/>
                <w:color w:val="auto"/>
                <w:sz w:val="24"/>
                <w:szCs w:val="24"/>
                <w:highlight w:val="none"/>
                <w:lang w:val="en-US" w:eastAsia="zh-CN"/>
              </w:rPr>
              <w:t>，属于富民工业园区哨箐</w:t>
            </w:r>
            <w:r>
              <w:rPr>
                <w:rFonts w:hint="eastAsia" w:ascii="Times New Roman" w:hAnsi="Times New Roman" w:eastAsia="宋体" w:cs="Times New Roman"/>
                <w:color w:val="auto"/>
                <w:sz w:val="24"/>
                <w:szCs w:val="24"/>
                <w:highlight w:val="none"/>
                <w:lang w:val="en-US" w:eastAsia="zh-CN"/>
              </w:rPr>
              <w:t>机械加工园</w:t>
            </w:r>
            <w:r>
              <w:rPr>
                <w:rFonts w:hint="default" w:ascii="Times New Roman" w:hAnsi="Times New Roman" w:eastAsia="宋体" w:cs="Times New Roman"/>
                <w:color w:val="auto"/>
                <w:sz w:val="24"/>
                <w:szCs w:val="24"/>
                <w:highlight w:val="none"/>
                <w:lang w:val="en-US" w:eastAsia="zh-CN"/>
              </w:rPr>
              <w:t>污水处理厂的纳污范围，</w:t>
            </w:r>
            <w:r>
              <w:rPr>
                <w:rFonts w:hint="eastAsia" w:cs="Times New Roman"/>
                <w:color w:val="auto"/>
                <w:sz w:val="24"/>
                <w:szCs w:val="24"/>
                <w:highlight w:val="none"/>
                <w:lang w:val="en-US" w:eastAsia="zh-CN"/>
              </w:rPr>
              <w:t>原项目</w:t>
            </w:r>
            <w:r>
              <w:rPr>
                <w:rFonts w:hint="default" w:ascii="Times New Roman" w:hAnsi="Times New Roman" w:eastAsia="宋体" w:cs="Times New Roman"/>
                <w:color w:val="auto"/>
                <w:sz w:val="24"/>
                <w:szCs w:val="24"/>
                <w:highlight w:val="none"/>
                <w:lang w:val="en-US" w:eastAsia="zh-CN"/>
              </w:rPr>
              <w:t>生活污水经隔油池、化粪池预处理后同生产废水一并进入自建的污水处理系统处理达</w:t>
            </w:r>
            <w:r>
              <w:rPr>
                <w:rFonts w:hint="default" w:ascii="Times New Roman" w:hAnsi="Times New Roman" w:eastAsia="宋体" w:cs="Times New Roman"/>
                <w:color w:val="auto"/>
                <w:kern w:val="2"/>
                <w:sz w:val="24"/>
                <w:szCs w:val="24"/>
                <w:lang w:val="en-US" w:eastAsia="zh-CN" w:bidi="ar"/>
              </w:rPr>
              <w:t>《污水排入城镇下水道水质标准》（GB/T31962-2015）表1中A级标准后</w:t>
            </w:r>
            <w:r>
              <w:rPr>
                <w:rFonts w:hint="default" w:ascii="Times New Roman" w:hAnsi="Times New Roman" w:eastAsia="宋体" w:cs="Times New Roman"/>
                <w:color w:val="auto"/>
                <w:sz w:val="24"/>
                <w:szCs w:val="24"/>
                <w:highlight w:val="none"/>
                <w:lang w:val="en-US" w:eastAsia="zh-CN"/>
              </w:rPr>
              <w:t>进入</w:t>
            </w:r>
            <w:r>
              <w:rPr>
                <w:rFonts w:hint="eastAsia" w:ascii="Times New Roman" w:hAnsi="Times New Roman" w:eastAsia="宋体" w:cs="Times New Roman"/>
                <w:color w:val="auto"/>
                <w:sz w:val="24"/>
                <w:szCs w:val="24"/>
                <w:highlight w:val="none"/>
                <w:lang w:val="en-US" w:eastAsia="zh-CN"/>
              </w:rPr>
              <w:t>富民工业园区哨箐机械加工园污水处理厂</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 xml:space="preserve">  </w:t>
            </w:r>
          </w:p>
          <w:p w14:paraId="39AE069A">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lang w:val="en-US"/>
              </w:rPr>
            </w:pPr>
            <w:r>
              <w:rPr>
                <w:rFonts w:hint="eastAsia" w:ascii="Times New Roman" w:hAnsi="Times New Roman" w:eastAsia="宋体" w:cs="Times New Roman"/>
                <w:color w:val="auto"/>
                <w:sz w:val="24"/>
                <w:szCs w:val="24"/>
                <w:highlight w:val="none"/>
                <w:lang w:val="en-US" w:eastAsia="zh-CN"/>
              </w:rPr>
              <w:t>根据现场调查，</w:t>
            </w:r>
            <w:r>
              <w:rPr>
                <w:rFonts w:hint="eastAsia" w:cs="Times New Roman"/>
                <w:color w:val="auto"/>
                <w:sz w:val="24"/>
                <w:szCs w:val="24"/>
                <w:highlight w:val="none"/>
                <w:lang w:val="en-US" w:eastAsia="zh-CN"/>
              </w:rPr>
              <w:t>本次扩建不新增生产线、厂区占地面积，不涉及初期雨水的增加，增加的仅为新增员工20人的生活污水量以及少量的生产废水，因此</w:t>
            </w:r>
            <w:r>
              <w:rPr>
                <w:rFonts w:hint="eastAsia" w:cs="Times New Roman"/>
                <w:color w:val="000000"/>
                <w:kern w:val="0"/>
                <w:sz w:val="24"/>
                <w:szCs w:val="24"/>
                <w:lang w:val="en-US" w:eastAsia="zh-CN" w:bidi="ar"/>
              </w:rPr>
              <w:t>项目扩建完成后增加的废水对污水处理厂的冲击较小。</w:t>
            </w:r>
          </w:p>
          <w:p w14:paraId="559FAC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auto"/>
                <w:spacing w:val="11"/>
                <w:sz w:val="24"/>
                <w:lang w:val="en-US" w:eastAsia="zh-CN"/>
              </w:rPr>
            </w:pPr>
            <w:r>
              <w:rPr>
                <w:rFonts w:hint="eastAsia" w:cs="Times New Roman"/>
                <w:color w:val="000000"/>
                <w:kern w:val="0"/>
                <w:sz w:val="24"/>
                <w:szCs w:val="24"/>
                <w:lang w:val="en-US" w:eastAsia="zh-CN" w:bidi="ar"/>
              </w:rPr>
              <w:t>据了解，</w:t>
            </w:r>
            <w:r>
              <w:rPr>
                <w:rFonts w:hint="default" w:ascii="Times New Roman" w:hAnsi="Times New Roman" w:eastAsia="宋体" w:cs="Times New Roman"/>
                <w:color w:val="000000"/>
                <w:kern w:val="0"/>
                <w:sz w:val="24"/>
                <w:szCs w:val="24"/>
                <w:lang w:val="en-US" w:eastAsia="zh-CN" w:bidi="ar"/>
              </w:rPr>
              <w:t>目前</w:t>
            </w:r>
            <w:r>
              <w:rPr>
                <w:rFonts w:hint="default" w:ascii="Times New Roman" w:hAnsi="Times New Roman" w:eastAsia="宋体" w:cs="Times New Roman"/>
                <w:color w:val="auto"/>
                <w:sz w:val="24"/>
                <w:szCs w:val="24"/>
                <w:highlight w:val="none"/>
                <w:lang w:val="en-US" w:eastAsia="zh-CN"/>
              </w:rPr>
              <w:t>哨箐</w:t>
            </w:r>
            <w:r>
              <w:rPr>
                <w:rFonts w:hint="eastAsia" w:ascii="Times New Roman" w:hAnsi="Times New Roman" w:eastAsia="宋体" w:cs="Times New Roman"/>
                <w:color w:val="auto"/>
                <w:sz w:val="24"/>
                <w:szCs w:val="24"/>
                <w:highlight w:val="none"/>
                <w:lang w:val="en-US" w:eastAsia="zh-CN"/>
              </w:rPr>
              <w:t>机械加工园</w:t>
            </w:r>
            <w:r>
              <w:rPr>
                <w:rFonts w:hint="default" w:ascii="Times New Roman" w:hAnsi="Times New Roman" w:eastAsia="宋体" w:cs="Times New Roman"/>
                <w:color w:val="000000"/>
                <w:kern w:val="0"/>
                <w:sz w:val="24"/>
                <w:szCs w:val="24"/>
                <w:lang w:val="en-US" w:eastAsia="zh-CN" w:bidi="ar"/>
              </w:rPr>
              <w:t>入园企业有30家，</w:t>
            </w:r>
            <w:r>
              <w:rPr>
                <w:rFonts w:hint="eastAsia" w:cs="Times New Roman"/>
                <w:color w:val="000000"/>
                <w:kern w:val="0"/>
                <w:sz w:val="24"/>
                <w:szCs w:val="24"/>
                <w:lang w:val="en-US" w:eastAsia="zh-CN" w:bidi="ar"/>
              </w:rPr>
              <w:t>污水处理厂</w:t>
            </w:r>
            <w:r>
              <w:rPr>
                <w:rFonts w:hint="default" w:ascii="Times New Roman" w:hAnsi="Times New Roman" w:eastAsia="宋体" w:cs="Times New Roman"/>
                <w:color w:val="auto"/>
                <w:sz w:val="24"/>
                <w:szCs w:val="24"/>
                <w:highlight w:val="none"/>
                <w:lang w:val="en-US" w:eastAsia="zh-CN"/>
              </w:rPr>
              <w:t>运行负荷约为</w:t>
            </w:r>
            <w:r>
              <w:rPr>
                <w:rFonts w:hint="eastAsia" w:ascii="Times New Roman" w:hAnsi="Times New Roman" w:eastAsia="宋体" w:cs="Times New Roman"/>
                <w:color w:val="auto"/>
                <w:sz w:val="24"/>
                <w:szCs w:val="24"/>
                <w:highlight w:val="none"/>
                <w:lang w:val="en-US" w:eastAsia="zh-CN"/>
              </w:rPr>
              <w:t>350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尚有余量处理本项目</w:t>
            </w:r>
            <w:r>
              <w:rPr>
                <w:rFonts w:hint="eastAsia" w:cs="Times New Roman"/>
                <w:color w:val="auto"/>
                <w:sz w:val="24"/>
                <w:szCs w:val="24"/>
                <w:highlight w:val="none"/>
                <w:lang w:val="en-US" w:eastAsia="zh-CN"/>
              </w:rPr>
              <w:t>新增</w:t>
            </w:r>
            <w:r>
              <w:rPr>
                <w:rFonts w:hint="default" w:ascii="Times New Roman" w:hAnsi="Times New Roman" w:eastAsia="宋体" w:cs="Times New Roman"/>
                <w:color w:val="auto"/>
                <w:sz w:val="24"/>
                <w:szCs w:val="24"/>
                <w:highlight w:val="none"/>
                <w:lang w:val="en-US" w:eastAsia="zh-CN"/>
              </w:rPr>
              <w:t>的废水。因此、本项目</w:t>
            </w:r>
            <w:r>
              <w:rPr>
                <w:rFonts w:hint="eastAsia" w:ascii="Times New Roman" w:hAnsi="Times New Roman" w:eastAsia="宋体" w:cs="Times New Roman"/>
                <w:color w:val="auto"/>
                <w:sz w:val="24"/>
                <w:szCs w:val="24"/>
                <w:highlight w:val="none"/>
                <w:lang w:val="en-US" w:eastAsia="zh-CN"/>
              </w:rPr>
              <w:t>扩建后废水</w:t>
            </w:r>
            <w:r>
              <w:rPr>
                <w:rFonts w:hint="default" w:ascii="Times New Roman" w:hAnsi="Times New Roman" w:eastAsia="宋体" w:cs="Times New Roman"/>
                <w:color w:val="auto"/>
                <w:sz w:val="24"/>
                <w:szCs w:val="24"/>
                <w:highlight w:val="none"/>
                <w:lang w:val="en-US" w:eastAsia="zh-CN"/>
              </w:rPr>
              <w:t>进入</w:t>
            </w:r>
            <w:r>
              <w:rPr>
                <w:rFonts w:hint="eastAsia" w:ascii="Times New Roman" w:hAnsi="Times New Roman" w:eastAsia="宋体" w:cs="Times New Roman"/>
                <w:color w:val="auto"/>
                <w:sz w:val="24"/>
                <w:szCs w:val="24"/>
                <w:highlight w:val="none"/>
                <w:lang w:val="en-US" w:eastAsia="zh-CN"/>
              </w:rPr>
              <w:t>富民工业园区哨箐机械加工园污水处理厂</w:t>
            </w:r>
            <w:r>
              <w:rPr>
                <w:rFonts w:hint="default" w:ascii="Times New Roman" w:hAnsi="Times New Roman" w:eastAsia="宋体" w:cs="Times New Roman"/>
                <w:color w:val="auto"/>
                <w:sz w:val="24"/>
                <w:szCs w:val="24"/>
                <w:highlight w:val="none"/>
                <w:lang w:val="en-US" w:eastAsia="zh-CN"/>
              </w:rPr>
              <w:t>是可行的。</w:t>
            </w:r>
          </w:p>
          <w:p w14:paraId="0B7D6B55">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三、噪声</w:t>
            </w:r>
          </w:p>
          <w:p w14:paraId="3CD1B632">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lang w:val="zh-CN"/>
              </w:rPr>
            </w:pPr>
            <w:r>
              <w:rPr>
                <w:rFonts w:hint="default" w:ascii="Times New Roman" w:hAnsi="Times New Roman" w:eastAsia="宋体" w:cs="Times New Roman"/>
                <w:b/>
                <w:bCs/>
                <w:color w:val="auto"/>
                <w:sz w:val="24"/>
                <w:lang w:val="zh-CN"/>
              </w:rPr>
              <w:t>（1）运输车辆噪声</w:t>
            </w:r>
          </w:p>
          <w:p w14:paraId="75D645E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经类比调查可知，运输车辆进出厂区噪声值一般在65~80dB（A），会对周围环境造成一定影响。因运输车辆在厂区内为低速行驶状态，通过加强管理、禁止厂区鸣笛，则运输车辆对周围环境的影响是可以接受的。</w:t>
            </w:r>
          </w:p>
          <w:p w14:paraId="14D25EA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为进一步减小项目区各类噪声对周围环境及保护目标的影响，本环评要求：</w:t>
            </w:r>
          </w:p>
          <w:p w14:paraId="2B7B02C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①运输车辆在厂区内为低速行驶状态，通过加强管理、禁止厂区鸣笛；</w:t>
            </w:r>
          </w:p>
          <w:p w14:paraId="7396FD4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②装卸时应该尽量减少装卸机械的运作时间，快速有序的完成作业，以降低噪声影响时间。</w:t>
            </w:r>
          </w:p>
          <w:p w14:paraId="43A0E512">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zh-CN"/>
              </w:rPr>
              <w:t>（</w:t>
            </w:r>
            <w:r>
              <w:rPr>
                <w:rFonts w:hint="default" w:ascii="Times New Roman" w:hAnsi="Times New Roman" w:eastAsia="宋体" w:cs="Times New Roman"/>
                <w:b/>
                <w:bCs/>
                <w:color w:val="auto"/>
                <w:sz w:val="24"/>
              </w:rPr>
              <w:t>2</w:t>
            </w:r>
            <w:r>
              <w:rPr>
                <w:rFonts w:hint="default" w:ascii="Times New Roman" w:hAnsi="Times New Roman" w:eastAsia="宋体" w:cs="Times New Roman"/>
                <w:b/>
                <w:bCs/>
                <w:color w:val="auto"/>
                <w:sz w:val="24"/>
                <w:lang w:val="zh-CN"/>
              </w:rPr>
              <w:t>）</w:t>
            </w:r>
            <w:r>
              <w:rPr>
                <w:rFonts w:hint="default" w:ascii="Times New Roman" w:hAnsi="Times New Roman" w:eastAsia="宋体" w:cs="Times New Roman"/>
                <w:b/>
                <w:bCs/>
                <w:color w:val="auto"/>
                <w:sz w:val="24"/>
              </w:rPr>
              <w:t>固定污染源</w:t>
            </w:r>
          </w:p>
          <w:p w14:paraId="350E9C86">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right="0" w:firstLine="480" w:firstLineChars="200"/>
              <w:textAlignment w:val="auto"/>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本项目主要噪声源为</w:t>
            </w:r>
            <w:r>
              <w:rPr>
                <w:rFonts w:hint="default" w:ascii="Times New Roman" w:hAnsi="Times New Roman" w:eastAsia="宋体" w:cs="Times New Roman"/>
                <w:color w:val="auto"/>
                <w:sz w:val="24"/>
                <w:lang w:val="en-US" w:eastAsia="zh-CN"/>
              </w:rPr>
              <w:t>生产</w:t>
            </w:r>
            <w:r>
              <w:rPr>
                <w:rFonts w:hint="default" w:ascii="Times New Roman" w:hAnsi="Times New Roman" w:eastAsia="宋体" w:cs="Times New Roman"/>
                <w:color w:val="auto"/>
                <w:sz w:val="24"/>
                <w:lang w:val="zh-CN"/>
              </w:rPr>
              <w:t>设备，为了实现噪声达标排放，减轻对周边环境的影响，厂方采用的噪声防治措施包括：合理布置厂区格局，对噪声设备安装减震垫。源强在</w:t>
            </w:r>
            <w:r>
              <w:rPr>
                <w:rFonts w:hint="default" w:ascii="Times New Roman" w:hAnsi="Times New Roman" w:eastAsia="宋体" w:cs="Times New Roman"/>
                <w:color w:val="auto"/>
                <w:sz w:val="24"/>
                <w:lang w:val="en-US" w:eastAsia="zh-CN"/>
              </w:rPr>
              <w:t>75</w:t>
            </w:r>
            <w:r>
              <w:rPr>
                <w:rFonts w:hint="default" w:ascii="Times New Roman" w:hAnsi="Times New Roman" w:eastAsia="宋体" w:cs="Times New Roman"/>
                <w:color w:val="auto"/>
                <w:sz w:val="24"/>
                <w:lang w:val="zh-CN"/>
              </w:rPr>
              <w:t>~</w:t>
            </w:r>
            <w:r>
              <w:rPr>
                <w:rFonts w:hint="default" w:ascii="Times New Roman" w:hAnsi="Times New Roman" w:eastAsia="宋体" w:cs="Times New Roman"/>
                <w:color w:val="auto"/>
                <w:sz w:val="24"/>
                <w:lang w:val="en-US" w:eastAsia="zh-CN"/>
              </w:rPr>
              <w:t>85</w:t>
            </w:r>
            <w:r>
              <w:rPr>
                <w:rFonts w:hint="default" w:ascii="Times New Roman" w:hAnsi="Times New Roman" w:eastAsia="宋体" w:cs="Times New Roman"/>
                <w:color w:val="auto"/>
                <w:sz w:val="24"/>
                <w:lang w:val="zh-CN"/>
              </w:rPr>
              <w:t>dB（A），具体噪声污染源强见表</w:t>
            </w:r>
            <w:r>
              <w:rPr>
                <w:rFonts w:hint="default" w:ascii="Times New Roman" w:hAnsi="Times New Roman" w:eastAsia="宋体" w:cs="Times New Roman"/>
                <w:color w:val="auto"/>
                <w:sz w:val="24"/>
              </w:rPr>
              <w:t>4-</w:t>
            </w:r>
            <w:r>
              <w:rPr>
                <w:rFonts w:hint="eastAsia" w:cs="Times New Roman"/>
                <w:color w:val="auto"/>
                <w:sz w:val="24"/>
                <w:lang w:val="en-US" w:eastAsia="zh-CN"/>
              </w:rPr>
              <w:t>14</w:t>
            </w:r>
            <w:r>
              <w:rPr>
                <w:rFonts w:hint="default" w:ascii="Times New Roman" w:hAnsi="Times New Roman" w:eastAsia="宋体" w:cs="Times New Roman"/>
                <w:color w:val="auto"/>
                <w:sz w:val="24"/>
                <w:lang w:val="zh-CN"/>
              </w:rPr>
              <w:t>。</w:t>
            </w:r>
          </w:p>
          <w:p w14:paraId="77B68EF1">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color w:val="auto"/>
                <w:sz w:val="21"/>
                <w:szCs w:val="21"/>
                <w:lang w:val="zh-CN"/>
              </w:rPr>
              <w:t>表</w:t>
            </w:r>
            <w:r>
              <w:rPr>
                <w:rFonts w:hint="default" w:ascii="Times New Roman" w:hAnsi="Times New Roman" w:eastAsia="宋体" w:cs="Times New Roman"/>
                <w:b/>
                <w:bCs/>
                <w:color w:val="auto"/>
                <w:sz w:val="21"/>
                <w:szCs w:val="21"/>
                <w:lang w:val="en-US" w:eastAsia="zh-CN"/>
              </w:rPr>
              <w:t>4-</w:t>
            </w:r>
            <w:r>
              <w:rPr>
                <w:rFonts w:hint="eastAsia" w:cs="Times New Roman"/>
                <w:b/>
                <w:bCs/>
                <w:color w:val="auto"/>
                <w:sz w:val="21"/>
                <w:szCs w:val="21"/>
                <w:lang w:val="en-US" w:eastAsia="zh-CN"/>
              </w:rPr>
              <w:t>14</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zh-CN"/>
              </w:rPr>
              <w:t>噪声源强情况一览表</w:t>
            </w:r>
          </w:p>
          <w:tbl>
            <w:tblPr>
              <w:tblStyle w:val="2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93"/>
              <w:gridCol w:w="694"/>
              <w:gridCol w:w="696"/>
              <w:gridCol w:w="600"/>
              <w:gridCol w:w="430"/>
              <w:gridCol w:w="625"/>
              <w:gridCol w:w="662"/>
              <w:gridCol w:w="566"/>
              <w:gridCol w:w="632"/>
              <w:gridCol w:w="733"/>
              <w:gridCol w:w="393"/>
              <w:gridCol w:w="865"/>
              <w:gridCol w:w="733"/>
              <w:gridCol w:w="394"/>
            </w:tblGrid>
            <w:tr w14:paraId="29004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233" w:type="pct"/>
                  <w:vMerge w:val="restart"/>
                  <w:shd w:val="clear" w:color="auto" w:fill="auto"/>
                  <w:vAlign w:val="center"/>
                </w:tcPr>
                <w:p w14:paraId="0721B21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序号</w:t>
                  </w:r>
                </w:p>
              </w:tc>
              <w:tc>
                <w:tcPr>
                  <w:tcW w:w="412" w:type="pct"/>
                  <w:vMerge w:val="restart"/>
                  <w:shd w:val="clear" w:color="auto" w:fill="auto"/>
                  <w:vAlign w:val="center"/>
                </w:tcPr>
                <w:p w14:paraId="65C2BD9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建筑物名称</w:t>
                  </w:r>
                </w:p>
              </w:tc>
              <w:tc>
                <w:tcPr>
                  <w:tcW w:w="413" w:type="pct"/>
                  <w:vMerge w:val="restart"/>
                  <w:shd w:val="clear" w:color="auto" w:fill="auto"/>
                  <w:vAlign w:val="center"/>
                </w:tcPr>
                <w:p w14:paraId="4E06D96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声源名称</w:t>
                  </w:r>
                </w:p>
              </w:tc>
              <w:tc>
                <w:tcPr>
                  <w:tcW w:w="356" w:type="pct"/>
                  <w:shd w:val="clear" w:color="auto" w:fill="auto"/>
                  <w:vAlign w:val="center"/>
                </w:tcPr>
                <w:p w14:paraId="4610172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lang w:eastAsia="zh-CN"/>
                    </w:rPr>
                  </w:pPr>
                  <w:r>
                    <w:rPr>
                      <w:rFonts w:hint="default" w:ascii="Times New Roman" w:hAnsi="Times New Roman" w:eastAsia="宋体" w:cs="Times New Roman"/>
                      <w:b/>
                      <w:bCs w:val="0"/>
                      <w:color w:val="auto"/>
                      <w:sz w:val="18"/>
                      <w:szCs w:val="18"/>
                      <w:lang w:eastAsia="zh-CN"/>
                    </w:rPr>
                    <w:t>声源源强</w:t>
                  </w:r>
                </w:p>
              </w:tc>
              <w:tc>
                <w:tcPr>
                  <w:tcW w:w="255" w:type="pct"/>
                  <w:vMerge w:val="restart"/>
                  <w:shd w:val="clear" w:color="auto" w:fill="auto"/>
                  <w:vAlign w:val="center"/>
                </w:tcPr>
                <w:p w14:paraId="5AD4EA1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声源控制措施</w:t>
                  </w:r>
                </w:p>
              </w:tc>
              <w:tc>
                <w:tcPr>
                  <w:tcW w:w="1100" w:type="pct"/>
                  <w:gridSpan w:val="3"/>
                  <w:shd w:val="clear" w:color="auto" w:fill="auto"/>
                  <w:vAlign w:val="center"/>
                </w:tcPr>
                <w:p w14:paraId="30C78D7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空间相对位置/m</w:t>
                  </w:r>
                </w:p>
              </w:tc>
              <w:tc>
                <w:tcPr>
                  <w:tcW w:w="375" w:type="pct"/>
                  <w:vMerge w:val="restart"/>
                  <w:shd w:val="clear" w:color="auto" w:fill="auto"/>
                  <w:vAlign w:val="center"/>
                </w:tcPr>
                <w:p w14:paraId="500FB79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距室内边界距离/m</w:t>
                  </w:r>
                </w:p>
              </w:tc>
              <w:tc>
                <w:tcPr>
                  <w:tcW w:w="435" w:type="pct"/>
                  <w:vMerge w:val="restart"/>
                  <w:shd w:val="clear" w:color="auto" w:fill="auto"/>
                  <w:vAlign w:val="center"/>
                </w:tcPr>
                <w:p w14:paraId="27FD52D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室内边界声级/dB(A)</w:t>
                  </w:r>
                </w:p>
              </w:tc>
              <w:tc>
                <w:tcPr>
                  <w:tcW w:w="233" w:type="pct"/>
                  <w:vMerge w:val="restart"/>
                  <w:shd w:val="clear" w:color="auto" w:fill="auto"/>
                  <w:vAlign w:val="center"/>
                </w:tcPr>
                <w:p w14:paraId="239D4F2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运行时段</w:t>
                  </w:r>
                </w:p>
              </w:tc>
              <w:tc>
                <w:tcPr>
                  <w:tcW w:w="513" w:type="pct"/>
                  <w:vMerge w:val="restart"/>
                  <w:shd w:val="clear" w:color="auto" w:fill="auto"/>
                  <w:vAlign w:val="center"/>
                </w:tcPr>
                <w:p w14:paraId="78A1AA9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建筑物插入损失 / dB(A)</w:t>
                  </w:r>
                  <w:bookmarkStart w:id="11" w:name="PT_10"/>
                  <w:bookmarkEnd w:id="11"/>
                </w:p>
              </w:tc>
              <w:tc>
                <w:tcPr>
                  <w:tcW w:w="669" w:type="pct"/>
                  <w:gridSpan w:val="2"/>
                  <w:shd w:val="clear" w:color="auto" w:fill="auto"/>
                  <w:vAlign w:val="center"/>
                </w:tcPr>
                <w:p w14:paraId="10B3BA9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建筑物外噪声</w:t>
                  </w:r>
                </w:p>
              </w:tc>
            </w:tr>
            <w:tr w14:paraId="16360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vMerge w:val="continue"/>
                  <w:shd w:val="clear" w:color="auto" w:fill="auto"/>
                  <w:vAlign w:val="center"/>
                </w:tcPr>
                <w:p w14:paraId="7B33705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412" w:type="pct"/>
                  <w:vMerge w:val="continue"/>
                  <w:shd w:val="clear" w:color="auto" w:fill="auto"/>
                  <w:vAlign w:val="center"/>
                </w:tcPr>
                <w:p w14:paraId="3B15C7D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413" w:type="pct"/>
                  <w:vMerge w:val="continue"/>
                  <w:shd w:val="clear" w:color="auto" w:fill="auto"/>
                  <w:vAlign w:val="center"/>
                </w:tcPr>
                <w:p w14:paraId="5F93DF7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p>
              </w:tc>
              <w:tc>
                <w:tcPr>
                  <w:tcW w:w="356" w:type="pct"/>
                  <w:shd w:val="clear" w:color="auto" w:fill="auto"/>
                  <w:vAlign w:val="center"/>
                </w:tcPr>
                <w:p w14:paraId="3644701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声功率级/dB(A)</w:t>
                  </w:r>
                </w:p>
              </w:tc>
              <w:tc>
                <w:tcPr>
                  <w:tcW w:w="255" w:type="pct"/>
                  <w:vMerge w:val="continue"/>
                  <w:shd w:val="clear" w:color="auto" w:fill="auto"/>
                  <w:vAlign w:val="center"/>
                </w:tcPr>
                <w:p w14:paraId="568044E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p>
              </w:tc>
              <w:tc>
                <w:tcPr>
                  <w:tcW w:w="371" w:type="pct"/>
                  <w:shd w:val="clear" w:color="auto" w:fill="auto"/>
                  <w:vAlign w:val="center"/>
                </w:tcPr>
                <w:p w14:paraId="2818FDB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X</w:t>
                  </w:r>
                </w:p>
              </w:tc>
              <w:tc>
                <w:tcPr>
                  <w:tcW w:w="393" w:type="pct"/>
                  <w:shd w:val="clear" w:color="auto" w:fill="auto"/>
                  <w:vAlign w:val="center"/>
                </w:tcPr>
                <w:p w14:paraId="1D0548D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Y</w:t>
                  </w:r>
                </w:p>
              </w:tc>
              <w:tc>
                <w:tcPr>
                  <w:tcW w:w="334" w:type="pct"/>
                  <w:shd w:val="clear" w:color="auto" w:fill="auto"/>
                  <w:vAlign w:val="center"/>
                </w:tcPr>
                <w:p w14:paraId="2713CDA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Z</w:t>
                  </w:r>
                </w:p>
              </w:tc>
              <w:tc>
                <w:tcPr>
                  <w:tcW w:w="375" w:type="pct"/>
                  <w:vMerge w:val="continue"/>
                  <w:shd w:val="clear" w:color="auto" w:fill="auto"/>
                  <w:vAlign w:val="center"/>
                </w:tcPr>
                <w:p w14:paraId="3D1053A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lang w:val="en-US" w:eastAsia="zh-CN"/>
                    </w:rPr>
                  </w:pPr>
                </w:p>
              </w:tc>
              <w:tc>
                <w:tcPr>
                  <w:tcW w:w="435" w:type="pct"/>
                  <w:vMerge w:val="continue"/>
                  <w:shd w:val="clear" w:color="auto" w:fill="auto"/>
                  <w:vAlign w:val="center"/>
                </w:tcPr>
                <w:p w14:paraId="7928E9A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lang w:val="en-US" w:eastAsia="zh-CN"/>
                    </w:rPr>
                  </w:pPr>
                </w:p>
              </w:tc>
              <w:tc>
                <w:tcPr>
                  <w:tcW w:w="233" w:type="pct"/>
                  <w:vMerge w:val="continue"/>
                  <w:shd w:val="clear" w:color="auto" w:fill="auto"/>
                  <w:vAlign w:val="center"/>
                </w:tcPr>
                <w:p w14:paraId="4A70E51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p>
              </w:tc>
              <w:tc>
                <w:tcPr>
                  <w:tcW w:w="513" w:type="pct"/>
                  <w:vMerge w:val="continue"/>
                  <w:shd w:val="clear" w:color="auto" w:fill="auto"/>
                  <w:vAlign w:val="center"/>
                </w:tcPr>
                <w:p w14:paraId="4D4487D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p>
              </w:tc>
              <w:tc>
                <w:tcPr>
                  <w:tcW w:w="435" w:type="pct"/>
                  <w:shd w:val="clear" w:color="auto" w:fill="auto"/>
                  <w:vAlign w:val="center"/>
                </w:tcPr>
                <w:p w14:paraId="6DDEBE2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声压级/dB(A)</w:t>
                  </w:r>
                </w:p>
              </w:tc>
              <w:tc>
                <w:tcPr>
                  <w:tcW w:w="233" w:type="pct"/>
                  <w:shd w:val="clear" w:color="auto" w:fill="auto"/>
                  <w:vAlign w:val="center"/>
                </w:tcPr>
                <w:p w14:paraId="55E6708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建筑物外距离</w:t>
                  </w:r>
                </w:p>
              </w:tc>
            </w:tr>
            <w:tr w14:paraId="28E9A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shd w:val="clear" w:color="auto" w:fill="auto"/>
                  <w:vAlign w:val="center"/>
                </w:tcPr>
                <w:p w14:paraId="0B8C604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412" w:type="pct"/>
                  <w:shd w:val="clear" w:color="auto" w:fill="auto"/>
                  <w:vAlign w:val="center"/>
                </w:tcPr>
                <w:p w14:paraId="69EF7E2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3969F45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搅拌机</w:t>
                  </w:r>
                </w:p>
              </w:tc>
              <w:tc>
                <w:tcPr>
                  <w:tcW w:w="356" w:type="pct"/>
                  <w:shd w:val="clear" w:color="auto" w:fill="auto"/>
                  <w:vAlign w:val="center"/>
                </w:tcPr>
                <w:p w14:paraId="33FCC8E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restart"/>
                  <w:shd w:val="clear" w:color="auto" w:fill="auto"/>
                  <w:vAlign w:val="center"/>
                </w:tcPr>
                <w:p w14:paraId="46C5849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厂房隔音、距离衰减基础减震</w:t>
                  </w:r>
                </w:p>
              </w:tc>
              <w:tc>
                <w:tcPr>
                  <w:tcW w:w="371" w:type="pct"/>
                  <w:shd w:val="clear" w:color="auto" w:fill="auto"/>
                  <w:vAlign w:val="center"/>
                </w:tcPr>
                <w:p w14:paraId="7CF5806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-41.6</w:t>
                  </w:r>
                </w:p>
              </w:tc>
              <w:tc>
                <w:tcPr>
                  <w:tcW w:w="393" w:type="pct"/>
                  <w:shd w:val="clear" w:color="auto" w:fill="auto"/>
                  <w:vAlign w:val="center"/>
                </w:tcPr>
                <w:p w14:paraId="126634E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-20.8</w:t>
                  </w:r>
                </w:p>
              </w:tc>
              <w:tc>
                <w:tcPr>
                  <w:tcW w:w="334" w:type="pct"/>
                  <w:shd w:val="clear" w:color="auto" w:fill="auto"/>
                  <w:vAlign w:val="center"/>
                </w:tcPr>
                <w:p w14:paraId="5BC512D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1BD2C1B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10.1</w:t>
                  </w:r>
                </w:p>
              </w:tc>
              <w:tc>
                <w:tcPr>
                  <w:tcW w:w="435" w:type="pct"/>
                  <w:shd w:val="clear" w:color="auto" w:fill="auto"/>
                  <w:vAlign w:val="center"/>
                </w:tcPr>
                <w:p w14:paraId="0256F2A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59.7</w:t>
                  </w:r>
                </w:p>
              </w:tc>
              <w:tc>
                <w:tcPr>
                  <w:tcW w:w="233" w:type="pct"/>
                  <w:shd w:val="clear" w:color="auto" w:fill="auto"/>
                  <w:vAlign w:val="center"/>
                </w:tcPr>
                <w:p w14:paraId="04EDB85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0D5AF19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0C85428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18.7</w:t>
                  </w:r>
                </w:p>
              </w:tc>
              <w:tc>
                <w:tcPr>
                  <w:tcW w:w="233" w:type="pct"/>
                  <w:shd w:val="clear" w:color="auto" w:fill="auto"/>
                  <w:vAlign w:val="center"/>
                </w:tcPr>
                <w:p w14:paraId="19D378F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022BF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shd w:val="clear" w:color="auto" w:fill="auto"/>
                  <w:vAlign w:val="center"/>
                </w:tcPr>
                <w:p w14:paraId="44E60FA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412" w:type="pct"/>
                  <w:shd w:val="clear" w:color="auto" w:fill="auto"/>
                  <w:vAlign w:val="center"/>
                </w:tcPr>
                <w:p w14:paraId="64B6023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1385930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搅拌机</w:t>
                  </w:r>
                </w:p>
              </w:tc>
              <w:tc>
                <w:tcPr>
                  <w:tcW w:w="356" w:type="pct"/>
                  <w:shd w:val="clear" w:color="auto" w:fill="auto"/>
                  <w:vAlign w:val="center"/>
                </w:tcPr>
                <w:p w14:paraId="27AFEBA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continue"/>
                  <w:shd w:val="clear" w:color="auto" w:fill="auto"/>
                  <w:vAlign w:val="center"/>
                </w:tcPr>
                <w:p w14:paraId="51F5202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0F41295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-32.6</w:t>
                  </w:r>
                </w:p>
              </w:tc>
              <w:tc>
                <w:tcPr>
                  <w:tcW w:w="393" w:type="pct"/>
                  <w:shd w:val="clear" w:color="auto" w:fill="auto"/>
                  <w:vAlign w:val="center"/>
                </w:tcPr>
                <w:p w14:paraId="2E3F25E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-24.7</w:t>
                  </w:r>
                </w:p>
              </w:tc>
              <w:tc>
                <w:tcPr>
                  <w:tcW w:w="334" w:type="pct"/>
                  <w:shd w:val="clear" w:color="auto" w:fill="auto"/>
                  <w:vAlign w:val="center"/>
                </w:tcPr>
                <w:p w14:paraId="37291F9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3B5D557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9.1</w:t>
                  </w:r>
                </w:p>
              </w:tc>
              <w:tc>
                <w:tcPr>
                  <w:tcW w:w="435" w:type="pct"/>
                  <w:shd w:val="clear" w:color="auto" w:fill="auto"/>
                  <w:vAlign w:val="center"/>
                </w:tcPr>
                <w:p w14:paraId="130FF25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59.7</w:t>
                  </w:r>
                </w:p>
              </w:tc>
              <w:tc>
                <w:tcPr>
                  <w:tcW w:w="233" w:type="pct"/>
                  <w:shd w:val="clear" w:color="auto" w:fill="auto"/>
                  <w:vAlign w:val="center"/>
                </w:tcPr>
                <w:p w14:paraId="4F47F38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674B4D8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3128CE9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18.7</w:t>
                  </w:r>
                </w:p>
              </w:tc>
              <w:tc>
                <w:tcPr>
                  <w:tcW w:w="233" w:type="pct"/>
                  <w:shd w:val="clear" w:color="auto" w:fill="auto"/>
                  <w:vAlign w:val="center"/>
                </w:tcPr>
                <w:p w14:paraId="62CC005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23E97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shd w:val="clear" w:color="auto" w:fill="auto"/>
                  <w:vAlign w:val="center"/>
                </w:tcPr>
                <w:p w14:paraId="6FE9BF8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412" w:type="pct"/>
                  <w:shd w:val="clear" w:color="auto" w:fill="auto"/>
                  <w:vAlign w:val="center"/>
                </w:tcPr>
                <w:p w14:paraId="100D905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3399B09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搅拌机</w:t>
                  </w:r>
                </w:p>
              </w:tc>
              <w:tc>
                <w:tcPr>
                  <w:tcW w:w="356" w:type="pct"/>
                  <w:shd w:val="clear" w:color="auto" w:fill="auto"/>
                  <w:vAlign w:val="center"/>
                </w:tcPr>
                <w:p w14:paraId="7104E65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continue"/>
                  <w:shd w:val="clear" w:color="auto" w:fill="auto"/>
                  <w:vAlign w:val="center"/>
                </w:tcPr>
                <w:p w14:paraId="29C5BD1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09C5AAC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-28.2</w:t>
                  </w:r>
                </w:p>
              </w:tc>
              <w:tc>
                <w:tcPr>
                  <w:tcW w:w="393" w:type="pct"/>
                  <w:shd w:val="clear" w:color="auto" w:fill="auto"/>
                  <w:vAlign w:val="center"/>
                </w:tcPr>
                <w:p w14:paraId="07A297F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-13.9</w:t>
                  </w:r>
                </w:p>
              </w:tc>
              <w:tc>
                <w:tcPr>
                  <w:tcW w:w="334" w:type="pct"/>
                  <w:shd w:val="clear" w:color="auto" w:fill="auto"/>
                  <w:vAlign w:val="center"/>
                </w:tcPr>
                <w:p w14:paraId="41F1C44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48BBC93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20.7</w:t>
                  </w:r>
                </w:p>
              </w:tc>
              <w:tc>
                <w:tcPr>
                  <w:tcW w:w="435" w:type="pct"/>
                  <w:shd w:val="clear" w:color="auto" w:fill="auto"/>
                  <w:vAlign w:val="center"/>
                </w:tcPr>
                <w:p w14:paraId="72435EC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59.6</w:t>
                  </w:r>
                </w:p>
              </w:tc>
              <w:tc>
                <w:tcPr>
                  <w:tcW w:w="233" w:type="pct"/>
                  <w:shd w:val="clear" w:color="auto" w:fill="auto"/>
                  <w:vAlign w:val="center"/>
                </w:tcPr>
                <w:p w14:paraId="7711A97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3618DA3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43CEFF0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18.6</w:t>
                  </w:r>
                </w:p>
              </w:tc>
              <w:tc>
                <w:tcPr>
                  <w:tcW w:w="233" w:type="pct"/>
                  <w:shd w:val="clear" w:color="auto" w:fill="auto"/>
                  <w:vAlign w:val="center"/>
                </w:tcPr>
                <w:p w14:paraId="7B95CFC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26889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shd w:val="clear" w:color="auto" w:fill="auto"/>
                  <w:vAlign w:val="center"/>
                </w:tcPr>
                <w:p w14:paraId="6A6B7DB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412" w:type="pct"/>
                  <w:shd w:val="clear" w:color="auto" w:fill="auto"/>
                  <w:vAlign w:val="center"/>
                </w:tcPr>
                <w:p w14:paraId="54D5988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185852D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空气压缩机</w:t>
                  </w:r>
                </w:p>
              </w:tc>
              <w:tc>
                <w:tcPr>
                  <w:tcW w:w="356" w:type="pct"/>
                  <w:shd w:val="clear" w:color="auto" w:fill="auto"/>
                  <w:vAlign w:val="center"/>
                </w:tcPr>
                <w:p w14:paraId="2EF87EB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85</w:t>
                  </w:r>
                </w:p>
              </w:tc>
              <w:tc>
                <w:tcPr>
                  <w:tcW w:w="255" w:type="pct"/>
                  <w:vMerge w:val="continue"/>
                  <w:shd w:val="clear" w:color="auto" w:fill="auto"/>
                  <w:vAlign w:val="center"/>
                </w:tcPr>
                <w:p w14:paraId="056731F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5E8A674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-39.5</w:t>
                  </w:r>
                </w:p>
              </w:tc>
              <w:tc>
                <w:tcPr>
                  <w:tcW w:w="393" w:type="pct"/>
                  <w:shd w:val="clear" w:color="auto" w:fill="auto"/>
                  <w:vAlign w:val="center"/>
                </w:tcPr>
                <w:p w14:paraId="07D43A3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334" w:type="pct"/>
                  <w:shd w:val="clear" w:color="auto" w:fill="auto"/>
                  <w:vAlign w:val="center"/>
                </w:tcPr>
                <w:p w14:paraId="5D87795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0C2BE93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13.8</w:t>
                  </w:r>
                </w:p>
              </w:tc>
              <w:tc>
                <w:tcPr>
                  <w:tcW w:w="435" w:type="pct"/>
                  <w:shd w:val="clear" w:color="auto" w:fill="auto"/>
                  <w:vAlign w:val="center"/>
                </w:tcPr>
                <w:p w14:paraId="3D742F5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69.6</w:t>
                  </w:r>
                </w:p>
              </w:tc>
              <w:tc>
                <w:tcPr>
                  <w:tcW w:w="233" w:type="pct"/>
                  <w:shd w:val="clear" w:color="auto" w:fill="auto"/>
                  <w:vAlign w:val="center"/>
                </w:tcPr>
                <w:p w14:paraId="66B280F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7932413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7926F99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28.6</w:t>
                  </w:r>
                </w:p>
              </w:tc>
              <w:tc>
                <w:tcPr>
                  <w:tcW w:w="233" w:type="pct"/>
                  <w:shd w:val="clear" w:color="auto" w:fill="auto"/>
                  <w:vAlign w:val="center"/>
                </w:tcPr>
                <w:p w14:paraId="6FE5D61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21404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shd w:val="clear" w:color="auto" w:fill="auto"/>
                  <w:vAlign w:val="center"/>
                </w:tcPr>
                <w:p w14:paraId="6931C54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412" w:type="pct"/>
                  <w:shd w:val="clear" w:color="auto" w:fill="auto"/>
                  <w:vAlign w:val="center"/>
                </w:tcPr>
                <w:p w14:paraId="7800346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312D679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空气压缩机</w:t>
                  </w:r>
                </w:p>
              </w:tc>
              <w:tc>
                <w:tcPr>
                  <w:tcW w:w="356" w:type="pct"/>
                  <w:shd w:val="clear" w:color="auto" w:fill="auto"/>
                  <w:vAlign w:val="center"/>
                </w:tcPr>
                <w:p w14:paraId="6C28617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85</w:t>
                  </w:r>
                </w:p>
              </w:tc>
              <w:tc>
                <w:tcPr>
                  <w:tcW w:w="255" w:type="pct"/>
                  <w:vMerge w:val="continue"/>
                  <w:shd w:val="clear" w:color="auto" w:fill="auto"/>
                  <w:vAlign w:val="center"/>
                </w:tcPr>
                <w:p w14:paraId="3B176F6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288169F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-21.8</w:t>
                  </w:r>
                </w:p>
              </w:tc>
              <w:tc>
                <w:tcPr>
                  <w:tcW w:w="393" w:type="pct"/>
                  <w:shd w:val="clear" w:color="auto" w:fill="auto"/>
                  <w:vAlign w:val="center"/>
                </w:tcPr>
                <w:p w14:paraId="0367712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-29.4</w:t>
                  </w:r>
                </w:p>
              </w:tc>
              <w:tc>
                <w:tcPr>
                  <w:tcW w:w="334" w:type="pct"/>
                  <w:shd w:val="clear" w:color="auto" w:fill="auto"/>
                  <w:vAlign w:val="center"/>
                </w:tcPr>
                <w:p w14:paraId="1C4B0AA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2F89274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7.9</w:t>
                  </w:r>
                </w:p>
              </w:tc>
              <w:tc>
                <w:tcPr>
                  <w:tcW w:w="435" w:type="pct"/>
                  <w:shd w:val="clear" w:color="auto" w:fill="auto"/>
                  <w:vAlign w:val="center"/>
                </w:tcPr>
                <w:p w14:paraId="2BCF776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69.7</w:t>
                  </w:r>
                </w:p>
              </w:tc>
              <w:tc>
                <w:tcPr>
                  <w:tcW w:w="233" w:type="pct"/>
                  <w:shd w:val="clear" w:color="auto" w:fill="auto"/>
                  <w:vAlign w:val="center"/>
                </w:tcPr>
                <w:p w14:paraId="469BAD2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5DDB401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36809F7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28.7</w:t>
                  </w:r>
                </w:p>
              </w:tc>
              <w:tc>
                <w:tcPr>
                  <w:tcW w:w="233" w:type="pct"/>
                  <w:shd w:val="clear" w:color="auto" w:fill="auto"/>
                  <w:vAlign w:val="center"/>
                </w:tcPr>
                <w:p w14:paraId="067B73C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59EBC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3" w:type="pct"/>
                  <w:shd w:val="clear" w:color="auto" w:fill="auto"/>
                  <w:vAlign w:val="center"/>
                </w:tcPr>
                <w:p w14:paraId="2DA9C50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c>
                <w:tcPr>
                  <w:tcW w:w="412" w:type="pct"/>
                  <w:shd w:val="clear" w:color="auto" w:fill="auto"/>
                  <w:vAlign w:val="center"/>
                </w:tcPr>
                <w:p w14:paraId="5F71401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6ED7C1E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空气压缩机</w:t>
                  </w:r>
                </w:p>
              </w:tc>
              <w:tc>
                <w:tcPr>
                  <w:tcW w:w="356" w:type="pct"/>
                  <w:shd w:val="clear" w:color="auto" w:fill="auto"/>
                  <w:vAlign w:val="center"/>
                </w:tcPr>
                <w:p w14:paraId="48A2604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85</w:t>
                  </w:r>
                </w:p>
              </w:tc>
              <w:tc>
                <w:tcPr>
                  <w:tcW w:w="255" w:type="pct"/>
                  <w:vMerge w:val="continue"/>
                  <w:shd w:val="clear" w:color="auto" w:fill="auto"/>
                  <w:vAlign w:val="center"/>
                </w:tcPr>
                <w:p w14:paraId="4B41FA5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39AB354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-17.9</w:t>
                  </w:r>
                </w:p>
              </w:tc>
              <w:tc>
                <w:tcPr>
                  <w:tcW w:w="393" w:type="pct"/>
                  <w:shd w:val="clear" w:color="auto" w:fill="auto"/>
                  <w:vAlign w:val="center"/>
                </w:tcPr>
                <w:p w14:paraId="2CF6349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-20.8</w:t>
                  </w:r>
                </w:p>
              </w:tc>
              <w:tc>
                <w:tcPr>
                  <w:tcW w:w="334" w:type="pct"/>
                  <w:shd w:val="clear" w:color="auto" w:fill="auto"/>
                  <w:vAlign w:val="center"/>
                </w:tcPr>
                <w:p w14:paraId="2233589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1BBCCB4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17.2</w:t>
                  </w:r>
                </w:p>
              </w:tc>
              <w:tc>
                <w:tcPr>
                  <w:tcW w:w="435" w:type="pct"/>
                  <w:shd w:val="clear" w:color="auto" w:fill="auto"/>
                  <w:vAlign w:val="center"/>
                </w:tcPr>
                <w:p w14:paraId="53DDC78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69.6</w:t>
                  </w:r>
                </w:p>
              </w:tc>
              <w:tc>
                <w:tcPr>
                  <w:tcW w:w="233" w:type="pct"/>
                  <w:shd w:val="clear" w:color="auto" w:fill="auto"/>
                  <w:vAlign w:val="center"/>
                </w:tcPr>
                <w:p w14:paraId="3C65449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5CBF641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26700B1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28.6</w:t>
                  </w:r>
                </w:p>
              </w:tc>
              <w:tc>
                <w:tcPr>
                  <w:tcW w:w="233" w:type="pct"/>
                  <w:shd w:val="clear" w:color="auto" w:fill="auto"/>
                  <w:vAlign w:val="center"/>
                </w:tcPr>
                <w:p w14:paraId="689F30D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0F478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shd w:val="clear" w:color="auto" w:fill="auto"/>
                  <w:vAlign w:val="center"/>
                </w:tcPr>
                <w:p w14:paraId="353C1BF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w:t>
                  </w:r>
                </w:p>
              </w:tc>
              <w:tc>
                <w:tcPr>
                  <w:tcW w:w="412" w:type="pct"/>
                  <w:shd w:val="clear" w:color="auto" w:fill="auto"/>
                  <w:vAlign w:val="center"/>
                </w:tcPr>
                <w:p w14:paraId="305DDD4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684E363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空气压缩机</w:t>
                  </w:r>
                </w:p>
              </w:tc>
              <w:tc>
                <w:tcPr>
                  <w:tcW w:w="356" w:type="pct"/>
                  <w:shd w:val="clear" w:color="auto" w:fill="auto"/>
                  <w:vAlign w:val="center"/>
                </w:tcPr>
                <w:p w14:paraId="53BA05F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85</w:t>
                  </w:r>
                </w:p>
              </w:tc>
              <w:tc>
                <w:tcPr>
                  <w:tcW w:w="255" w:type="pct"/>
                  <w:vMerge w:val="continue"/>
                  <w:shd w:val="clear" w:color="auto" w:fill="auto"/>
                  <w:vAlign w:val="center"/>
                </w:tcPr>
                <w:p w14:paraId="749C37B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3BF958F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-33.9</w:t>
                  </w:r>
                </w:p>
              </w:tc>
              <w:tc>
                <w:tcPr>
                  <w:tcW w:w="393" w:type="pct"/>
                  <w:shd w:val="clear" w:color="auto" w:fill="auto"/>
                  <w:vAlign w:val="center"/>
                </w:tcPr>
                <w:p w14:paraId="505480F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-17.1</w:t>
                  </w:r>
                </w:p>
              </w:tc>
              <w:tc>
                <w:tcPr>
                  <w:tcW w:w="334" w:type="pct"/>
                  <w:shd w:val="clear" w:color="auto" w:fill="auto"/>
                  <w:vAlign w:val="center"/>
                </w:tcPr>
                <w:p w14:paraId="6C25171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7275913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16.0</w:t>
                  </w:r>
                </w:p>
              </w:tc>
              <w:tc>
                <w:tcPr>
                  <w:tcW w:w="435" w:type="pct"/>
                  <w:shd w:val="clear" w:color="auto" w:fill="auto"/>
                  <w:vAlign w:val="center"/>
                </w:tcPr>
                <w:p w14:paraId="2E7CEB6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69.6</w:t>
                  </w:r>
                </w:p>
              </w:tc>
              <w:tc>
                <w:tcPr>
                  <w:tcW w:w="233" w:type="pct"/>
                  <w:shd w:val="clear" w:color="auto" w:fill="auto"/>
                  <w:vAlign w:val="center"/>
                </w:tcPr>
                <w:p w14:paraId="69F89F9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746BF8C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31CE212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28.6</w:t>
                  </w:r>
                </w:p>
              </w:tc>
              <w:tc>
                <w:tcPr>
                  <w:tcW w:w="233" w:type="pct"/>
                  <w:shd w:val="clear" w:color="auto" w:fill="auto"/>
                  <w:vAlign w:val="center"/>
                </w:tcPr>
                <w:p w14:paraId="7CC5B07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3EDFC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shd w:val="clear" w:color="auto" w:fill="auto"/>
                  <w:vAlign w:val="center"/>
                </w:tcPr>
                <w:p w14:paraId="3654A5F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w:t>
                  </w:r>
                </w:p>
              </w:tc>
              <w:tc>
                <w:tcPr>
                  <w:tcW w:w="412" w:type="pct"/>
                  <w:shd w:val="clear" w:color="auto" w:fill="auto"/>
                  <w:vAlign w:val="center"/>
                </w:tcPr>
                <w:p w14:paraId="2910BE1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3D0C3E2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冷冻式干燥机</w:t>
                  </w:r>
                </w:p>
              </w:tc>
              <w:tc>
                <w:tcPr>
                  <w:tcW w:w="356" w:type="pct"/>
                  <w:shd w:val="clear" w:color="auto" w:fill="auto"/>
                  <w:vAlign w:val="center"/>
                </w:tcPr>
                <w:p w14:paraId="191F357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80</w:t>
                  </w:r>
                </w:p>
              </w:tc>
              <w:tc>
                <w:tcPr>
                  <w:tcW w:w="255" w:type="pct"/>
                  <w:vMerge w:val="continue"/>
                  <w:shd w:val="clear" w:color="auto" w:fill="auto"/>
                  <w:vAlign w:val="center"/>
                </w:tcPr>
                <w:p w14:paraId="331878E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0ECE359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-26.1</w:t>
                  </w:r>
                </w:p>
              </w:tc>
              <w:tc>
                <w:tcPr>
                  <w:tcW w:w="393" w:type="pct"/>
                  <w:shd w:val="clear" w:color="auto" w:fill="auto"/>
                  <w:vAlign w:val="center"/>
                </w:tcPr>
                <w:p w14:paraId="3D16BEF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-23.4</w:t>
                  </w:r>
                </w:p>
              </w:tc>
              <w:tc>
                <w:tcPr>
                  <w:tcW w:w="334" w:type="pct"/>
                  <w:shd w:val="clear" w:color="auto" w:fill="auto"/>
                  <w:vAlign w:val="center"/>
                </w:tcPr>
                <w:p w14:paraId="04EDA49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6AE6CE8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12.3</w:t>
                  </w:r>
                </w:p>
              </w:tc>
              <w:tc>
                <w:tcPr>
                  <w:tcW w:w="435" w:type="pct"/>
                  <w:shd w:val="clear" w:color="auto" w:fill="auto"/>
                  <w:vAlign w:val="center"/>
                </w:tcPr>
                <w:p w14:paraId="5C2837C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64.6</w:t>
                  </w:r>
                </w:p>
              </w:tc>
              <w:tc>
                <w:tcPr>
                  <w:tcW w:w="233" w:type="pct"/>
                  <w:shd w:val="clear" w:color="auto" w:fill="auto"/>
                  <w:vAlign w:val="center"/>
                </w:tcPr>
                <w:p w14:paraId="6725ECE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6FC3EE6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52F6170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23.6</w:t>
                  </w:r>
                </w:p>
              </w:tc>
              <w:tc>
                <w:tcPr>
                  <w:tcW w:w="233" w:type="pct"/>
                  <w:shd w:val="clear" w:color="auto" w:fill="auto"/>
                  <w:vAlign w:val="center"/>
                </w:tcPr>
                <w:p w14:paraId="26F1F81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7818B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shd w:val="clear" w:color="auto" w:fill="auto"/>
                  <w:vAlign w:val="center"/>
                </w:tcPr>
                <w:p w14:paraId="161080C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w:t>
                  </w:r>
                </w:p>
              </w:tc>
              <w:tc>
                <w:tcPr>
                  <w:tcW w:w="412" w:type="pct"/>
                  <w:shd w:val="clear" w:color="auto" w:fill="auto"/>
                  <w:vAlign w:val="center"/>
                </w:tcPr>
                <w:p w14:paraId="169F275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098EDE6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工艺水泵</w:t>
                  </w:r>
                </w:p>
              </w:tc>
              <w:tc>
                <w:tcPr>
                  <w:tcW w:w="356" w:type="pct"/>
                  <w:shd w:val="clear" w:color="auto" w:fill="auto"/>
                  <w:vAlign w:val="center"/>
                </w:tcPr>
                <w:p w14:paraId="25862D9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continue"/>
                  <w:shd w:val="clear" w:color="auto" w:fill="auto"/>
                  <w:vAlign w:val="center"/>
                </w:tcPr>
                <w:p w14:paraId="704463A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34B8F30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-36.4</w:t>
                  </w:r>
                </w:p>
              </w:tc>
              <w:tc>
                <w:tcPr>
                  <w:tcW w:w="393" w:type="pct"/>
                  <w:shd w:val="clear" w:color="auto" w:fill="auto"/>
                  <w:vAlign w:val="center"/>
                </w:tcPr>
                <w:p w14:paraId="4D1871D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-21.6</w:t>
                  </w:r>
                </w:p>
              </w:tc>
              <w:tc>
                <w:tcPr>
                  <w:tcW w:w="334" w:type="pct"/>
                  <w:shd w:val="clear" w:color="auto" w:fill="auto"/>
                  <w:vAlign w:val="center"/>
                </w:tcPr>
                <w:p w14:paraId="13B6A89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7C696F2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10.9</w:t>
                  </w:r>
                </w:p>
              </w:tc>
              <w:tc>
                <w:tcPr>
                  <w:tcW w:w="435" w:type="pct"/>
                  <w:shd w:val="clear" w:color="auto" w:fill="auto"/>
                  <w:vAlign w:val="center"/>
                </w:tcPr>
                <w:p w14:paraId="654BECB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59.7</w:t>
                  </w:r>
                </w:p>
              </w:tc>
              <w:tc>
                <w:tcPr>
                  <w:tcW w:w="233" w:type="pct"/>
                  <w:shd w:val="clear" w:color="auto" w:fill="auto"/>
                  <w:vAlign w:val="center"/>
                </w:tcPr>
                <w:p w14:paraId="3777EE7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2E90D0E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21E5691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18.7</w:t>
                  </w:r>
                </w:p>
              </w:tc>
              <w:tc>
                <w:tcPr>
                  <w:tcW w:w="233" w:type="pct"/>
                  <w:shd w:val="clear" w:color="auto" w:fill="auto"/>
                  <w:vAlign w:val="center"/>
                </w:tcPr>
                <w:p w14:paraId="3DDC44D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57694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shd w:val="clear" w:color="auto" w:fill="auto"/>
                  <w:vAlign w:val="center"/>
                </w:tcPr>
                <w:p w14:paraId="67FFE18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412" w:type="pct"/>
                  <w:shd w:val="clear" w:color="auto" w:fill="auto"/>
                  <w:vAlign w:val="center"/>
                </w:tcPr>
                <w:p w14:paraId="3D9EC58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688918F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工艺水泵</w:t>
                  </w:r>
                </w:p>
              </w:tc>
              <w:tc>
                <w:tcPr>
                  <w:tcW w:w="356" w:type="pct"/>
                  <w:shd w:val="clear" w:color="auto" w:fill="auto"/>
                  <w:vAlign w:val="center"/>
                </w:tcPr>
                <w:p w14:paraId="3AC8798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continue"/>
                  <w:shd w:val="clear" w:color="auto" w:fill="auto"/>
                  <w:vAlign w:val="center"/>
                </w:tcPr>
                <w:p w14:paraId="0A10DFB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57789EE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-35.6</w:t>
                  </w:r>
                </w:p>
              </w:tc>
              <w:tc>
                <w:tcPr>
                  <w:tcW w:w="393" w:type="pct"/>
                  <w:shd w:val="clear" w:color="auto" w:fill="auto"/>
                  <w:vAlign w:val="center"/>
                </w:tcPr>
                <w:p w14:paraId="123C494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-12.1</w:t>
                  </w:r>
                </w:p>
              </w:tc>
              <w:tc>
                <w:tcPr>
                  <w:tcW w:w="334" w:type="pct"/>
                  <w:shd w:val="clear" w:color="auto" w:fill="auto"/>
                  <w:vAlign w:val="center"/>
                </w:tcPr>
                <w:p w14:paraId="7CC10E0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1B65BB4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18.2</w:t>
                  </w:r>
                </w:p>
              </w:tc>
              <w:tc>
                <w:tcPr>
                  <w:tcW w:w="435" w:type="pct"/>
                  <w:shd w:val="clear" w:color="auto" w:fill="auto"/>
                  <w:vAlign w:val="center"/>
                </w:tcPr>
                <w:p w14:paraId="78F2D88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59.6</w:t>
                  </w:r>
                </w:p>
              </w:tc>
              <w:tc>
                <w:tcPr>
                  <w:tcW w:w="233" w:type="pct"/>
                  <w:shd w:val="clear" w:color="auto" w:fill="auto"/>
                  <w:vAlign w:val="center"/>
                </w:tcPr>
                <w:p w14:paraId="337F03A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2B2A5DA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4780135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18.6</w:t>
                  </w:r>
                </w:p>
              </w:tc>
              <w:tc>
                <w:tcPr>
                  <w:tcW w:w="233" w:type="pct"/>
                  <w:shd w:val="clear" w:color="auto" w:fill="auto"/>
                  <w:vAlign w:val="center"/>
                </w:tcPr>
                <w:p w14:paraId="70998DA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5AEB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233" w:type="pct"/>
                  <w:shd w:val="clear" w:color="auto" w:fill="auto"/>
                  <w:vAlign w:val="center"/>
                </w:tcPr>
                <w:p w14:paraId="3D6404C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w:t>
                  </w:r>
                </w:p>
              </w:tc>
              <w:tc>
                <w:tcPr>
                  <w:tcW w:w="412" w:type="pct"/>
                  <w:shd w:val="clear" w:color="auto" w:fill="auto"/>
                  <w:vAlign w:val="center"/>
                </w:tcPr>
                <w:p w14:paraId="49E71F6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45D0DFC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高压水泵</w:t>
                  </w:r>
                </w:p>
              </w:tc>
              <w:tc>
                <w:tcPr>
                  <w:tcW w:w="356" w:type="pct"/>
                  <w:shd w:val="clear" w:color="auto" w:fill="auto"/>
                  <w:vAlign w:val="center"/>
                </w:tcPr>
                <w:p w14:paraId="15C1873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continue"/>
                  <w:shd w:val="clear" w:color="auto" w:fill="auto"/>
                  <w:vAlign w:val="center"/>
                </w:tcPr>
                <w:p w14:paraId="3DEC8BF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45C9106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-39.9</w:t>
                  </w:r>
                </w:p>
              </w:tc>
              <w:tc>
                <w:tcPr>
                  <w:tcW w:w="393" w:type="pct"/>
                  <w:shd w:val="clear" w:color="auto" w:fill="auto"/>
                  <w:vAlign w:val="center"/>
                </w:tcPr>
                <w:p w14:paraId="2FBCC54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-16.9</w:t>
                  </w:r>
                </w:p>
              </w:tc>
              <w:tc>
                <w:tcPr>
                  <w:tcW w:w="334" w:type="pct"/>
                  <w:shd w:val="clear" w:color="auto" w:fill="auto"/>
                  <w:vAlign w:val="center"/>
                </w:tcPr>
                <w:p w14:paraId="62DA9B0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6FE1CB7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14.4</w:t>
                  </w:r>
                </w:p>
              </w:tc>
              <w:tc>
                <w:tcPr>
                  <w:tcW w:w="435" w:type="pct"/>
                  <w:shd w:val="clear" w:color="auto" w:fill="auto"/>
                  <w:vAlign w:val="center"/>
                </w:tcPr>
                <w:p w14:paraId="4289C31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59.6</w:t>
                  </w:r>
                </w:p>
              </w:tc>
              <w:tc>
                <w:tcPr>
                  <w:tcW w:w="233" w:type="pct"/>
                  <w:shd w:val="clear" w:color="auto" w:fill="auto"/>
                  <w:vAlign w:val="center"/>
                </w:tcPr>
                <w:p w14:paraId="3073FF5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3588376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0E8DEDD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18.6</w:t>
                  </w:r>
                </w:p>
              </w:tc>
              <w:tc>
                <w:tcPr>
                  <w:tcW w:w="233" w:type="pct"/>
                  <w:shd w:val="clear" w:color="auto" w:fill="auto"/>
                  <w:vAlign w:val="center"/>
                </w:tcPr>
                <w:p w14:paraId="0ED94EE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433DC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shd w:val="clear" w:color="auto" w:fill="auto"/>
                  <w:vAlign w:val="center"/>
                </w:tcPr>
                <w:p w14:paraId="3C7C870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412" w:type="pct"/>
                  <w:shd w:val="clear" w:color="auto" w:fill="auto"/>
                  <w:vAlign w:val="center"/>
                </w:tcPr>
                <w:p w14:paraId="0DC3B8D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1DB1207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搅拌机</w:t>
                  </w:r>
                </w:p>
              </w:tc>
              <w:tc>
                <w:tcPr>
                  <w:tcW w:w="356" w:type="pct"/>
                  <w:shd w:val="clear" w:color="auto" w:fill="auto"/>
                  <w:vAlign w:val="center"/>
                </w:tcPr>
                <w:p w14:paraId="115D0A7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continue"/>
                  <w:shd w:val="clear" w:color="auto" w:fill="auto"/>
                  <w:vAlign w:val="center"/>
                </w:tcPr>
                <w:p w14:paraId="6D97E6A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161B26C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-32.6</w:t>
                  </w:r>
                </w:p>
              </w:tc>
              <w:tc>
                <w:tcPr>
                  <w:tcW w:w="393" w:type="pct"/>
                  <w:shd w:val="clear" w:color="auto" w:fill="auto"/>
                  <w:vAlign w:val="center"/>
                </w:tcPr>
                <w:p w14:paraId="0B8A3D8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w:t>
                  </w:r>
                </w:p>
              </w:tc>
              <w:tc>
                <w:tcPr>
                  <w:tcW w:w="334" w:type="pct"/>
                  <w:shd w:val="clear" w:color="auto" w:fill="auto"/>
                  <w:vAlign w:val="center"/>
                </w:tcPr>
                <w:p w14:paraId="5F32553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04BC3A6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14.9</w:t>
                  </w:r>
                </w:p>
              </w:tc>
              <w:tc>
                <w:tcPr>
                  <w:tcW w:w="435" w:type="pct"/>
                  <w:shd w:val="clear" w:color="auto" w:fill="auto"/>
                  <w:vAlign w:val="center"/>
                </w:tcPr>
                <w:p w14:paraId="78AB135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59.6</w:t>
                  </w:r>
                </w:p>
              </w:tc>
              <w:tc>
                <w:tcPr>
                  <w:tcW w:w="233" w:type="pct"/>
                  <w:shd w:val="clear" w:color="auto" w:fill="auto"/>
                  <w:vAlign w:val="center"/>
                </w:tcPr>
                <w:p w14:paraId="469B0AD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61D023D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1C0613E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18.6</w:t>
                  </w:r>
                </w:p>
              </w:tc>
              <w:tc>
                <w:tcPr>
                  <w:tcW w:w="233" w:type="pct"/>
                  <w:shd w:val="clear" w:color="auto" w:fill="auto"/>
                  <w:vAlign w:val="center"/>
                </w:tcPr>
                <w:p w14:paraId="1C37B8F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3DD1C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3" w:type="pct"/>
                  <w:shd w:val="clear" w:color="auto" w:fill="auto"/>
                  <w:vAlign w:val="center"/>
                </w:tcPr>
                <w:p w14:paraId="7734B05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13</w:t>
                  </w:r>
                </w:p>
              </w:tc>
              <w:tc>
                <w:tcPr>
                  <w:tcW w:w="412" w:type="pct"/>
                  <w:shd w:val="clear" w:color="auto" w:fill="auto"/>
                  <w:vAlign w:val="center"/>
                </w:tcPr>
                <w:p w14:paraId="35FA523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518722D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搅拌机</w:t>
                  </w:r>
                </w:p>
              </w:tc>
              <w:tc>
                <w:tcPr>
                  <w:tcW w:w="356" w:type="pct"/>
                  <w:shd w:val="clear" w:color="auto" w:fill="auto"/>
                  <w:vAlign w:val="center"/>
                </w:tcPr>
                <w:p w14:paraId="497CCE2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continue"/>
                  <w:shd w:val="clear" w:color="auto" w:fill="auto"/>
                  <w:vAlign w:val="center"/>
                </w:tcPr>
                <w:p w14:paraId="5179404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5B7B561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-30.8</w:t>
                  </w:r>
                </w:p>
              </w:tc>
              <w:tc>
                <w:tcPr>
                  <w:tcW w:w="393" w:type="pct"/>
                  <w:shd w:val="clear" w:color="auto" w:fill="auto"/>
                  <w:vAlign w:val="center"/>
                </w:tcPr>
                <w:p w14:paraId="36AAE45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17.2</w:t>
                  </w:r>
                </w:p>
              </w:tc>
              <w:tc>
                <w:tcPr>
                  <w:tcW w:w="334" w:type="pct"/>
                  <w:shd w:val="clear" w:color="auto" w:fill="auto"/>
                  <w:vAlign w:val="center"/>
                </w:tcPr>
                <w:p w14:paraId="3B84983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446D806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14.2</w:t>
                  </w:r>
                </w:p>
              </w:tc>
              <w:tc>
                <w:tcPr>
                  <w:tcW w:w="435" w:type="pct"/>
                  <w:shd w:val="clear" w:color="auto" w:fill="auto"/>
                  <w:vAlign w:val="center"/>
                </w:tcPr>
                <w:p w14:paraId="77057BF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59.6</w:t>
                  </w:r>
                </w:p>
              </w:tc>
              <w:tc>
                <w:tcPr>
                  <w:tcW w:w="233" w:type="pct"/>
                  <w:shd w:val="clear" w:color="auto" w:fill="auto"/>
                  <w:vAlign w:val="center"/>
                </w:tcPr>
                <w:p w14:paraId="271F4EB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0F328EA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5ED9EFC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18.6</w:t>
                  </w:r>
                </w:p>
              </w:tc>
              <w:tc>
                <w:tcPr>
                  <w:tcW w:w="233" w:type="pct"/>
                  <w:shd w:val="clear" w:color="auto" w:fill="auto"/>
                  <w:vAlign w:val="center"/>
                </w:tcPr>
                <w:p w14:paraId="6A92B32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01E7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33" w:type="pct"/>
                  <w:shd w:val="clear" w:color="auto" w:fill="auto"/>
                  <w:vAlign w:val="center"/>
                </w:tcPr>
                <w:p w14:paraId="5A90B1A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w:t>
                  </w:r>
                </w:p>
              </w:tc>
              <w:tc>
                <w:tcPr>
                  <w:tcW w:w="412" w:type="pct"/>
                  <w:shd w:val="clear" w:color="auto" w:fill="auto"/>
                  <w:vAlign w:val="center"/>
                </w:tcPr>
                <w:p w14:paraId="43ECEEB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4042FFD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搅拌机</w:t>
                  </w:r>
                </w:p>
              </w:tc>
              <w:tc>
                <w:tcPr>
                  <w:tcW w:w="356" w:type="pct"/>
                  <w:shd w:val="clear" w:color="auto" w:fill="auto"/>
                  <w:vAlign w:val="center"/>
                </w:tcPr>
                <w:p w14:paraId="73AFE23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continue"/>
                  <w:shd w:val="clear" w:color="auto" w:fill="auto"/>
                  <w:vAlign w:val="center"/>
                </w:tcPr>
                <w:p w14:paraId="44918C5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4E939C4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-28.7</w:t>
                  </w:r>
                </w:p>
              </w:tc>
              <w:tc>
                <w:tcPr>
                  <w:tcW w:w="393" w:type="pct"/>
                  <w:shd w:val="clear" w:color="auto" w:fill="auto"/>
                  <w:vAlign w:val="center"/>
                </w:tcPr>
                <w:p w14:paraId="643D43D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24.1</w:t>
                  </w:r>
                </w:p>
              </w:tc>
              <w:tc>
                <w:tcPr>
                  <w:tcW w:w="334" w:type="pct"/>
                  <w:shd w:val="clear" w:color="auto" w:fill="auto"/>
                  <w:vAlign w:val="center"/>
                </w:tcPr>
                <w:p w14:paraId="4BBE69A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69357F7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13.9</w:t>
                  </w:r>
                </w:p>
              </w:tc>
              <w:tc>
                <w:tcPr>
                  <w:tcW w:w="435" w:type="pct"/>
                  <w:shd w:val="clear" w:color="auto" w:fill="auto"/>
                  <w:vAlign w:val="center"/>
                </w:tcPr>
                <w:p w14:paraId="3864029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59.6</w:t>
                  </w:r>
                </w:p>
              </w:tc>
              <w:tc>
                <w:tcPr>
                  <w:tcW w:w="233" w:type="pct"/>
                  <w:shd w:val="clear" w:color="auto" w:fill="auto"/>
                  <w:vAlign w:val="center"/>
                </w:tcPr>
                <w:p w14:paraId="5D2C5D9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0D40C3C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4B0B5CA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18.6</w:t>
                  </w:r>
                </w:p>
              </w:tc>
              <w:tc>
                <w:tcPr>
                  <w:tcW w:w="233" w:type="pct"/>
                  <w:shd w:val="clear" w:color="auto" w:fill="auto"/>
                  <w:vAlign w:val="center"/>
                </w:tcPr>
                <w:p w14:paraId="4439AEE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6CA73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shd w:val="clear" w:color="auto" w:fill="auto"/>
                  <w:vAlign w:val="center"/>
                </w:tcPr>
                <w:p w14:paraId="6D503F7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c>
                <w:tcPr>
                  <w:tcW w:w="412" w:type="pct"/>
                  <w:shd w:val="clear" w:color="auto" w:fill="auto"/>
                  <w:vAlign w:val="center"/>
                </w:tcPr>
                <w:p w14:paraId="5B4BD28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6959648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搅拌机</w:t>
                  </w:r>
                </w:p>
              </w:tc>
              <w:tc>
                <w:tcPr>
                  <w:tcW w:w="356" w:type="pct"/>
                  <w:shd w:val="clear" w:color="auto" w:fill="auto"/>
                  <w:vAlign w:val="center"/>
                </w:tcPr>
                <w:p w14:paraId="5509CD6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continue"/>
                  <w:shd w:val="clear" w:color="auto" w:fill="auto"/>
                  <w:vAlign w:val="center"/>
                </w:tcPr>
                <w:p w14:paraId="440942C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7F09FD4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-21.3</w:t>
                  </w:r>
                </w:p>
              </w:tc>
              <w:tc>
                <w:tcPr>
                  <w:tcW w:w="393" w:type="pct"/>
                  <w:shd w:val="clear" w:color="auto" w:fill="auto"/>
                  <w:vAlign w:val="center"/>
                </w:tcPr>
                <w:p w14:paraId="6C61B80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19.8</w:t>
                  </w:r>
                </w:p>
              </w:tc>
              <w:tc>
                <w:tcPr>
                  <w:tcW w:w="334" w:type="pct"/>
                  <w:shd w:val="clear" w:color="auto" w:fill="auto"/>
                  <w:vAlign w:val="center"/>
                </w:tcPr>
                <w:p w14:paraId="4C2F956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3449369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16.0</w:t>
                  </w:r>
                </w:p>
              </w:tc>
              <w:tc>
                <w:tcPr>
                  <w:tcW w:w="435" w:type="pct"/>
                  <w:shd w:val="clear" w:color="auto" w:fill="auto"/>
                  <w:vAlign w:val="center"/>
                </w:tcPr>
                <w:p w14:paraId="1C71F4B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59.6</w:t>
                  </w:r>
                </w:p>
              </w:tc>
              <w:tc>
                <w:tcPr>
                  <w:tcW w:w="233" w:type="pct"/>
                  <w:shd w:val="clear" w:color="auto" w:fill="auto"/>
                  <w:vAlign w:val="center"/>
                </w:tcPr>
                <w:p w14:paraId="048FB3E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4105898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04CB6FB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18.6</w:t>
                  </w:r>
                </w:p>
              </w:tc>
              <w:tc>
                <w:tcPr>
                  <w:tcW w:w="233" w:type="pct"/>
                  <w:shd w:val="clear" w:color="auto" w:fill="auto"/>
                  <w:vAlign w:val="center"/>
                </w:tcPr>
                <w:p w14:paraId="60F52A4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1C69E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shd w:val="clear" w:color="auto" w:fill="auto"/>
                  <w:vAlign w:val="center"/>
                </w:tcPr>
                <w:p w14:paraId="0723DB6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16</w:t>
                  </w:r>
                </w:p>
              </w:tc>
              <w:tc>
                <w:tcPr>
                  <w:tcW w:w="412" w:type="pct"/>
                  <w:shd w:val="clear" w:color="auto" w:fill="auto"/>
                  <w:vAlign w:val="center"/>
                </w:tcPr>
                <w:p w14:paraId="57DB4B3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2AF8678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搅拌机</w:t>
                  </w:r>
                </w:p>
              </w:tc>
              <w:tc>
                <w:tcPr>
                  <w:tcW w:w="356" w:type="pct"/>
                  <w:shd w:val="clear" w:color="auto" w:fill="auto"/>
                  <w:vAlign w:val="center"/>
                </w:tcPr>
                <w:p w14:paraId="7D2A1AC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continue"/>
                  <w:shd w:val="clear" w:color="auto" w:fill="auto"/>
                  <w:vAlign w:val="center"/>
                </w:tcPr>
                <w:p w14:paraId="4710070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1470987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-23.5</w:t>
                  </w:r>
                </w:p>
              </w:tc>
              <w:tc>
                <w:tcPr>
                  <w:tcW w:w="393" w:type="pct"/>
                  <w:shd w:val="clear" w:color="auto" w:fill="auto"/>
                  <w:vAlign w:val="center"/>
                </w:tcPr>
                <w:p w14:paraId="6AF9A18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12.9</w:t>
                  </w:r>
                </w:p>
              </w:tc>
              <w:tc>
                <w:tcPr>
                  <w:tcW w:w="334" w:type="pct"/>
                  <w:shd w:val="clear" w:color="auto" w:fill="auto"/>
                  <w:vAlign w:val="center"/>
                </w:tcPr>
                <w:p w14:paraId="5866F4F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7468480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22.4</w:t>
                  </w:r>
                </w:p>
              </w:tc>
              <w:tc>
                <w:tcPr>
                  <w:tcW w:w="435" w:type="pct"/>
                  <w:shd w:val="clear" w:color="auto" w:fill="auto"/>
                  <w:vAlign w:val="center"/>
                </w:tcPr>
                <w:p w14:paraId="3D3A655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59.6</w:t>
                  </w:r>
                </w:p>
              </w:tc>
              <w:tc>
                <w:tcPr>
                  <w:tcW w:w="233" w:type="pct"/>
                  <w:shd w:val="clear" w:color="auto" w:fill="auto"/>
                  <w:vAlign w:val="center"/>
                </w:tcPr>
                <w:p w14:paraId="227230D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6EB6465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1D9F0AE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18.6</w:t>
                  </w:r>
                </w:p>
              </w:tc>
              <w:tc>
                <w:tcPr>
                  <w:tcW w:w="233" w:type="pct"/>
                  <w:shd w:val="clear" w:color="auto" w:fill="auto"/>
                  <w:vAlign w:val="center"/>
                </w:tcPr>
                <w:p w14:paraId="72E1E6B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4C73A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shd w:val="clear" w:color="auto" w:fill="auto"/>
                  <w:vAlign w:val="center"/>
                </w:tcPr>
                <w:p w14:paraId="5A2E17F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w:t>
                  </w:r>
                </w:p>
              </w:tc>
              <w:tc>
                <w:tcPr>
                  <w:tcW w:w="412" w:type="pct"/>
                  <w:shd w:val="clear" w:color="auto" w:fill="auto"/>
                  <w:vAlign w:val="center"/>
                </w:tcPr>
                <w:p w14:paraId="50C2BF9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556E3C7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搅拌机</w:t>
                  </w:r>
                </w:p>
              </w:tc>
              <w:tc>
                <w:tcPr>
                  <w:tcW w:w="356" w:type="pct"/>
                  <w:shd w:val="clear" w:color="auto" w:fill="auto"/>
                  <w:vAlign w:val="center"/>
                </w:tcPr>
                <w:p w14:paraId="3183172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continue"/>
                  <w:shd w:val="clear" w:color="auto" w:fill="auto"/>
                  <w:vAlign w:val="center"/>
                </w:tcPr>
                <w:p w14:paraId="5AF9B5A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5CA9CD6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-26.1</w:t>
                  </w:r>
                </w:p>
              </w:tc>
              <w:tc>
                <w:tcPr>
                  <w:tcW w:w="393" w:type="pct"/>
                  <w:shd w:val="clear" w:color="auto" w:fill="auto"/>
                  <w:vAlign w:val="center"/>
                </w:tcPr>
                <w:p w14:paraId="76CFF4B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7.3</w:t>
                  </w:r>
                </w:p>
              </w:tc>
              <w:tc>
                <w:tcPr>
                  <w:tcW w:w="334" w:type="pct"/>
                  <w:shd w:val="clear" w:color="auto" w:fill="auto"/>
                  <w:vAlign w:val="center"/>
                </w:tcPr>
                <w:p w14:paraId="17779BF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070CDB5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21.6</w:t>
                  </w:r>
                </w:p>
              </w:tc>
              <w:tc>
                <w:tcPr>
                  <w:tcW w:w="435" w:type="pct"/>
                  <w:shd w:val="clear" w:color="auto" w:fill="auto"/>
                  <w:vAlign w:val="center"/>
                </w:tcPr>
                <w:p w14:paraId="2F4B61E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59.6</w:t>
                  </w:r>
                </w:p>
              </w:tc>
              <w:tc>
                <w:tcPr>
                  <w:tcW w:w="233" w:type="pct"/>
                  <w:shd w:val="clear" w:color="auto" w:fill="auto"/>
                  <w:vAlign w:val="center"/>
                </w:tcPr>
                <w:p w14:paraId="04B71D3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5E3AABB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01011B6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18.6</w:t>
                  </w:r>
                </w:p>
              </w:tc>
              <w:tc>
                <w:tcPr>
                  <w:tcW w:w="233" w:type="pct"/>
                  <w:shd w:val="clear" w:color="auto" w:fill="auto"/>
                  <w:vAlign w:val="center"/>
                </w:tcPr>
                <w:p w14:paraId="33544C2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28FF2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shd w:val="clear" w:color="auto" w:fill="auto"/>
                  <w:vAlign w:val="center"/>
                </w:tcPr>
                <w:p w14:paraId="036F4A3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w:t>
                  </w:r>
                </w:p>
              </w:tc>
              <w:tc>
                <w:tcPr>
                  <w:tcW w:w="412" w:type="pct"/>
                  <w:shd w:val="clear" w:color="auto" w:fill="auto"/>
                  <w:vAlign w:val="center"/>
                </w:tcPr>
                <w:p w14:paraId="7982584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67F80D8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空压机及储罐</w:t>
                  </w:r>
                </w:p>
              </w:tc>
              <w:tc>
                <w:tcPr>
                  <w:tcW w:w="356" w:type="pct"/>
                  <w:shd w:val="clear" w:color="auto" w:fill="auto"/>
                  <w:vAlign w:val="center"/>
                </w:tcPr>
                <w:p w14:paraId="1346BEB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continue"/>
                  <w:shd w:val="clear" w:color="auto" w:fill="auto"/>
                  <w:vAlign w:val="center"/>
                </w:tcPr>
                <w:p w14:paraId="31F2E62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7D969FF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-23.1</w:t>
                  </w:r>
                </w:p>
              </w:tc>
              <w:tc>
                <w:tcPr>
                  <w:tcW w:w="393" w:type="pct"/>
                  <w:shd w:val="clear" w:color="auto" w:fill="auto"/>
                  <w:vAlign w:val="center"/>
                </w:tcPr>
                <w:p w14:paraId="430A6AA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27.6</w:t>
                  </w:r>
                </w:p>
              </w:tc>
              <w:tc>
                <w:tcPr>
                  <w:tcW w:w="334" w:type="pct"/>
                  <w:shd w:val="clear" w:color="auto" w:fill="auto"/>
                  <w:vAlign w:val="center"/>
                </w:tcPr>
                <w:p w14:paraId="64D0367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0291F7D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9.0</w:t>
                  </w:r>
                </w:p>
              </w:tc>
              <w:tc>
                <w:tcPr>
                  <w:tcW w:w="435" w:type="pct"/>
                  <w:shd w:val="clear" w:color="auto" w:fill="auto"/>
                  <w:vAlign w:val="center"/>
                </w:tcPr>
                <w:p w14:paraId="423CA65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59.7</w:t>
                  </w:r>
                </w:p>
              </w:tc>
              <w:tc>
                <w:tcPr>
                  <w:tcW w:w="233" w:type="pct"/>
                  <w:shd w:val="clear" w:color="auto" w:fill="auto"/>
                  <w:vAlign w:val="center"/>
                </w:tcPr>
                <w:p w14:paraId="4826AD8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13141FC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3FBA50F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18.7</w:t>
                  </w:r>
                </w:p>
              </w:tc>
              <w:tc>
                <w:tcPr>
                  <w:tcW w:w="233" w:type="pct"/>
                  <w:shd w:val="clear" w:color="auto" w:fill="auto"/>
                  <w:vAlign w:val="center"/>
                </w:tcPr>
                <w:p w14:paraId="553D940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2BC4E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shd w:val="clear" w:color="auto" w:fill="auto"/>
                  <w:vAlign w:val="center"/>
                </w:tcPr>
                <w:p w14:paraId="59C5971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19</w:t>
                  </w:r>
                </w:p>
              </w:tc>
              <w:tc>
                <w:tcPr>
                  <w:tcW w:w="412" w:type="pct"/>
                  <w:shd w:val="clear" w:color="auto" w:fill="auto"/>
                  <w:vAlign w:val="center"/>
                </w:tcPr>
                <w:p w14:paraId="14AFD7E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73BE90D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高压水泵</w:t>
                  </w:r>
                </w:p>
              </w:tc>
              <w:tc>
                <w:tcPr>
                  <w:tcW w:w="356" w:type="pct"/>
                  <w:shd w:val="clear" w:color="auto" w:fill="auto"/>
                  <w:vAlign w:val="center"/>
                </w:tcPr>
                <w:p w14:paraId="50C2DB0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continue"/>
                  <w:shd w:val="clear" w:color="auto" w:fill="auto"/>
                  <w:vAlign w:val="center"/>
                </w:tcPr>
                <w:p w14:paraId="26BCCD6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1EF85ED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-17.9</w:t>
                  </w:r>
                </w:p>
              </w:tc>
              <w:tc>
                <w:tcPr>
                  <w:tcW w:w="393" w:type="pct"/>
                  <w:shd w:val="clear" w:color="auto" w:fill="auto"/>
                  <w:vAlign w:val="center"/>
                </w:tcPr>
                <w:p w14:paraId="5D9B0A7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25.9</w:t>
                  </w:r>
                </w:p>
              </w:tc>
              <w:tc>
                <w:tcPr>
                  <w:tcW w:w="334" w:type="pct"/>
                  <w:shd w:val="clear" w:color="auto" w:fill="auto"/>
                  <w:vAlign w:val="center"/>
                </w:tcPr>
                <w:p w14:paraId="2295CB5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0635F4B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9.2</w:t>
                  </w:r>
                </w:p>
              </w:tc>
              <w:tc>
                <w:tcPr>
                  <w:tcW w:w="435" w:type="pct"/>
                  <w:shd w:val="clear" w:color="auto" w:fill="auto"/>
                  <w:vAlign w:val="center"/>
                </w:tcPr>
                <w:p w14:paraId="1325B31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59.7</w:t>
                  </w:r>
                </w:p>
              </w:tc>
              <w:tc>
                <w:tcPr>
                  <w:tcW w:w="233" w:type="pct"/>
                  <w:shd w:val="clear" w:color="auto" w:fill="auto"/>
                  <w:vAlign w:val="center"/>
                </w:tcPr>
                <w:p w14:paraId="7B90880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7BA76F9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370C416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18.7</w:t>
                  </w:r>
                </w:p>
              </w:tc>
              <w:tc>
                <w:tcPr>
                  <w:tcW w:w="233" w:type="pct"/>
                  <w:shd w:val="clear" w:color="auto" w:fill="auto"/>
                  <w:vAlign w:val="center"/>
                </w:tcPr>
                <w:p w14:paraId="6CD2D49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74F7A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shd w:val="clear" w:color="auto" w:fill="auto"/>
                  <w:vAlign w:val="center"/>
                </w:tcPr>
                <w:p w14:paraId="07F9200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c>
                <w:tcPr>
                  <w:tcW w:w="412" w:type="pct"/>
                  <w:shd w:val="clear" w:color="auto" w:fill="auto"/>
                  <w:vAlign w:val="center"/>
                </w:tcPr>
                <w:p w14:paraId="2D8EDD7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1FDFE33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砂壁高粘包装机</w:t>
                  </w:r>
                </w:p>
              </w:tc>
              <w:tc>
                <w:tcPr>
                  <w:tcW w:w="356" w:type="pct"/>
                  <w:shd w:val="clear" w:color="auto" w:fill="auto"/>
                  <w:vAlign w:val="center"/>
                </w:tcPr>
                <w:p w14:paraId="5BE390B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continue"/>
                  <w:shd w:val="clear" w:color="auto" w:fill="auto"/>
                  <w:vAlign w:val="center"/>
                </w:tcPr>
                <w:p w14:paraId="5882226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5B42F7D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-13.6</w:t>
                  </w:r>
                </w:p>
              </w:tc>
              <w:tc>
                <w:tcPr>
                  <w:tcW w:w="393" w:type="pct"/>
                  <w:shd w:val="clear" w:color="auto" w:fill="auto"/>
                  <w:vAlign w:val="center"/>
                </w:tcPr>
                <w:p w14:paraId="389540C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15.5</w:t>
                  </w:r>
                </w:p>
              </w:tc>
              <w:tc>
                <w:tcPr>
                  <w:tcW w:w="334" w:type="pct"/>
                  <w:shd w:val="clear" w:color="auto" w:fill="auto"/>
                  <w:vAlign w:val="center"/>
                </w:tcPr>
                <w:p w14:paraId="4338885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0A60C7D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17.9</w:t>
                  </w:r>
                </w:p>
              </w:tc>
              <w:tc>
                <w:tcPr>
                  <w:tcW w:w="435" w:type="pct"/>
                  <w:shd w:val="clear" w:color="auto" w:fill="auto"/>
                  <w:vAlign w:val="center"/>
                </w:tcPr>
                <w:p w14:paraId="629A58D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59.6</w:t>
                  </w:r>
                </w:p>
              </w:tc>
              <w:tc>
                <w:tcPr>
                  <w:tcW w:w="233" w:type="pct"/>
                  <w:shd w:val="clear" w:color="auto" w:fill="auto"/>
                  <w:vAlign w:val="center"/>
                </w:tcPr>
                <w:p w14:paraId="7FD9F99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341E5D4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2D54F1D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18.6</w:t>
                  </w:r>
                </w:p>
              </w:tc>
              <w:tc>
                <w:tcPr>
                  <w:tcW w:w="233" w:type="pct"/>
                  <w:shd w:val="clear" w:color="auto" w:fill="auto"/>
                  <w:vAlign w:val="center"/>
                </w:tcPr>
                <w:p w14:paraId="74BE1EF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6EB08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shd w:val="clear" w:color="auto" w:fill="auto"/>
                  <w:vAlign w:val="center"/>
                </w:tcPr>
                <w:p w14:paraId="6795278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21</w:t>
                  </w:r>
                </w:p>
              </w:tc>
              <w:tc>
                <w:tcPr>
                  <w:tcW w:w="412" w:type="pct"/>
                  <w:shd w:val="clear" w:color="auto" w:fill="auto"/>
                  <w:vAlign w:val="center"/>
                </w:tcPr>
                <w:p w14:paraId="1A6C177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水性涂料生产车间</w:t>
                  </w:r>
                </w:p>
              </w:tc>
              <w:tc>
                <w:tcPr>
                  <w:tcW w:w="413" w:type="pct"/>
                  <w:shd w:val="clear" w:color="auto" w:fill="auto"/>
                  <w:vAlign w:val="center"/>
                </w:tcPr>
                <w:p w14:paraId="1CA13AA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砂壁包装机</w:t>
                  </w:r>
                </w:p>
              </w:tc>
              <w:tc>
                <w:tcPr>
                  <w:tcW w:w="356" w:type="pct"/>
                  <w:shd w:val="clear" w:color="auto" w:fill="auto"/>
                  <w:vAlign w:val="center"/>
                </w:tcPr>
                <w:p w14:paraId="093580F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70</w:t>
                  </w:r>
                </w:p>
              </w:tc>
              <w:tc>
                <w:tcPr>
                  <w:tcW w:w="255" w:type="pct"/>
                  <w:vMerge w:val="continue"/>
                  <w:shd w:val="clear" w:color="auto" w:fill="auto"/>
                  <w:vAlign w:val="center"/>
                </w:tcPr>
                <w:p w14:paraId="57A13D4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580F841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-13.6</w:t>
                  </w:r>
                </w:p>
              </w:tc>
              <w:tc>
                <w:tcPr>
                  <w:tcW w:w="393" w:type="pct"/>
                  <w:shd w:val="clear" w:color="auto" w:fill="auto"/>
                  <w:vAlign w:val="center"/>
                </w:tcPr>
                <w:p w14:paraId="4650252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6.4</w:t>
                  </w:r>
                </w:p>
              </w:tc>
              <w:tc>
                <w:tcPr>
                  <w:tcW w:w="334" w:type="pct"/>
                  <w:shd w:val="clear" w:color="auto" w:fill="auto"/>
                  <w:vAlign w:val="center"/>
                </w:tcPr>
                <w:p w14:paraId="0A72570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7E054C4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26.7</w:t>
                  </w:r>
                </w:p>
              </w:tc>
              <w:tc>
                <w:tcPr>
                  <w:tcW w:w="435" w:type="pct"/>
                  <w:shd w:val="clear" w:color="auto" w:fill="auto"/>
                  <w:vAlign w:val="center"/>
                </w:tcPr>
                <w:p w14:paraId="596D1C3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54.6</w:t>
                  </w:r>
                </w:p>
              </w:tc>
              <w:tc>
                <w:tcPr>
                  <w:tcW w:w="233" w:type="pct"/>
                  <w:shd w:val="clear" w:color="auto" w:fill="auto"/>
                  <w:vAlign w:val="center"/>
                </w:tcPr>
                <w:p w14:paraId="7EF8DF0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6243576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7634279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13.6</w:t>
                  </w:r>
                </w:p>
              </w:tc>
              <w:tc>
                <w:tcPr>
                  <w:tcW w:w="233" w:type="pct"/>
                  <w:shd w:val="clear" w:color="auto" w:fill="auto"/>
                  <w:vAlign w:val="center"/>
                </w:tcPr>
                <w:p w14:paraId="65E561A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540B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shd w:val="clear" w:color="auto" w:fill="auto"/>
                  <w:vAlign w:val="center"/>
                </w:tcPr>
                <w:p w14:paraId="33BCEAA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22</w:t>
                  </w:r>
                </w:p>
              </w:tc>
              <w:tc>
                <w:tcPr>
                  <w:tcW w:w="412" w:type="pct"/>
                  <w:shd w:val="clear" w:color="auto" w:fill="auto"/>
                  <w:vAlign w:val="center"/>
                </w:tcPr>
                <w:p w14:paraId="154DE66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腻子粉生产车间</w:t>
                  </w:r>
                </w:p>
              </w:tc>
              <w:tc>
                <w:tcPr>
                  <w:tcW w:w="413" w:type="pct"/>
                  <w:shd w:val="clear" w:color="auto" w:fill="auto"/>
                  <w:vAlign w:val="center"/>
                </w:tcPr>
                <w:p w14:paraId="6917C31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腻子粉生产设备</w:t>
                  </w:r>
                </w:p>
              </w:tc>
              <w:tc>
                <w:tcPr>
                  <w:tcW w:w="356" w:type="pct"/>
                  <w:shd w:val="clear" w:color="auto" w:fill="auto"/>
                  <w:vAlign w:val="center"/>
                </w:tcPr>
                <w:p w14:paraId="2F9AD45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80</w:t>
                  </w:r>
                </w:p>
              </w:tc>
              <w:tc>
                <w:tcPr>
                  <w:tcW w:w="255" w:type="pct"/>
                  <w:vMerge w:val="continue"/>
                  <w:shd w:val="clear" w:color="auto" w:fill="auto"/>
                  <w:vAlign w:val="center"/>
                </w:tcPr>
                <w:p w14:paraId="532F554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2F311E6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26.6</w:t>
                  </w:r>
                </w:p>
              </w:tc>
              <w:tc>
                <w:tcPr>
                  <w:tcW w:w="393" w:type="pct"/>
                  <w:shd w:val="clear" w:color="auto" w:fill="auto"/>
                  <w:vAlign w:val="center"/>
                </w:tcPr>
                <w:p w14:paraId="6CC401F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66.9</w:t>
                  </w:r>
                </w:p>
              </w:tc>
              <w:tc>
                <w:tcPr>
                  <w:tcW w:w="334" w:type="pct"/>
                  <w:shd w:val="clear" w:color="auto" w:fill="auto"/>
                  <w:vAlign w:val="center"/>
                </w:tcPr>
                <w:p w14:paraId="4C46CB1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2AA4C7E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13.7</w:t>
                  </w:r>
                </w:p>
              </w:tc>
              <w:tc>
                <w:tcPr>
                  <w:tcW w:w="435" w:type="pct"/>
                  <w:shd w:val="clear" w:color="auto" w:fill="auto"/>
                  <w:vAlign w:val="center"/>
                </w:tcPr>
                <w:p w14:paraId="78FD54D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65.7</w:t>
                  </w:r>
                </w:p>
              </w:tc>
              <w:tc>
                <w:tcPr>
                  <w:tcW w:w="233" w:type="pct"/>
                  <w:shd w:val="clear" w:color="auto" w:fill="auto"/>
                  <w:vAlign w:val="center"/>
                </w:tcPr>
                <w:p w14:paraId="4992163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4DEFFFB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49F07EE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24.7</w:t>
                  </w:r>
                </w:p>
              </w:tc>
              <w:tc>
                <w:tcPr>
                  <w:tcW w:w="233" w:type="pct"/>
                  <w:shd w:val="clear" w:color="auto" w:fill="auto"/>
                  <w:vAlign w:val="center"/>
                </w:tcPr>
                <w:p w14:paraId="47812AC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5C6F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shd w:val="clear" w:color="auto" w:fill="auto"/>
                  <w:vAlign w:val="center"/>
                </w:tcPr>
                <w:p w14:paraId="0A841B0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23</w:t>
                  </w:r>
                </w:p>
              </w:tc>
              <w:tc>
                <w:tcPr>
                  <w:tcW w:w="412" w:type="pct"/>
                  <w:shd w:val="clear" w:color="auto" w:fill="auto"/>
                  <w:vAlign w:val="center"/>
                </w:tcPr>
                <w:p w14:paraId="77F8DD7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腻子粉生产车间</w:t>
                  </w:r>
                </w:p>
              </w:tc>
              <w:tc>
                <w:tcPr>
                  <w:tcW w:w="413" w:type="pct"/>
                  <w:shd w:val="clear" w:color="auto" w:fill="auto"/>
                  <w:vAlign w:val="center"/>
                </w:tcPr>
                <w:p w14:paraId="760C5DB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腻子粉生产设备</w:t>
                  </w:r>
                </w:p>
              </w:tc>
              <w:tc>
                <w:tcPr>
                  <w:tcW w:w="356" w:type="pct"/>
                  <w:shd w:val="clear" w:color="auto" w:fill="auto"/>
                  <w:vAlign w:val="center"/>
                </w:tcPr>
                <w:p w14:paraId="21807CF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80</w:t>
                  </w:r>
                </w:p>
              </w:tc>
              <w:tc>
                <w:tcPr>
                  <w:tcW w:w="255" w:type="pct"/>
                  <w:vMerge w:val="continue"/>
                  <w:shd w:val="clear" w:color="auto" w:fill="auto"/>
                  <w:vAlign w:val="center"/>
                </w:tcPr>
                <w:p w14:paraId="7EE7C41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08C4CD2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33.1</w:t>
                  </w:r>
                </w:p>
              </w:tc>
              <w:tc>
                <w:tcPr>
                  <w:tcW w:w="393" w:type="pct"/>
                  <w:shd w:val="clear" w:color="auto" w:fill="auto"/>
                  <w:vAlign w:val="center"/>
                </w:tcPr>
                <w:p w14:paraId="01E85C4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79.4</w:t>
                  </w:r>
                </w:p>
              </w:tc>
              <w:tc>
                <w:tcPr>
                  <w:tcW w:w="334" w:type="pct"/>
                  <w:shd w:val="clear" w:color="auto" w:fill="auto"/>
                  <w:vAlign w:val="center"/>
                </w:tcPr>
                <w:p w14:paraId="543275D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4CF4C8E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16.1</w:t>
                  </w:r>
                </w:p>
              </w:tc>
              <w:tc>
                <w:tcPr>
                  <w:tcW w:w="435" w:type="pct"/>
                  <w:shd w:val="clear" w:color="auto" w:fill="auto"/>
                  <w:vAlign w:val="center"/>
                </w:tcPr>
                <w:p w14:paraId="6EA23DB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65.6</w:t>
                  </w:r>
                </w:p>
              </w:tc>
              <w:tc>
                <w:tcPr>
                  <w:tcW w:w="233" w:type="pct"/>
                  <w:shd w:val="clear" w:color="auto" w:fill="auto"/>
                  <w:vAlign w:val="center"/>
                </w:tcPr>
                <w:p w14:paraId="1E4BD95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09B3F6E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3FEC642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24.6</w:t>
                  </w:r>
                </w:p>
              </w:tc>
              <w:tc>
                <w:tcPr>
                  <w:tcW w:w="233" w:type="pct"/>
                  <w:shd w:val="clear" w:color="auto" w:fill="auto"/>
                  <w:vAlign w:val="center"/>
                </w:tcPr>
                <w:p w14:paraId="19A1A85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14:paraId="1067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233" w:type="pct"/>
                  <w:shd w:val="clear" w:color="auto" w:fill="auto"/>
                  <w:vAlign w:val="center"/>
                </w:tcPr>
                <w:p w14:paraId="7A529BA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24</w:t>
                  </w:r>
                </w:p>
              </w:tc>
              <w:tc>
                <w:tcPr>
                  <w:tcW w:w="412" w:type="pct"/>
                  <w:shd w:val="clear" w:color="auto" w:fill="auto"/>
                  <w:vAlign w:val="center"/>
                </w:tcPr>
                <w:p w14:paraId="60EC9C1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腻子粉生产车间</w:t>
                  </w:r>
                </w:p>
              </w:tc>
              <w:tc>
                <w:tcPr>
                  <w:tcW w:w="413" w:type="pct"/>
                  <w:shd w:val="clear" w:color="auto" w:fill="auto"/>
                  <w:vAlign w:val="center"/>
                </w:tcPr>
                <w:p w14:paraId="673D5CF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包装机</w:t>
                  </w:r>
                </w:p>
              </w:tc>
              <w:tc>
                <w:tcPr>
                  <w:tcW w:w="356" w:type="pct"/>
                  <w:shd w:val="clear" w:color="auto" w:fill="auto"/>
                  <w:vAlign w:val="center"/>
                </w:tcPr>
                <w:p w14:paraId="34B5511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w:t>
                  </w:r>
                </w:p>
              </w:tc>
              <w:tc>
                <w:tcPr>
                  <w:tcW w:w="255" w:type="pct"/>
                  <w:vMerge w:val="continue"/>
                  <w:shd w:val="clear" w:color="auto" w:fill="auto"/>
                  <w:vAlign w:val="center"/>
                </w:tcPr>
                <w:p w14:paraId="46A37F5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p>
              </w:tc>
              <w:tc>
                <w:tcPr>
                  <w:tcW w:w="371" w:type="pct"/>
                  <w:shd w:val="clear" w:color="auto" w:fill="auto"/>
                  <w:vAlign w:val="center"/>
                </w:tcPr>
                <w:p w14:paraId="572329E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37.9</w:t>
                  </w:r>
                </w:p>
              </w:tc>
              <w:tc>
                <w:tcPr>
                  <w:tcW w:w="393" w:type="pct"/>
                  <w:shd w:val="clear" w:color="auto" w:fill="auto"/>
                  <w:vAlign w:val="center"/>
                </w:tcPr>
                <w:p w14:paraId="3A187AF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63.9</w:t>
                  </w:r>
                </w:p>
              </w:tc>
              <w:tc>
                <w:tcPr>
                  <w:tcW w:w="334" w:type="pct"/>
                  <w:shd w:val="clear" w:color="auto" w:fill="auto"/>
                  <w:vAlign w:val="center"/>
                </w:tcPr>
                <w:p w14:paraId="249ADE0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375" w:type="pct"/>
                  <w:shd w:val="clear" w:color="auto" w:fill="auto"/>
                  <w:vAlign w:val="center"/>
                </w:tcPr>
                <w:p w14:paraId="067E3BB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25.4</w:t>
                  </w:r>
                </w:p>
              </w:tc>
              <w:tc>
                <w:tcPr>
                  <w:tcW w:w="435" w:type="pct"/>
                  <w:shd w:val="clear" w:color="auto" w:fill="auto"/>
                  <w:vAlign w:val="center"/>
                </w:tcPr>
                <w:p w14:paraId="63CC15A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60.6</w:t>
                  </w:r>
                </w:p>
              </w:tc>
              <w:tc>
                <w:tcPr>
                  <w:tcW w:w="233" w:type="pct"/>
                  <w:shd w:val="clear" w:color="auto" w:fill="auto"/>
                  <w:vAlign w:val="center"/>
                </w:tcPr>
                <w:p w14:paraId="21C488A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w:t>
                  </w:r>
                </w:p>
              </w:tc>
              <w:tc>
                <w:tcPr>
                  <w:tcW w:w="513" w:type="pct"/>
                  <w:shd w:val="clear" w:color="auto" w:fill="auto"/>
                  <w:vAlign w:val="center"/>
                </w:tcPr>
                <w:p w14:paraId="6A8F986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41.0</w:t>
                  </w:r>
                </w:p>
              </w:tc>
              <w:tc>
                <w:tcPr>
                  <w:tcW w:w="435" w:type="pct"/>
                  <w:shd w:val="clear" w:color="auto" w:fill="auto"/>
                  <w:vAlign w:val="center"/>
                </w:tcPr>
                <w:p w14:paraId="3F54021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19.6</w:t>
                  </w:r>
                </w:p>
              </w:tc>
              <w:tc>
                <w:tcPr>
                  <w:tcW w:w="233" w:type="pct"/>
                  <w:shd w:val="clear" w:color="auto" w:fill="auto"/>
                  <w:vAlign w:val="center"/>
                </w:tcPr>
                <w:p w14:paraId="4B5C20B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bl>
          <w:p w14:paraId="7CFA11B6">
            <w:pPr>
              <w:keepNext/>
              <w:keepLines/>
              <w:suppressLineNumbers w:val="0"/>
              <w:spacing w:before="0" w:beforeAutospacing="0" w:after="0" w:afterAutospacing="0" w:line="360" w:lineRule="auto"/>
              <w:ind w:left="0" w:right="0" w:firstLine="480" w:firstLineChars="200"/>
              <w:jc w:val="left"/>
              <w:outlineLvl w:val="3"/>
              <w:rPr>
                <w:rFonts w:hint="default" w:ascii="Times New Roman" w:hAnsi="Times New Roman" w:eastAsia="宋体" w:cs="Times New Roman"/>
                <w:b/>
                <w:bCs/>
                <w:color w:val="auto"/>
                <w:sz w:val="24"/>
              </w:rPr>
            </w:pPr>
            <w:r>
              <w:rPr>
                <w:rFonts w:hint="default" w:ascii="Times New Roman" w:hAnsi="Times New Roman" w:eastAsia="宋体" w:cs="Times New Roman"/>
                <w:color w:val="auto"/>
                <w:sz w:val="24"/>
              </w:rPr>
              <w:t>1）预测范围、点位与评价因子</w:t>
            </w:r>
          </w:p>
          <w:p w14:paraId="7180DE6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（1）噪声预测范围为：厂界外1m。</w:t>
            </w:r>
          </w:p>
          <w:p w14:paraId="50413E3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（2）预测点位：厂界噪声，在东、南、西、北厂界各设置一个。</w:t>
            </w:r>
          </w:p>
          <w:p w14:paraId="6B68504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（3）厂界噪声预测因子：昼夜等效连续A声级。</w:t>
            </w:r>
          </w:p>
          <w:p w14:paraId="455300D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（4）基础数据</w:t>
            </w:r>
          </w:p>
          <w:p w14:paraId="4F4676A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项目噪声环境影响预测基础数据见表4-</w:t>
            </w:r>
            <w:r>
              <w:rPr>
                <w:rFonts w:hint="eastAsia" w:cs="Times New Roman"/>
                <w:color w:val="auto"/>
                <w:sz w:val="24"/>
                <w:lang w:val="en-US" w:eastAsia="zh-CN"/>
              </w:rPr>
              <w:t>15</w:t>
            </w:r>
            <w:r>
              <w:rPr>
                <w:rFonts w:hint="default" w:ascii="Times New Roman" w:hAnsi="Times New Roman" w:eastAsia="宋体" w:cs="Times New Roman"/>
                <w:color w:val="auto"/>
                <w:sz w:val="24"/>
              </w:rPr>
              <w:t>。</w:t>
            </w:r>
          </w:p>
          <w:p w14:paraId="1373A302">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eastAsia" w:cs="Times New Roman"/>
                <w:b/>
                <w:bCs/>
                <w:color w:val="auto"/>
                <w:sz w:val="21"/>
                <w:szCs w:val="21"/>
                <w:lang w:val="en-US" w:eastAsia="zh-CN"/>
              </w:rPr>
              <w:t>15</w:t>
            </w:r>
            <w:r>
              <w:rPr>
                <w:rFonts w:hint="default" w:ascii="Times New Roman" w:hAnsi="Times New Roman" w:eastAsia="宋体" w:cs="Times New Roman"/>
                <w:b/>
                <w:bCs/>
                <w:color w:val="auto"/>
                <w:sz w:val="21"/>
                <w:szCs w:val="21"/>
              </w:rPr>
              <w:t xml:space="preserve"> 项目噪声环境影响预测基础数据表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45"/>
              <w:gridCol w:w="2177"/>
              <w:gridCol w:w="1661"/>
              <w:gridCol w:w="1661"/>
              <w:gridCol w:w="1661"/>
            </w:tblGrid>
            <w:tr w14:paraId="06D0A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1145" w:type="dxa"/>
                  <w:shd w:val="clear" w:color="auto" w:fill="auto"/>
                  <w:vAlign w:val="center"/>
                </w:tcPr>
                <w:p w14:paraId="200A8078">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2177" w:type="dxa"/>
                  <w:shd w:val="clear" w:color="auto" w:fill="auto"/>
                  <w:vAlign w:val="center"/>
                </w:tcPr>
                <w:p w14:paraId="08B2D986">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1661" w:type="dxa"/>
                  <w:shd w:val="clear" w:color="auto" w:fill="auto"/>
                  <w:vAlign w:val="center"/>
                </w:tcPr>
                <w:p w14:paraId="1198F57B">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单位</w:t>
                  </w:r>
                </w:p>
              </w:tc>
              <w:tc>
                <w:tcPr>
                  <w:tcW w:w="1661" w:type="dxa"/>
                  <w:shd w:val="clear" w:color="auto" w:fill="auto"/>
                  <w:vAlign w:val="center"/>
                </w:tcPr>
                <w:p w14:paraId="026C7422">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数据</w:t>
                  </w:r>
                </w:p>
              </w:tc>
              <w:tc>
                <w:tcPr>
                  <w:tcW w:w="1661" w:type="dxa"/>
                  <w:shd w:val="clear" w:color="auto" w:fill="auto"/>
                  <w:vAlign w:val="center"/>
                </w:tcPr>
                <w:p w14:paraId="646F22E9">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备注</w:t>
                  </w:r>
                </w:p>
              </w:tc>
            </w:tr>
            <w:tr w14:paraId="0C6E9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45" w:type="dxa"/>
                  <w:shd w:val="clear" w:color="auto" w:fill="auto"/>
                  <w:vAlign w:val="center"/>
                </w:tcPr>
                <w:p w14:paraId="0A5AE4CD">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177" w:type="dxa"/>
                  <w:shd w:val="clear" w:color="auto" w:fill="auto"/>
                  <w:vAlign w:val="center"/>
                </w:tcPr>
                <w:p w14:paraId="1043DEE0">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年平均风速</w:t>
                  </w:r>
                </w:p>
              </w:tc>
              <w:tc>
                <w:tcPr>
                  <w:tcW w:w="1661" w:type="dxa"/>
                  <w:shd w:val="clear" w:color="auto" w:fill="auto"/>
                  <w:vAlign w:val="center"/>
                </w:tcPr>
                <w:p w14:paraId="56888FCE">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m/s</w:t>
                  </w:r>
                </w:p>
              </w:tc>
              <w:tc>
                <w:tcPr>
                  <w:tcW w:w="1661" w:type="dxa"/>
                  <w:shd w:val="clear" w:color="auto" w:fill="auto"/>
                  <w:vAlign w:val="center"/>
                </w:tcPr>
                <w:p w14:paraId="6597D7A9">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661" w:type="dxa"/>
                  <w:shd w:val="clear" w:color="auto" w:fill="auto"/>
                  <w:vAlign w:val="center"/>
                </w:tcPr>
                <w:p w14:paraId="52A757FA">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p>
              </w:tc>
            </w:tr>
            <w:tr w14:paraId="6F73C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45" w:type="dxa"/>
                  <w:shd w:val="clear" w:color="auto" w:fill="auto"/>
                  <w:vAlign w:val="center"/>
                </w:tcPr>
                <w:p w14:paraId="4AEA115A">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177" w:type="dxa"/>
                  <w:shd w:val="clear" w:color="auto" w:fill="auto"/>
                  <w:vAlign w:val="center"/>
                </w:tcPr>
                <w:p w14:paraId="2B9872AB">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主导风向</w:t>
                  </w:r>
                </w:p>
              </w:tc>
              <w:tc>
                <w:tcPr>
                  <w:tcW w:w="1661" w:type="dxa"/>
                  <w:shd w:val="clear" w:color="auto" w:fill="auto"/>
                  <w:vAlign w:val="center"/>
                </w:tcPr>
                <w:p w14:paraId="583E9F6C">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61" w:type="dxa"/>
                  <w:shd w:val="clear" w:color="auto" w:fill="auto"/>
                  <w:vAlign w:val="center"/>
                </w:tcPr>
                <w:p w14:paraId="4A9511AB">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西南风</w:t>
                  </w:r>
                </w:p>
              </w:tc>
              <w:tc>
                <w:tcPr>
                  <w:tcW w:w="1661" w:type="dxa"/>
                  <w:shd w:val="clear" w:color="auto" w:fill="auto"/>
                  <w:vAlign w:val="center"/>
                </w:tcPr>
                <w:p w14:paraId="4223C774">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p>
              </w:tc>
            </w:tr>
            <w:tr w14:paraId="3E80C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45" w:type="dxa"/>
                  <w:shd w:val="clear" w:color="auto" w:fill="auto"/>
                  <w:vAlign w:val="center"/>
                </w:tcPr>
                <w:p w14:paraId="3E37874B">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177" w:type="dxa"/>
                  <w:shd w:val="clear" w:color="auto" w:fill="auto"/>
                  <w:vAlign w:val="center"/>
                </w:tcPr>
                <w:p w14:paraId="28A729F7">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年平均气温</w:t>
                  </w:r>
                </w:p>
              </w:tc>
              <w:tc>
                <w:tcPr>
                  <w:tcW w:w="1661" w:type="dxa"/>
                  <w:shd w:val="clear" w:color="auto" w:fill="auto"/>
                  <w:vAlign w:val="center"/>
                </w:tcPr>
                <w:p w14:paraId="4B3CFFD8">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61" w:type="dxa"/>
                  <w:shd w:val="clear" w:color="auto" w:fill="auto"/>
                  <w:vAlign w:val="center"/>
                </w:tcPr>
                <w:p w14:paraId="26E083FD">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1661" w:type="dxa"/>
                  <w:shd w:val="clear" w:color="auto" w:fill="auto"/>
                  <w:vAlign w:val="center"/>
                </w:tcPr>
                <w:p w14:paraId="477F51E3">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p>
              </w:tc>
            </w:tr>
            <w:tr w14:paraId="52EAD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45" w:type="dxa"/>
                  <w:shd w:val="clear" w:color="auto" w:fill="auto"/>
                  <w:vAlign w:val="center"/>
                </w:tcPr>
                <w:p w14:paraId="2BA55DB8">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2177" w:type="dxa"/>
                  <w:shd w:val="clear" w:color="auto" w:fill="auto"/>
                  <w:vAlign w:val="center"/>
                </w:tcPr>
                <w:p w14:paraId="2C29A055">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年平均相对湿度</w:t>
                  </w:r>
                </w:p>
              </w:tc>
              <w:tc>
                <w:tcPr>
                  <w:tcW w:w="1661" w:type="dxa"/>
                  <w:shd w:val="clear" w:color="auto" w:fill="auto"/>
                  <w:vAlign w:val="center"/>
                </w:tcPr>
                <w:p w14:paraId="610CE164">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61" w:type="dxa"/>
                  <w:shd w:val="clear" w:color="auto" w:fill="auto"/>
                  <w:vAlign w:val="center"/>
                </w:tcPr>
                <w:p w14:paraId="2221ABC6">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1661" w:type="dxa"/>
                  <w:shd w:val="clear" w:color="auto" w:fill="auto"/>
                  <w:vAlign w:val="center"/>
                </w:tcPr>
                <w:p w14:paraId="2F367352">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p>
              </w:tc>
            </w:tr>
            <w:tr w14:paraId="6C88C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45" w:type="dxa"/>
                  <w:shd w:val="clear" w:color="auto" w:fill="auto"/>
                  <w:vAlign w:val="center"/>
                </w:tcPr>
                <w:p w14:paraId="170E7FFC">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177" w:type="dxa"/>
                  <w:shd w:val="clear" w:color="auto" w:fill="auto"/>
                  <w:vAlign w:val="center"/>
                </w:tcPr>
                <w:p w14:paraId="78BC2048">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大气压强</w:t>
                  </w:r>
                </w:p>
              </w:tc>
              <w:tc>
                <w:tcPr>
                  <w:tcW w:w="1661" w:type="dxa"/>
                  <w:shd w:val="clear" w:color="auto" w:fill="auto"/>
                  <w:vAlign w:val="center"/>
                </w:tcPr>
                <w:p w14:paraId="22077261">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atm</w:t>
                  </w:r>
                </w:p>
              </w:tc>
              <w:tc>
                <w:tcPr>
                  <w:tcW w:w="1661" w:type="dxa"/>
                  <w:shd w:val="clear" w:color="auto" w:fill="auto"/>
                  <w:vAlign w:val="center"/>
                </w:tcPr>
                <w:p w14:paraId="32C35B6E">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661" w:type="dxa"/>
                  <w:shd w:val="clear" w:color="auto" w:fill="auto"/>
                  <w:vAlign w:val="center"/>
                </w:tcPr>
                <w:p w14:paraId="5AEE2544">
                  <w:pPr>
                    <w:pStyle w:val="9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p>
              </w:tc>
            </w:tr>
          </w:tbl>
          <w:p w14:paraId="17CB5D5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声源和预测点间的地形、高差、障碍物、树林、灌木等的分布情况以及地面覆盖情况（如草地、水面、水泥地面、土质地面等）根据现场踏勘、项目总平图等，并结合卫星图片地理信息数据确定，数据精度为10m。</w:t>
            </w:r>
          </w:p>
          <w:p w14:paraId="37382F6F">
            <w:pPr>
              <w:keepNext/>
              <w:keepLines/>
              <w:suppressLineNumbers w:val="0"/>
              <w:spacing w:before="0" w:beforeAutospacing="0" w:after="0" w:afterAutospacing="0" w:line="360" w:lineRule="auto"/>
              <w:ind w:left="0" w:right="0" w:firstLine="480" w:firstLineChars="200"/>
              <w:jc w:val="left"/>
              <w:outlineLvl w:val="3"/>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2）声环境影响预测</w:t>
            </w:r>
          </w:p>
          <w:p w14:paraId="1787EF3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①预测方法</w:t>
            </w:r>
          </w:p>
          <w:p w14:paraId="79F9303A">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bidi="ar"/>
              </w:rPr>
              <w:t>噪声传播过程中有三个要素：即声源、传播途径和接受者。根据项目采取的治理措施及降噪效果，采用《环境影响评价技术导则 声环境》(HJ2.4-2021)推荐的工业噪声预测模式，本评价只考虑几何发散引起的衰减量来预测项目对厂界的贡献点的影响。</w:t>
            </w:r>
          </w:p>
          <w:p w14:paraId="4FD68676">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bidi="ar"/>
              </w:rPr>
              <w:t>预测方法为：依据各噪声源与各预测点的距离计算出各噪声设备产生的噪声对各预测点的影响值，并根据能量合成法叠加各噪声设备对各预测点的噪声贡献值，来预测分析本项目投产后对厂界及周围声环境的影响。</w:t>
            </w:r>
          </w:p>
          <w:p w14:paraId="04AB888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②预测模式</w:t>
            </w:r>
          </w:p>
          <w:p w14:paraId="4FEC8133">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采用《环境影响评价技术 声环境》(HJ2.4-2021)中的噪声预测模式预测本项目的主要噪声设备对周围声环境的影响。</w:t>
            </w:r>
          </w:p>
          <w:p w14:paraId="429FA146">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预测模式如下：</w:t>
            </w:r>
          </w:p>
          <w:p w14:paraId="210FBA64">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单个噪声源的预测公式为：</w:t>
            </w:r>
          </w:p>
          <w:p w14:paraId="77D53F2C">
            <w:pPr>
              <w:keepNext w:val="0"/>
              <w:keepLines w:val="0"/>
              <w:suppressLineNumbers w:val="0"/>
              <w:spacing w:before="0" w:beforeAutospacing="0" w:after="0" w:afterAutospacing="0"/>
              <w:ind w:left="0" w:right="0" w:firstLine="420" w:firstLineChars="200"/>
              <w:jc w:val="center"/>
              <w:rPr>
                <w:rFonts w:hint="default" w:ascii="Times New Roman" w:hAnsi="Times New Roman" w:eastAsia="宋体" w:cs="Times New Roman"/>
                <w:color w:val="auto"/>
              </w:rPr>
            </w:pPr>
            <w:r>
              <w:rPr>
                <w:rFonts w:hint="default" w:ascii="Times New Roman" w:hAnsi="Times New Roman" w:eastAsia="宋体" w:cs="Times New Roman"/>
                <w:color w:val="auto"/>
                <w:position w:val="-12"/>
              </w:rPr>
              <w:object>
                <v:shape id="_x0000_i1028" o:spt="75" type="#_x0000_t75" style="height:20.7pt;width:231.15pt;" o:ole="t" filled="f" o:preferrelative="t" stroked="f" coordsize="21600,21600">
                  <v:path/>
                  <v:fill on="f" focussize="0,0"/>
                  <v:stroke on="f"/>
                  <v:imagedata r:id="rId35" o:title=""/>
                  <o:lock v:ext="edit" aspectratio="t"/>
                  <w10:wrap type="none"/>
                  <w10:anchorlock/>
                </v:shape>
                <o:OLEObject Type="Embed" ProgID="Equation.KSEE3" ShapeID="_x0000_i1028" DrawAspect="Content" ObjectID="_1468075728" r:id="rId34">
                  <o:LockedField>false</o:LockedField>
                </o:OLEObject>
              </w:object>
            </w:r>
          </w:p>
          <w:p w14:paraId="5407F746">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对单个点声源的几何发散衰减用以下公式计算：</w:t>
            </w:r>
          </w:p>
          <w:p w14:paraId="1342D330">
            <w:pPr>
              <w:keepNext w:val="0"/>
              <w:keepLines w:val="0"/>
              <w:suppressLineNumbers w:val="0"/>
              <w:spacing w:before="0" w:beforeAutospacing="0" w:after="0" w:afterAutospacing="0"/>
              <w:ind w:left="0" w:right="0" w:firstLine="420" w:firstLineChars="200"/>
              <w:jc w:val="center"/>
              <w:rPr>
                <w:rFonts w:hint="default" w:ascii="Times New Roman" w:hAnsi="Times New Roman" w:eastAsia="宋体" w:cs="Times New Roman"/>
                <w:color w:val="auto"/>
              </w:rPr>
            </w:pPr>
            <w:r>
              <w:rPr>
                <w:rFonts w:hint="default" w:ascii="Times New Roman" w:hAnsi="Times New Roman" w:eastAsia="宋体" w:cs="Times New Roman"/>
                <w:color w:val="auto"/>
                <w:position w:val="-26"/>
              </w:rPr>
              <w:object>
                <v:shape id="_x0000_i1029" o:spt="75" type="#_x0000_t75" style="height:31.95pt;width:119pt;" o:ole="t" filled="f" o:preferrelative="t" stroked="f" coordsize="21600,21600">
                  <v:path/>
                  <v:fill on="f" focussize="0,0"/>
                  <v:stroke on="f"/>
                  <v:imagedata r:id="rId37" o:title=""/>
                  <o:lock v:ext="edit" aspectratio="t"/>
                  <w10:wrap type="none"/>
                  <w10:anchorlock/>
                </v:shape>
                <o:OLEObject Type="Embed" ProgID="Equation.KSEE3" ShapeID="_x0000_i1029" DrawAspect="Content" ObjectID="_1468075729" r:id="rId36">
                  <o:LockedField>false</o:LockedField>
                </o:OLEObject>
              </w:object>
            </w:r>
          </w:p>
          <w:p w14:paraId="5012EE2B">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本次噪声预测计算将从偏保守角度出发，仅考虑声波随距离的衰减Adiv。两个以上的多个噪声源同时存在时，总声级计算公式为：</w:t>
            </w:r>
          </w:p>
          <w:p w14:paraId="111E8A4A">
            <w:pPr>
              <w:keepNext w:val="0"/>
              <w:keepLines w:val="0"/>
              <w:suppressLineNumbers w:val="0"/>
              <w:spacing w:before="0" w:beforeAutospacing="0" w:after="0" w:afterAutospacing="0"/>
              <w:ind w:left="0" w:right="0" w:firstLine="420" w:firstLineChars="200"/>
              <w:jc w:val="center"/>
              <w:rPr>
                <w:rFonts w:hint="default" w:ascii="Times New Roman" w:hAnsi="Times New Roman" w:eastAsia="宋体" w:cs="Times New Roman"/>
                <w:color w:val="auto"/>
              </w:rPr>
            </w:pPr>
            <w:r>
              <w:rPr>
                <w:rFonts w:hint="default" w:ascii="Times New Roman" w:hAnsi="Times New Roman" w:eastAsia="宋体" w:cs="Times New Roman"/>
                <w:color w:val="auto"/>
                <w:position w:val="-30"/>
              </w:rPr>
              <w:object>
                <v:shape id="_x0000_i1030" o:spt="75" type="#_x0000_t75" style="height:37.4pt;width:126.7pt;" o:ole="t" filled="f" o:preferrelative="t" stroked="f" coordsize="21600,21600">
                  <v:path/>
                  <v:fill on="f" focussize="0,0"/>
                  <v:stroke on="f"/>
                  <v:imagedata r:id="rId39" o:title=""/>
                  <o:lock v:ext="edit" aspectratio="t"/>
                  <w10:wrap type="none"/>
                  <w10:anchorlock/>
                </v:shape>
                <o:OLEObject Type="Embed" ProgID="Equation.KSEE3" ShapeID="_x0000_i1030" DrawAspect="Content" ObjectID="_1468075730" r:id="rId38">
                  <o:LockedField>false</o:LockedField>
                </o:OLEObject>
              </w:object>
            </w:r>
          </w:p>
          <w:p w14:paraId="55E73286">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r－预测点到声源的距离，m；A</w:t>
            </w:r>
            <w:r>
              <w:rPr>
                <w:rFonts w:hint="default" w:ascii="Times New Roman" w:hAnsi="Times New Roman" w:eastAsia="宋体" w:cs="Times New Roman"/>
                <w:color w:val="auto"/>
                <w:kern w:val="0"/>
                <w:sz w:val="16"/>
                <w:szCs w:val="16"/>
                <w:lang w:bidi="ar"/>
              </w:rPr>
              <w:t>div</w:t>
            </w:r>
            <w:r>
              <w:rPr>
                <w:rFonts w:hint="default" w:ascii="Times New Roman" w:hAnsi="Times New Roman" w:eastAsia="宋体" w:cs="Times New Roman"/>
                <w:color w:val="auto"/>
                <w:kern w:val="0"/>
                <w:sz w:val="24"/>
                <w:lang w:bidi="ar"/>
              </w:rPr>
              <w:t>－距离衰减，dB。A</w:t>
            </w:r>
            <w:r>
              <w:rPr>
                <w:rFonts w:hint="default" w:ascii="Times New Roman" w:hAnsi="Times New Roman" w:eastAsia="宋体" w:cs="Times New Roman"/>
                <w:color w:val="auto"/>
                <w:kern w:val="0"/>
                <w:sz w:val="16"/>
                <w:szCs w:val="16"/>
                <w:lang w:bidi="ar"/>
              </w:rPr>
              <w:t>bar</w:t>
            </w:r>
            <w:r>
              <w:rPr>
                <w:rFonts w:hint="default" w:ascii="Times New Roman" w:hAnsi="Times New Roman" w:eastAsia="宋体" w:cs="Times New Roman"/>
                <w:color w:val="auto"/>
                <w:kern w:val="0"/>
                <w:sz w:val="24"/>
                <w:lang w:bidi="ar"/>
              </w:rPr>
              <w:t>－遮挡物衰减，dB；</w:t>
            </w:r>
          </w:p>
          <w:p w14:paraId="21E42E00">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lang w:bidi="ar"/>
              </w:rPr>
              <w:t>A</w:t>
            </w:r>
            <w:r>
              <w:rPr>
                <w:rFonts w:hint="default" w:ascii="Times New Roman" w:hAnsi="Times New Roman" w:eastAsia="宋体" w:cs="Times New Roman"/>
                <w:color w:val="auto"/>
                <w:kern w:val="0"/>
                <w:sz w:val="16"/>
                <w:szCs w:val="16"/>
                <w:lang w:bidi="ar"/>
              </w:rPr>
              <w:t>atm</w:t>
            </w:r>
            <w:r>
              <w:rPr>
                <w:rFonts w:hint="default" w:ascii="Times New Roman" w:hAnsi="Times New Roman" w:eastAsia="宋体" w:cs="Times New Roman"/>
                <w:color w:val="auto"/>
                <w:kern w:val="0"/>
                <w:sz w:val="24"/>
                <w:lang w:bidi="ar"/>
              </w:rPr>
              <w:t>－空气吸收衰减，dB；A</w:t>
            </w:r>
            <w:r>
              <w:rPr>
                <w:rFonts w:hint="default" w:ascii="Times New Roman" w:hAnsi="Times New Roman" w:eastAsia="宋体" w:cs="Times New Roman"/>
                <w:color w:val="auto"/>
                <w:kern w:val="0"/>
                <w:sz w:val="16"/>
                <w:szCs w:val="16"/>
                <w:lang w:bidi="ar"/>
              </w:rPr>
              <w:t>exc</w:t>
            </w:r>
            <w:r>
              <w:rPr>
                <w:rFonts w:hint="default" w:ascii="Times New Roman" w:hAnsi="Times New Roman" w:eastAsia="宋体" w:cs="Times New Roman"/>
                <w:color w:val="auto"/>
                <w:kern w:val="0"/>
                <w:sz w:val="24"/>
                <w:lang w:bidi="ar"/>
              </w:rPr>
              <w:t>－附加衰减，dB；L</w:t>
            </w:r>
            <w:r>
              <w:rPr>
                <w:rFonts w:hint="default" w:ascii="Times New Roman" w:hAnsi="Times New Roman" w:eastAsia="宋体" w:cs="Times New Roman"/>
                <w:color w:val="auto"/>
                <w:kern w:val="0"/>
                <w:sz w:val="16"/>
                <w:szCs w:val="16"/>
                <w:lang w:bidi="ar"/>
              </w:rPr>
              <w:t>2</w:t>
            </w:r>
            <w:r>
              <w:rPr>
                <w:rFonts w:hint="default" w:ascii="Times New Roman" w:hAnsi="Times New Roman" w:eastAsia="宋体" w:cs="Times New Roman"/>
                <w:color w:val="auto"/>
                <w:kern w:val="0"/>
                <w:sz w:val="24"/>
                <w:lang w:bidi="ar"/>
              </w:rPr>
              <w:t>－声源衰减至r</w:t>
            </w:r>
            <w:r>
              <w:rPr>
                <w:rFonts w:hint="default" w:ascii="Times New Roman" w:hAnsi="Times New Roman" w:eastAsia="宋体" w:cs="Times New Roman"/>
                <w:color w:val="auto"/>
                <w:kern w:val="0"/>
                <w:sz w:val="16"/>
                <w:szCs w:val="16"/>
                <w:lang w:bidi="ar"/>
              </w:rPr>
              <w:t>2</w:t>
            </w:r>
            <w:r>
              <w:rPr>
                <w:rFonts w:hint="default" w:ascii="Times New Roman" w:hAnsi="Times New Roman" w:eastAsia="宋体" w:cs="Times New Roman"/>
                <w:color w:val="auto"/>
                <w:kern w:val="0"/>
                <w:sz w:val="24"/>
                <w:lang w:bidi="ar"/>
              </w:rPr>
              <w:t>处的声压级，dB；L</w:t>
            </w:r>
            <w:r>
              <w:rPr>
                <w:rFonts w:hint="default" w:ascii="Times New Roman" w:hAnsi="Times New Roman" w:eastAsia="宋体" w:cs="Times New Roman"/>
                <w:color w:val="auto"/>
                <w:kern w:val="0"/>
                <w:sz w:val="16"/>
                <w:szCs w:val="16"/>
                <w:lang w:bidi="ar"/>
              </w:rPr>
              <w:t>1</w:t>
            </w:r>
            <w:r>
              <w:rPr>
                <w:rFonts w:hint="default" w:ascii="Times New Roman" w:hAnsi="Times New Roman" w:eastAsia="宋体" w:cs="Times New Roman"/>
                <w:color w:val="auto"/>
                <w:kern w:val="0"/>
                <w:sz w:val="24"/>
                <w:lang w:bidi="ar"/>
              </w:rPr>
              <w:t>－声源在参考距离r</w:t>
            </w:r>
            <w:r>
              <w:rPr>
                <w:rFonts w:hint="default" w:ascii="Times New Roman" w:hAnsi="Times New Roman" w:eastAsia="宋体" w:cs="Times New Roman"/>
                <w:color w:val="auto"/>
                <w:kern w:val="0"/>
                <w:sz w:val="16"/>
                <w:szCs w:val="16"/>
                <w:lang w:bidi="ar"/>
              </w:rPr>
              <w:t>1</w:t>
            </w:r>
            <w:r>
              <w:rPr>
                <w:rFonts w:hint="default" w:ascii="Times New Roman" w:hAnsi="Times New Roman" w:eastAsia="宋体" w:cs="Times New Roman"/>
                <w:color w:val="auto"/>
                <w:kern w:val="0"/>
                <w:sz w:val="24"/>
                <w:lang w:bidi="ar"/>
              </w:rPr>
              <w:t>处的声压级，dB；r</w:t>
            </w:r>
            <w:r>
              <w:rPr>
                <w:rFonts w:hint="default" w:ascii="Times New Roman" w:hAnsi="Times New Roman" w:eastAsia="宋体" w:cs="Times New Roman"/>
                <w:color w:val="auto"/>
                <w:kern w:val="0"/>
                <w:sz w:val="16"/>
                <w:szCs w:val="16"/>
                <w:lang w:bidi="ar"/>
              </w:rPr>
              <w:t>0</w:t>
            </w:r>
            <w:r>
              <w:rPr>
                <w:rFonts w:hint="default" w:ascii="Times New Roman" w:hAnsi="Times New Roman" w:eastAsia="宋体" w:cs="Times New Roman"/>
                <w:color w:val="auto"/>
                <w:kern w:val="0"/>
                <w:sz w:val="24"/>
                <w:lang w:bidi="ar"/>
              </w:rPr>
              <w:t>－预测参考距离，m；</w:t>
            </w:r>
          </w:p>
          <w:p w14:paraId="3F477D66">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lang w:bidi="ar"/>
              </w:rPr>
              <w:t>L</w:t>
            </w:r>
            <w:r>
              <w:rPr>
                <w:rFonts w:hint="default" w:ascii="Times New Roman" w:hAnsi="Times New Roman" w:eastAsia="宋体" w:cs="Times New Roman"/>
                <w:color w:val="auto"/>
                <w:kern w:val="0"/>
                <w:sz w:val="16"/>
                <w:szCs w:val="16"/>
                <w:lang w:bidi="ar"/>
              </w:rPr>
              <w:t>0</w:t>
            </w:r>
            <w:r>
              <w:rPr>
                <w:rFonts w:hint="default" w:ascii="Times New Roman" w:hAnsi="Times New Roman" w:eastAsia="宋体" w:cs="Times New Roman"/>
                <w:color w:val="auto"/>
                <w:kern w:val="0"/>
                <w:sz w:val="24"/>
                <w:lang w:bidi="ar"/>
              </w:rPr>
              <w:t>－预测点的噪声现状值，dB。</w:t>
            </w:r>
          </w:p>
          <w:p w14:paraId="43DFE6C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③预测结果</w:t>
            </w:r>
          </w:p>
          <w:p w14:paraId="3A4BB46F">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本次环评厂界噪声预测采用环保小智噪声助手预测软件预测，通过预测模型计算，项目厂界噪声预测结果与达标分析见表4-</w:t>
            </w:r>
            <w:r>
              <w:rPr>
                <w:rFonts w:hint="eastAsia" w:cs="Times New Roman"/>
                <w:color w:val="auto"/>
                <w:kern w:val="0"/>
                <w:sz w:val="24"/>
                <w:lang w:val="en-US" w:eastAsia="zh-CN" w:bidi="ar"/>
              </w:rPr>
              <w:t>16</w:t>
            </w:r>
            <w:r>
              <w:rPr>
                <w:rFonts w:hint="default" w:ascii="Times New Roman" w:hAnsi="Times New Roman" w:eastAsia="宋体" w:cs="Times New Roman"/>
                <w:color w:val="auto"/>
                <w:kern w:val="0"/>
                <w:sz w:val="24"/>
                <w:lang w:bidi="ar"/>
              </w:rPr>
              <w:t>。</w:t>
            </w:r>
          </w:p>
          <w:p w14:paraId="6CC8E0B4">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p>
          <w:p w14:paraId="4C7F4929">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表4-</w:t>
            </w:r>
            <w:r>
              <w:rPr>
                <w:rFonts w:hint="eastAsia" w:cs="Times New Roman"/>
                <w:b/>
                <w:bCs/>
                <w:color w:val="auto"/>
                <w:sz w:val="21"/>
                <w:szCs w:val="21"/>
                <w:lang w:val="en-US" w:eastAsia="zh-CN"/>
              </w:rPr>
              <w:t>16</w:t>
            </w:r>
            <w:r>
              <w:rPr>
                <w:rFonts w:hint="default" w:ascii="Times New Roman" w:hAnsi="Times New Roman" w:eastAsia="宋体" w:cs="Times New Roman"/>
                <w:b/>
                <w:bCs/>
                <w:color w:val="auto"/>
                <w:sz w:val="21"/>
                <w:szCs w:val="21"/>
              </w:rPr>
              <w:t xml:space="preserve">  厂界噪声预测结果与达标分析表</w:t>
            </w:r>
            <w:bookmarkStart w:id="12" w:name="PT_7"/>
          </w:p>
          <w:bookmarkEnd w:id="12"/>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792"/>
              <w:gridCol w:w="792"/>
              <w:gridCol w:w="797"/>
              <w:gridCol w:w="981"/>
              <w:gridCol w:w="1399"/>
              <w:gridCol w:w="1400"/>
              <w:gridCol w:w="1173"/>
            </w:tblGrid>
            <w:tr w14:paraId="7C97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645" w:type="pct"/>
                  <w:vMerge w:val="restart"/>
                  <w:shd w:val="clear" w:color="auto" w:fill="auto"/>
                  <w:vAlign w:val="center"/>
                </w:tcPr>
                <w:p w14:paraId="5C20FEE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预测方位</w:t>
                  </w:r>
                </w:p>
              </w:tc>
              <w:tc>
                <w:tcPr>
                  <w:tcW w:w="1413" w:type="pct"/>
                  <w:gridSpan w:val="3"/>
                  <w:shd w:val="clear" w:color="auto" w:fill="auto"/>
                  <w:vAlign w:val="center"/>
                </w:tcPr>
                <w:p w14:paraId="475DF75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最大值点</w:t>
                  </w:r>
                  <w:r>
                    <w:rPr>
                      <w:rFonts w:hint="default" w:ascii="Times New Roman" w:hAnsi="Times New Roman" w:eastAsia="宋体" w:cs="Times New Roman"/>
                      <w:color w:val="auto"/>
                      <w:sz w:val="21"/>
                      <w:szCs w:val="21"/>
                    </w:rPr>
                    <w:t>空间相对位置/m</w:t>
                  </w:r>
                </w:p>
              </w:tc>
              <w:tc>
                <w:tcPr>
                  <w:tcW w:w="582" w:type="pct"/>
                  <w:vMerge w:val="restart"/>
                  <w:shd w:val="clear" w:color="auto" w:fill="auto"/>
                  <w:vAlign w:val="center"/>
                </w:tcPr>
                <w:p w14:paraId="1854BE2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时段</w:t>
                  </w:r>
                </w:p>
              </w:tc>
              <w:tc>
                <w:tcPr>
                  <w:tcW w:w="830" w:type="pct"/>
                  <w:vMerge w:val="restart"/>
                  <w:shd w:val="clear" w:color="auto" w:fill="auto"/>
                  <w:vAlign w:val="center"/>
                </w:tcPr>
                <w:p w14:paraId="3CC708F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贡献值（dB(A)）</w:t>
                  </w:r>
                </w:p>
              </w:tc>
              <w:tc>
                <w:tcPr>
                  <w:tcW w:w="831" w:type="pct"/>
                  <w:vMerge w:val="restart"/>
                  <w:shd w:val="clear" w:color="auto" w:fill="auto"/>
                  <w:vAlign w:val="center"/>
                </w:tcPr>
                <w:p w14:paraId="19271F4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标准限值（dB(A)）</w:t>
                  </w:r>
                </w:p>
              </w:tc>
              <w:tc>
                <w:tcPr>
                  <w:tcW w:w="696" w:type="pct"/>
                  <w:vMerge w:val="restart"/>
                  <w:shd w:val="clear" w:color="auto" w:fill="auto"/>
                  <w:vAlign w:val="center"/>
                </w:tcPr>
                <w:p w14:paraId="37AEEDA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达标情况</w:t>
                  </w:r>
                </w:p>
              </w:tc>
            </w:tr>
            <w:tr w14:paraId="1F4E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45" w:type="pct"/>
                  <w:vMerge w:val="continue"/>
                  <w:shd w:val="clear" w:color="auto" w:fill="auto"/>
                  <w:vAlign w:val="center"/>
                </w:tcPr>
                <w:p w14:paraId="3145E5E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470" w:type="pct"/>
                  <w:shd w:val="clear" w:color="auto" w:fill="auto"/>
                  <w:vAlign w:val="center"/>
                </w:tcPr>
                <w:p w14:paraId="1CA51FB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p>
              </w:tc>
              <w:tc>
                <w:tcPr>
                  <w:tcW w:w="470" w:type="pct"/>
                  <w:shd w:val="clear" w:color="auto" w:fill="auto"/>
                  <w:vAlign w:val="center"/>
                </w:tcPr>
                <w:p w14:paraId="318722F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p>
              </w:tc>
              <w:tc>
                <w:tcPr>
                  <w:tcW w:w="471" w:type="pct"/>
                  <w:shd w:val="clear" w:color="auto" w:fill="auto"/>
                  <w:vAlign w:val="center"/>
                </w:tcPr>
                <w:p w14:paraId="7E63267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w:t>
                  </w:r>
                </w:p>
              </w:tc>
              <w:tc>
                <w:tcPr>
                  <w:tcW w:w="582" w:type="pct"/>
                  <w:vMerge w:val="continue"/>
                  <w:shd w:val="clear" w:color="auto" w:fill="auto"/>
                  <w:vAlign w:val="center"/>
                </w:tcPr>
                <w:p w14:paraId="37270D1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830" w:type="pct"/>
                  <w:vMerge w:val="continue"/>
                  <w:shd w:val="clear" w:color="auto" w:fill="auto"/>
                  <w:vAlign w:val="center"/>
                </w:tcPr>
                <w:p w14:paraId="017E84F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831" w:type="pct"/>
                  <w:vMerge w:val="continue"/>
                  <w:shd w:val="clear" w:color="auto" w:fill="auto"/>
                  <w:vAlign w:val="center"/>
                </w:tcPr>
                <w:p w14:paraId="3CD63B5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696" w:type="pct"/>
                  <w:vMerge w:val="continue"/>
                  <w:shd w:val="clear" w:color="auto" w:fill="auto"/>
                  <w:vAlign w:val="center"/>
                </w:tcPr>
                <w:p w14:paraId="034B33F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r>
            <w:tr w14:paraId="2932E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45" w:type="pct"/>
                  <w:vMerge w:val="restart"/>
                  <w:shd w:val="clear" w:color="auto" w:fill="auto"/>
                  <w:vAlign w:val="center"/>
                </w:tcPr>
                <w:p w14:paraId="57989A6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东侧</w:t>
                  </w:r>
                </w:p>
              </w:tc>
              <w:tc>
                <w:tcPr>
                  <w:tcW w:w="470" w:type="pct"/>
                  <w:shd w:val="clear" w:color="auto" w:fill="auto"/>
                  <w:vAlign w:val="center"/>
                </w:tcPr>
                <w:p w14:paraId="7099E8F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79.8</w:t>
                  </w:r>
                </w:p>
              </w:tc>
              <w:tc>
                <w:tcPr>
                  <w:tcW w:w="470" w:type="pct"/>
                  <w:shd w:val="clear" w:color="auto" w:fill="auto"/>
                  <w:vAlign w:val="center"/>
                </w:tcPr>
                <w:p w14:paraId="0719BA9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-47.4</w:t>
                  </w:r>
                </w:p>
              </w:tc>
              <w:tc>
                <w:tcPr>
                  <w:tcW w:w="471" w:type="pct"/>
                  <w:shd w:val="clear" w:color="auto" w:fill="auto"/>
                  <w:vAlign w:val="center"/>
                </w:tcPr>
                <w:p w14:paraId="1DF4196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582" w:type="pct"/>
                  <w:shd w:val="clear" w:color="auto" w:fill="auto"/>
                  <w:vAlign w:val="center"/>
                </w:tcPr>
                <w:p w14:paraId="692C1D5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830" w:type="pct"/>
                  <w:shd w:val="clear" w:color="auto" w:fill="auto"/>
                  <w:vAlign w:val="center"/>
                </w:tcPr>
                <w:p w14:paraId="4C13C16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21.2</w:t>
                  </w:r>
                </w:p>
              </w:tc>
              <w:tc>
                <w:tcPr>
                  <w:tcW w:w="831" w:type="pct"/>
                  <w:shd w:val="clear" w:color="auto" w:fill="auto"/>
                  <w:vAlign w:val="center"/>
                </w:tcPr>
                <w:p w14:paraId="1731F57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696" w:type="pct"/>
                  <w:shd w:val="clear" w:color="auto" w:fill="auto"/>
                  <w:vAlign w:val="center"/>
                </w:tcPr>
                <w:p w14:paraId="0A9F375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3B03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45" w:type="pct"/>
                  <w:vMerge w:val="continue"/>
                  <w:shd w:val="clear" w:color="auto" w:fill="auto"/>
                  <w:vAlign w:val="center"/>
                </w:tcPr>
                <w:p w14:paraId="09DE648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东侧</w:t>
                  </w:r>
                </w:p>
              </w:tc>
              <w:tc>
                <w:tcPr>
                  <w:tcW w:w="470" w:type="pct"/>
                  <w:shd w:val="clear" w:color="auto" w:fill="auto"/>
                  <w:vAlign w:val="center"/>
                </w:tcPr>
                <w:p w14:paraId="7C4E018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79.8</w:t>
                  </w:r>
                </w:p>
              </w:tc>
              <w:tc>
                <w:tcPr>
                  <w:tcW w:w="470" w:type="pct"/>
                  <w:shd w:val="clear" w:color="auto" w:fill="auto"/>
                  <w:vAlign w:val="center"/>
                </w:tcPr>
                <w:p w14:paraId="03BC230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-47.4</w:t>
                  </w:r>
                </w:p>
              </w:tc>
              <w:tc>
                <w:tcPr>
                  <w:tcW w:w="471" w:type="pct"/>
                  <w:shd w:val="clear" w:color="auto" w:fill="auto"/>
                  <w:vAlign w:val="center"/>
                </w:tcPr>
                <w:p w14:paraId="64A817F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582" w:type="pct"/>
                  <w:shd w:val="clear" w:color="auto" w:fill="auto"/>
                  <w:vAlign w:val="center"/>
                </w:tcPr>
                <w:p w14:paraId="79AAB83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830" w:type="pct"/>
                  <w:shd w:val="clear" w:color="auto" w:fill="auto"/>
                  <w:vAlign w:val="center"/>
                </w:tcPr>
                <w:p w14:paraId="4E8F00D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21.2</w:t>
                  </w:r>
                </w:p>
              </w:tc>
              <w:tc>
                <w:tcPr>
                  <w:tcW w:w="831" w:type="pct"/>
                  <w:shd w:val="clear" w:color="auto" w:fill="auto"/>
                  <w:vAlign w:val="center"/>
                </w:tcPr>
                <w:p w14:paraId="2235871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696" w:type="pct"/>
                  <w:shd w:val="clear" w:color="auto" w:fill="auto"/>
                  <w:vAlign w:val="center"/>
                </w:tcPr>
                <w:p w14:paraId="34A1401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F482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45" w:type="pct"/>
                  <w:vMerge w:val="restart"/>
                  <w:shd w:val="clear" w:color="auto" w:fill="auto"/>
                  <w:vAlign w:val="center"/>
                </w:tcPr>
                <w:p w14:paraId="757A31C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南侧</w:t>
                  </w:r>
                </w:p>
              </w:tc>
              <w:tc>
                <w:tcPr>
                  <w:tcW w:w="470" w:type="pct"/>
                  <w:shd w:val="clear" w:color="auto" w:fill="auto"/>
                  <w:vAlign w:val="center"/>
                </w:tcPr>
                <w:p w14:paraId="0E72B47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-40.9</w:t>
                  </w:r>
                </w:p>
              </w:tc>
              <w:tc>
                <w:tcPr>
                  <w:tcW w:w="470" w:type="pct"/>
                  <w:shd w:val="clear" w:color="auto" w:fill="auto"/>
                  <w:vAlign w:val="center"/>
                </w:tcPr>
                <w:p w14:paraId="03E57A9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-116</w:t>
                  </w:r>
                </w:p>
              </w:tc>
              <w:tc>
                <w:tcPr>
                  <w:tcW w:w="471" w:type="pct"/>
                  <w:shd w:val="clear" w:color="auto" w:fill="auto"/>
                  <w:vAlign w:val="center"/>
                </w:tcPr>
                <w:p w14:paraId="1714D1D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582" w:type="pct"/>
                  <w:shd w:val="clear" w:color="auto" w:fill="auto"/>
                  <w:vAlign w:val="center"/>
                </w:tcPr>
                <w:p w14:paraId="290B24D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830" w:type="pct"/>
                  <w:shd w:val="clear" w:color="auto" w:fill="auto"/>
                  <w:vAlign w:val="center"/>
                </w:tcPr>
                <w:p w14:paraId="2C09108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25.6</w:t>
                  </w:r>
                </w:p>
              </w:tc>
              <w:tc>
                <w:tcPr>
                  <w:tcW w:w="831" w:type="pct"/>
                  <w:shd w:val="clear" w:color="auto" w:fill="auto"/>
                  <w:vAlign w:val="center"/>
                </w:tcPr>
                <w:p w14:paraId="38C62D2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696" w:type="pct"/>
                  <w:shd w:val="clear" w:color="auto" w:fill="auto"/>
                  <w:vAlign w:val="center"/>
                </w:tcPr>
                <w:p w14:paraId="79D7A4E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5819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45" w:type="pct"/>
                  <w:vMerge w:val="continue"/>
                  <w:shd w:val="clear" w:color="auto" w:fill="auto"/>
                  <w:vAlign w:val="center"/>
                </w:tcPr>
                <w:p w14:paraId="30AF81B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南侧</w:t>
                  </w:r>
                </w:p>
              </w:tc>
              <w:tc>
                <w:tcPr>
                  <w:tcW w:w="470" w:type="pct"/>
                  <w:shd w:val="clear" w:color="auto" w:fill="auto"/>
                  <w:vAlign w:val="center"/>
                </w:tcPr>
                <w:p w14:paraId="589FC66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-40.9</w:t>
                  </w:r>
                </w:p>
              </w:tc>
              <w:tc>
                <w:tcPr>
                  <w:tcW w:w="470" w:type="pct"/>
                  <w:shd w:val="clear" w:color="auto" w:fill="auto"/>
                  <w:vAlign w:val="center"/>
                </w:tcPr>
                <w:p w14:paraId="2C9E2CF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-116</w:t>
                  </w:r>
                </w:p>
              </w:tc>
              <w:tc>
                <w:tcPr>
                  <w:tcW w:w="471" w:type="pct"/>
                  <w:shd w:val="clear" w:color="auto" w:fill="auto"/>
                  <w:vAlign w:val="center"/>
                </w:tcPr>
                <w:p w14:paraId="2CB7A62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582" w:type="pct"/>
                  <w:shd w:val="clear" w:color="auto" w:fill="auto"/>
                  <w:vAlign w:val="center"/>
                </w:tcPr>
                <w:p w14:paraId="394AC52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830" w:type="pct"/>
                  <w:shd w:val="clear" w:color="auto" w:fill="auto"/>
                  <w:vAlign w:val="center"/>
                </w:tcPr>
                <w:p w14:paraId="05498A4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25.6</w:t>
                  </w:r>
                </w:p>
              </w:tc>
              <w:tc>
                <w:tcPr>
                  <w:tcW w:w="831" w:type="pct"/>
                  <w:shd w:val="clear" w:color="auto" w:fill="auto"/>
                  <w:vAlign w:val="center"/>
                </w:tcPr>
                <w:p w14:paraId="095B60D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696" w:type="pct"/>
                  <w:shd w:val="clear" w:color="auto" w:fill="auto"/>
                  <w:vAlign w:val="center"/>
                </w:tcPr>
                <w:p w14:paraId="3107C64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1AF9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45" w:type="pct"/>
                  <w:vMerge w:val="restart"/>
                  <w:shd w:val="clear" w:color="auto" w:fill="auto"/>
                  <w:vAlign w:val="center"/>
                </w:tcPr>
                <w:p w14:paraId="0515BDB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西侧</w:t>
                  </w:r>
                </w:p>
              </w:tc>
              <w:tc>
                <w:tcPr>
                  <w:tcW w:w="470" w:type="pct"/>
                  <w:shd w:val="clear" w:color="auto" w:fill="auto"/>
                  <w:vAlign w:val="center"/>
                </w:tcPr>
                <w:p w14:paraId="3DB4DCD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-61.5</w:t>
                  </w:r>
                </w:p>
              </w:tc>
              <w:tc>
                <w:tcPr>
                  <w:tcW w:w="470" w:type="pct"/>
                  <w:shd w:val="clear" w:color="auto" w:fill="auto"/>
                  <w:vAlign w:val="center"/>
                </w:tcPr>
                <w:p w14:paraId="1DBF6C0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w:t>
                  </w:r>
                </w:p>
              </w:tc>
              <w:tc>
                <w:tcPr>
                  <w:tcW w:w="471" w:type="pct"/>
                  <w:shd w:val="clear" w:color="auto" w:fill="auto"/>
                  <w:vAlign w:val="center"/>
                </w:tcPr>
                <w:p w14:paraId="6EBA172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582" w:type="pct"/>
                  <w:shd w:val="clear" w:color="auto" w:fill="auto"/>
                  <w:vAlign w:val="center"/>
                </w:tcPr>
                <w:p w14:paraId="4C0626E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830" w:type="pct"/>
                  <w:shd w:val="clear" w:color="auto" w:fill="auto"/>
                  <w:vAlign w:val="center"/>
                </w:tcPr>
                <w:p w14:paraId="3CCD22A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31.1</w:t>
                  </w:r>
                </w:p>
              </w:tc>
              <w:tc>
                <w:tcPr>
                  <w:tcW w:w="831" w:type="pct"/>
                  <w:shd w:val="clear" w:color="auto" w:fill="auto"/>
                  <w:vAlign w:val="center"/>
                </w:tcPr>
                <w:p w14:paraId="55B18C1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696" w:type="pct"/>
                  <w:shd w:val="clear" w:color="auto" w:fill="auto"/>
                  <w:vAlign w:val="center"/>
                </w:tcPr>
                <w:p w14:paraId="188E118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9C80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45" w:type="pct"/>
                  <w:vMerge w:val="continue"/>
                  <w:shd w:val="clear" w:color="auto" w:fill="auto"/>
                  <w:vAlign w:val="center"/>
                </w:tcPr>
                <w:p w14:paraId="47DCEA6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西侧</w:t>
                  </w:r>
                </w:p>
              </w:tc>
              <w:tc>
                <w:tcPr>
                  <w:tcW w:w="470" w:type="pct"/>
                  <w:shd w:val="clear" w:color="auto" w:fill="auto"/>
                  <w:vAlign w:val="center"/>
                </w:tcPr>
                <w:p w14:paraId="6E52553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-61.5</w:t>
                  </w:r>
                </w:p>
              </w:tc>
              <w:tc>
                <w:tcPr>
                  <w:tcW w:w="470" w:type="pct"/>
                  <w:shd w:val="clear" w:color="auto" w:fill="auto"/>
                  <w:vAlign w:val="center"/>
                </w:tcPr>
                <w:p w14:paraId="1D157DC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w:t>
                  </w:r>
                </w:p>
              </w:tc>
              <w:tc>
                <w:tcPr>
                  <w:tcW w:w="471" w:type="pct"/>
                  <w:shd w:val="clear" w:color="auto" w:fill="auto"/>
                  <w:vAlign w:val="center"/>
                </w:tcPr>
                <w:p w14:paraId="47DA428C">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582" w:type="pct"/>
                  <w:shd w:val="clear" w:color="auto" w:fill="auto"/>
                  <w:vAlign w:val="center"/>
                </w:tcPr>
                <w:p w14:paraId="3553F88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830" w:type="pct"/>
                  <w:shd w:val="clear" w:color="auto" w:fill="auto"/>
                  <w:vAlign w:val="center"/>
                </w:tcPr>
                <w:p w14:paraId="5755771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31.1</w:t>
                  </w:r>
                </w:p>
              </w:tc>
              <w:tc>
                <w:tcPr>
                  <w:tcW w:w="831" w:type="pct"/>
                  <w:shd w:val="clear" w:color="auto" w:fill="auto"/>
                  <w:vAlign w:val="center"/>
                </w:tcPr>
                <w:p w14:paraId="3A15454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696" w:type="pct"/>
                  <w:shd w:val="clear" w:color="auto" w:fill="auto"/>
                  <w:vAlign w:val="center"/>
                </w:tcPr>
                <w:p w14:paraId="4AF517C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6328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45" w:type="pct"/>
                  <w:vMerge w:val="restart"/>
                  <w:shd w:val="clear" w:color="auto" w:fill="auto"/>
                  <w:vAlign w:val="center"/>
                </w:tcPr>
                <w:p w14:paraId="00A745F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北侧</w:t>
                  </w:r>
                </w:p>
              </w:tc>
              <w:tc>
                <w:tcPr>
                  <w:tcW w:w="470" w:type="pct"/>
                  <w:shd w:val="clear" w:color="auto" w:fill="auto"/>
                  <w:vAlign w:val="center"/>
                </w:tcPr>
                <w:p w14:paraId="635D873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48.4</w:t>
                  </w:r>
                </w:p>
              </w:tc>
              <w:tc>
                <w:tcPr>
                  <w:tcW w:w="470" w:type="pct"/>
                  <w:shd w:val="clear" w:color="auto" w:fill="auto"/>
                  <w:vAlign w:val="center"/>
                </w:tcPr>
                <w:p w14:paraId="4F690C0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110.6</w:t>
                  </w:r>
                </w:p>
              </w:tc>
              <w:tc>
                <w:tcPr>
                  <w:tcW w:w="471" w:type="pct"/>
                  <w:shd w:val="clear" w:color="auto" w:fill="auto"/>
                  <w:vAlign w:val="center"/>
                </w:tcPr>
                <w:p w14:paraId="590C5241">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582" w:type="pct"/>
                  <w:shd w:val="clear" w:color="auto" w:fill="auto"/>
                  <w:vAlign w:val="center"/>
                </w:tcPr>
                <w:p w14:paraId="5DF9715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830" w:type="pct"/>
                  <w:shd w:val="clear" w:color="auto" w:fill="auto"/>
                  <w:vAlign w:val="center"/>
                </w:tcPr>
                <w:p w14:paraId="44155DB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831" w:type="pct"/>
                  <w:shd w:val="clear" w:color="auto" w:fill="auto"/>
                  <w:vAlign w:val="center"/>
                </w:tcPr>
                <w:p w14:paraId="314F392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696" w:type="pct"/>
                  <w:shd w:val="clear" w:color="auto" w:fill="auto"/>
                  <w:vAlign w:val="center"/>
                </w:tcPr>
                <w:p w14:paraId="405D2A1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040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45" w:type="pct"/>
                  <w:vMerge w:val="continue"/>
                  <w:shd w:val="clear" w:color="auto" w:fill="auto"/>
                  <w:vAlign w:val="center"/>
                </w:tcPr>
                <w:p w14:paraId="190BFDC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北侧</w:t>
                  </w:r>
                </w:p>
              </w:tc>
              <w:tc>
                <w:tcPr>
                  <w:tcW w:w="470" w:type="pct"/>
                  <w:shd w:val="clear" w:color="auto" w:fill="auto"/>
                  <w:vAlign w:val="center"/>
                </w:tcPr>
                <w:p w14:paraId="143A9C73">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48.4</w:t>
                  </w:r>
                </w:p>
              </w:tc>
              <w:tc>
                <w:tcPr>
                  <w:tcW w:w="470" w:type="pct"/>
                  <w:shd w:val="clear" w:color="auto" w:fill="auto"/>
                  <w:vAlign w:val="center"/>
                </w:tcPr>
                <w:p w14:paraId="4E6A6516">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110.6</w:t>
                  </w:r>
                </w:p>
              </w:tc>
              <w:tc>
                <w:tcPr>
                  <w:tcW w:w="471" w:type="pct"/>
                  <w:shd w:val="clear" w:color="auto" w:fill="auto"/>
                  <w:vAlign w:val="center"/>
                </w:tcPr>
                <w:p w14:paraId="324FAE9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582" w:type="pct"/>
                  <w:shd w:val="clear" w:color="auto" w:fill="auto"/>
                  <w:vAlign w:val="center"/>
                </w:tcPr>
                <w:p w14:paraId="44E1B22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830" w:type="pct"/>
                  <w:shd w:val="clear" w:color="auto" w:fill="auto"/>
                  <w:vAlign w:val="center"/>
                </w:tcPr>
                <w:p w14:paraId="43EE307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831" w:type="pct"/>
                  <w:shd w:val="clear" w:color="auto" w:fill="auto"/>
                  <w:vAlign w:val="center"/>
                </w:tcPr>
                <w:p w14:paraId="51F1FDA8">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696" w:type="pct"/>
                  <w:shd w:val="clear" w:color="auto" w:fill="auto"/>
                  <w:vAlign w:val="center"/>
                </w:tcPr>
                <w:p w14:paraId="074B59C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00D4E0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kern w:val="0"/>
                <w:sz w:val="24"/>
                <w:lang w:bidi="ar"/>
              </w:rPr>
              <w:t>由上表可知，正常工况下，项目厂界噪声满足《工业企业厂界环境噪声排放标准》(GB12348.2008)</w:t>
            </w:r>
            <w:bookmarkStart w:id="13" w:name="PO_3"/>
            <w:r>
              <w:rPr>
                <w:rFonts w:hint="default" w:ascii="Times New Roman" w:hAnsi="Times New Roman" w:eastAsia="宋体" w:cs="Times New Roman"/>
                <w:color w:val="auto"/>
                <w:kern w:val="0"/>
                <w:sz w:val="24"/>
                <w:lang w:bidi="ar"/>
              </w:rPr>
              <w:t>3</w:t>
            </w:r>
            <w:bookmarkEnd w:id="13"/>
            <w:r>
              <w:rPr>
                <w:rFonts w:hint="default" w:ascii="Times New Roman" w:hAnsi="Times New Roman" w:eastAsia="宋体" w:cs="Times New Roman"/>
                <w:color w:val="auto"/>
                <w:kern w:val="0"/>
                <w:sz w:val="24"/>
                <w:lang w:bidi="ar"/>
              </w:rPr>
              <w:t>类标准。</w:t>
            </w:r>
            <w:r>
              <w:rPr>
                <w:rFonts w:hint="default" w:ascii="Times New Roman" w:hAnsi="Times New Roman" w:eastAsia="宋体" w:cs="Times New Roman"/>
                <w:color w:val="auto"/>
                <w:sz w:val="24"/>
                <w:lang w:val="zh-CN"/>
              </w:rPr>
              <w:t>为</w:t>
            </w:r>
            <w:r>
              <w:rPr>
                <w:rFonts w:hint="eastAsia" w:cs="Times New Roman"/>
                <w:color w:val="auto"/>
                <w:sz w:val="24"/>
                <w:lang w:val="zh-CN"/>
              </w:rPr>
              <w:t>了</w:t>
            </w:r>
            <w:r>
              <w:rPr>
                <w:rFonts w:hint="default" w:ascii="Times New Roman" w:hAnsi="Times New Roman" w:eastAsia="宋体" w:cs="Times New Roman"/>
                <w:color w:val="auto"/>
                <w:sz w:val="24"/>
                <w:lang w:val="zh-CN"/>
              </w:rPr>
              <w:t>减小运营期噪声对周边环境的影响，本环评提出如下措施：</w:t>
            </w:r>
          </w:p>
          <w:p w14:paraId="052AF9C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rPr>
              <w:t>1）选用低噪声设备，安装过程中采取减振措施，</w:t>
            </w:r>
            <w:r>
              <w:rPr>
                <w:rFonts w:hint="eastAsia" w:cs="Times New Roman"/>
                <w:color w:val="auto"/>
                <w:sz w:val="24"/>
                <w:lang w:val="en-US" w:eastAsia="zh-CN"/>
              </w:rPr>
              <w:t>空压机设置在密闭的房间内，</w:t>
            </w:r>
            <w:r>
              <w:rPr>
                <w:rFonts w:hint="default" w:ascii="Times New Roman" w:hAnsi="Times New Roman" w:eastAsia="宋体" w:cs="Times New Roman"/>
                <w:color w:val="auto"/>
                <w:sz w:val="24"/>
              </w:rPr>
              <w:t>同时加强保养，避免因运行状况不佳而诱发更高噪声，以从源头上减小噪声的影响；</w:t>
            </w:r>
          </w:p>
          <w:p w14:paraId="664D185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rPr>
              <w:t>2）厂区合理布局、高噪声设备远离厂界；</w:t>
            </w:r>
          </w:p>
          <w:p w14:paraId="7CA7835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3）加强设备的日常维修、更新，确保所有设备尤其是噪声污染防治设备处于正常工况；</w:t>
            </w:r>
          </w:p>
          <w:p w14:paraId="7788E96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4）物料及成品运输车辆进出厂区时禁止鸣笛、限速行驶；</w:t>
            </w:r>
          </w:p>
          <w:p w14:paraId="53D2159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5）对操作员工影响加强个人防护意识，工作人员应佩戴防噪用品，如防声耳塞或耳罩等。</w:t>
            </w:r>
          </w:p>
          <w:p w14:paraId="42E1543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rPr>
              <w:t>6）加强管理培训，确保工人文明操作，装卸货物时轻拿轻放，避免因野蛮操作产生的突发性噪声；</w:t>
            </w:r>
            <w:r>
              <w:rPr>
                <w:rFonts w:hint="default" w:ascii="Times New Roman" w:hAnsi="Times New Roman" w:eastAsia="宋体" w:cs="Times New Roman"/>
                <w:color w:val="auto"/>
                <w:sz w:val="24"/>
                <w:lang w:val="zh-CN"/>
              </w:rPr>
              <w:t>以上处理措施在各行业噪声防治中广泛应用，处理效果好。</w:t>
            </w:r>
          </w:p>
          <w:p w14:paraId="744A273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（4）监测计划</w:t>
            </w:r>
          </w:p>
          <w:p w14:paraId="1FFC7A1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根据《排污单位自行监测技术指南》（HJI819-2017），本项目噪声监测计划如下。</w:t>
            </w:r>
          </w:p>
          <w:p w14:paraId="703BA99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p>
          <w:p w14:paraId="3D8406B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eastAsia" w:cs="Times New Roman"/>
                <w:b/>
                <w:bCs/>
                <w:color w:val="auto"/>
                <w:sz w:val="21"/>
                <w:szCs w:val="21"/>
                <w:lang w:val="en-US" w:eastAsia="zh-CN"/>
              </w:rPr>
              <w:t>17</w:t>
            </w:r>
            <w:r>
              <w:rPr>
                <w:rFonts w:hint="default" w:ascii="Times New Roman" w:hAnsi="Times New Roman" w:eastAsia="宋体" w:cs="Times New Roman"/>
                <w:b/>
                <w:bCs/>
                <w:color w:val="auto"/>
                <w:sz w:val="21"/>
                <w:szCs w:val="21"/>
              </w:rPr>
              <w:t xml:space="preserve"> 项目监测计划一览表</w:t>
            </w:r>
          </w:p>
          <w:tbl>
            <w:tblPr>
              <w:tblStyle w:val="28"/>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95"/>
              <w:gridCol w:w="1595"/>
              <w:gridCol w:w="1596"/>
              <w:gridCol w:w="1260"/>
              <w:gridCol w:w="2383"/>
            </w:tblGrid>
            <w:tr w14:paraId="10B494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543" w:type="dxa"/>
                  <w:noWrap w:val="0"/>
                  <w:vAlign w:val="center"/>
                </w:tcPr>
                <w:p w14:paraId="77D89F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污染源</w:t>
                  </w:r>
                </w:p>
              </w:tc>
              <w:tc>
                <w:tcPr>
                  <w:tcW w:w="1543" w:type="dxa"/>
                  <w:noWrap w:val="0"/>
                  <w:vAlign w:val="center"/>
                </w:tcPr>
                <w:p w14:paraId="11288B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监测点位</w:t>
                  </w:r>
                </w:p>
              </w:tc>
              <w:tc>
                <w:tcPr>
                  <w:tcW w:w="1544" w:type="dxa"/>
                  <w:noWrap w:val="0"/>
                  <w:vAlign w:val="center"/>
                </w:tcPr>
                <w:p w14:paraId="2266AF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监测指标</w:t>
                  </w:r>
                </w:p>
              </w:tc>
              <w:tc>
                <w:tcPr>
                  <w:tcW w:w="1218" w:type="dxa"/>
                  <w:noWrap w:val="0"/>
                  <w:vAlign w:val="center"/>
                </w:tcPr>
                <w:p w14:paraId="36738A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监测频次</w:t>
                  </w:r>
                </w:p>
              </w:tc>
              <w:tc>
                <w:tcPr>
                  <w:tcW w:w="2304" w:type="dxa"/>
                  <w:noWrap w:val="0"/>
                  <w:vAlign w:val="center"/>
                </w:tcPr>
                <w:p w14:paraId="6D1E0F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执行标准</w:t>
                  </w:r>
                </w:p>
              </w:tc>
            </w:tr>
            <w:tr w14:paraId="69D351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543" w:type="dxa"/>
                  <w:noWrap w:val="0"/>
                  <w:vAlign w:val="center"/>
                </w:tcPr>
                <w:p w14:paraId="1E87B68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噪声</w:t>
                  </w:r>
                </w:p>
              </w:tc>
              <w:tc>
                <w:tcPr>
                  <w:tcW w:w="1543" w:type="dxa"/>
                  <w:noWrap w:val="0"/>
                  <w:vAlign w:val="center"/>
                </w:tcPr>
                <w:p w14:paraId="2FC303A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东南西北4厂界</w:t>
                  </w:r>
                </w:p>
              </w:tc>
              <w:tc>
                <w:tcPr>
                  <w:tcW w:w="1544" w:type="dxa"/>
                  <w:noWrap w:val="0"/>
                  <w:vAlign w:val="center"/>
                </w:tcPr>
                <w:p w14:paraId="6323519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等效连续A声级</w:t>
                  </w:r>
                </w:p>
              </w:tc>
              <w:tc>
                <w:tcPr>
                  <w:tcW w:w="1218" w:type="dxa"/>
                  <w:noWrap w:val="0"/>
                  <w:vAlign w:val="center"/>
                </w:tcPr>
                <w:p w14:paraId="2AA25A2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1次/季度</w:t>
                  </w:r>
                </w:p>
              </w:tc>
              <w:tc>
                <w:tcPr>
                  <w:tcW w:w="2304" w:type="dxa"/>
                  <w:noWrap w:val="0"/>
                  <w:vAlign w:val="center"/>
                </w:tcPr>
                <w:p w14:paraId="09F20D1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《工业企业厂界环境噪声排放标准》（GB12348-2008）3类</w:t>
                  </w:r>
                </w:p>
              </w:tc>
            </w:tr>
          </w:tbl>
          <w:p w14:paraId="0FE8F539">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四、运营期固体废物影响分析</w:t>
            </w:r>
          </w:p>
          <w:p w14:paraId="7041C048">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（1）固体废物核算</w:t>
            </w:r>
          </w:p>
          <w:p w14:paraId="3A0FAEAE">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项目主要固废包括一般固废及危险废物。</w:t>
            </w:r>
          </w:p>
          <w:p w14:paraId="10B096BB">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一般固废：</w:t>
            </w:r>
          </w:p>
          <w:p w14:paraId="722C415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①水过滤材料</w:t>
            </w:r>
          </w:p>
          <w:p w14:paraId="37BBA4E8">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根据企业提供的资料，水过滤材料产生量为2.5t/a</w:t>
            </w:r>
            <w:r>
              <w:rPr>
                <w:rFonts w:hint="eastAsia" w:ascii="Times New Roman" w:hAnsi="Times New Roman" w:eastAsia="宋体" w:cs="Times New Roman"/>
                <w:color w:val="auto"/>
                <w:sz w:val="24"/>
                <w:szCs w:val="28"/>
                <w:lang w:val="en-US" w:eastAsia="zh-CN"/>
              </w:rPr>
              <w:t>经</w:t>
            </w:r>
            <w:r>
              <w:rPr>
                <w:rFonts w:hint="default" w:ascii="Times New Roman" w:hAnsi="Times New Roman" w:eastAsia="宋体" w:cs="Times New Roman"/>
                <w:color w:val="auto"/>
                <w:sz w:val="24"/>
                <w:szCs w:val="28"/>
                <w:lang w:val="en-US" w:eastAsia="zh-CN"/>
              </w:rPr>
              <w:t>收集后送废品回收站。</w:t>
            </w:r>
          </w:p>
          <w:p w14:paraId="38F33B4F">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②除尘器粉尘</w:t>
            </w:r>
          </w:p>
          <w:p w14:paraId="2E335688">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eastAsia" w:cs="Times New Roman"/>
                <w:color w:val="auto"/>
                <w:sz w:val="24"/>
                <w:szCs w:val="28"/>
                <w:lang w:val="en-US" w:eastAsia="zh-CN"/>
              </w:rPr>
              <w:t>水性涂料生产线</w:t>
            </w:r>
            <w:r>
              <w:rPr>
                <w:rFonts w:hint="default" w:ascii="Times New Roman" w:hAnsi="Times New Roman" w:eastAsia="宋体" w:cs="Times New Roman"/>
                <w:color w:val="auto"/>
                <w:sz w:val="24"/>
                <w:szCs w:val="28"/>
                <w:lang w:val="en-US" w:eastAsia="zh-CN"/>
              </w:rPr>
              <w:t>布袋除尘器收集的粉尘为</w:t>
            </w:r>
            <w:r>
              <w:rPr>
                <w:rFonts w:hint="eastAsia" w:cs="Times New Roman"/>
                <w:color w:val="auto"/>
                <w:sz w:val="24"/>
                <w:szCs w:val="28"/>
                <w:lang w:val="en-US" w:eastAsia="zh-CN"/>
              </w:rPr>
              <w:t>1.822</w:t>
            </w:r>
            <w:r>
              <w:rPr>
                <w:rFonts w:hint="default" w:ascii="Times New Roman" w:hAnsi="Times New Roman" w:eastAsia="宋体" w:cs="Times New Roman"/>
                <w:color w:val="auto"/>
                <w:sz w:val="24"/>
                <w:szCs w:val="28"/>
                <w:lang w:val="en-US" w:eastAsia="zh-CN"/>
              </w:rPr>
              <w:t>t/a，经收集后作为原料使用；腻子粉生产线除尘器收集的粉尘为</w:t>
            </w:r>
            <w:r>
              <w:rPr>
                <w:rFonts w:hint="eastAsia" w:cs="Times New Roman"/>
                <w:color w:val="auto"/>
                <w:sz w:val="24"/>
                <w:szCs w:val="28"/>
                <w:lang w:val="en-US" w:eastAsia="zh-CN"/>
              </w:rPr>
              <w:t>455.9978</w:t>
            </w:r>
            <w:r>
              <w:rPr>
                <w:rFonts w:hint="default" w:ascii="Times New Roman" w:hAnsi="Times New Roman" w:eastAsia="宋体" w:cs="Times New Roman"/>
                <w:color w:val="auto"/>
                <w:sz w:val="24"/>
                <w:szCs w:val="28"/>
                <w:lang w:val="en-US" w:eastAsia="zh-CN"/>
              </w:rPr>
              <w:t>t/a，经收集后作为腻子粉生产原料使用。</w:t>
            </w:r>
            <w:r>
              <w:rPr>
                <w:rFonts w:hint="eastAsia" w:cs="Times New Roman"/>
                <w:color w:val="auto"/>
                <w:sz w:val="24"/>
                <w:szCs w:val="28"/>
                <w:lang w:val="en-US" w:eastAsia="zh-CN"/>
              </w:rPr>
              <w:t>腻子粉密闭生产车间内粉尘自然沉降量为42.557</w:t>
            </w:r>
            <w:r>
              <w:rPr>
                <w:rFonts w:hint="default" w:ascii="Times New Roman" w:hAnsi="Times New Roman" w:eastAsia="宋体" w:cs="Times New Roman"/>
                <w:color w:val="auto"/>
                <w:sz w:val="24"/>
                <w:szCs w:val="28"/>
                <w:lang w:val="en-US" w:eastAsia="zh-CN"/>
              </w:rPr>
              <w:t>t/a</w:t>
            </w:r>
            <w:r>
              <w:rPr>
                <w:rFonts w:hint="eastAsia" w:cs="Times New Roman"/>
                <w:color w:val="auto"/>
                <w:sz w:val="24"/>
                <w:szCs w:val="28"/>
                <w:lang w:val="en-US" w:eastAsia="zh-CN"/>
              </w:rPr>
              <w:t>，经收集后作为原料使用。</w:t>
            </w:r>
          </w:p>
          <w:p w14:paraId="757521DF">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③废包装材料</w:t>
            </w:r>
          </w:p>
          <w:p w14:paraId="3F2ACA19">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根据企业提供的资料，项目废包装材料产生量为1t/a；经收集后暂存一般固废间，外售废品回收站。</w:t>
            </w:r>
          </w:p>
          <w:p w14:paraId="3DD92839">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④污水处理系统污泥</w:t>
            </w:r>
          </w:p>
          <w:p w14:paraId="56E760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eastAsia="宋体" w:cs="Times New Roman"/>
                <w:color w:val="auto"/>
                <w:kern w:val="2"/>
                <w:sz w:val="24"/>
                <w:szCs w:val="24"/>
                <w:lang w:val="zh-CN" w:eastAsia="zh-CN" w:bidi="ar-SA"/>
              </w:rPr>
              <w:t>根据《集中式污染治理设施产排污系数手册（2010修订）》，污泥产生量按照16.7t/万t废水处理量计算，项目年处理</w:t>
            </w:r>
            <w:r>
              <w:rPr>
                <w:rFonts w:hint="default" w:ascii="Times New Roman" w:hAnsi="Times New Roman" w:eastAsia="宋体" w:cs="Times New Roman"/>
                <w:color w:val="auto"/>
                <w:kern w:val="2"/>
                <w:sz w:val="24"/>
                <w:szCs w:val="24"/>
                <w:lang w:val="en-US" w:eastAsia="zh-CN" w:bidi="ar-SA"/>
              </w:rPr>
              <w:t>7744t废水，则污泥产生量为12t/a</w:t>
            </w:r>
            <w:r>
              <w:rPr>
                <w:rFonts w:hint="default" w:ascii="Times New Roman" w:hAnsi="Times New Roman" w:eastAsia="宋体" w:cs="Times New Roman"/>
                <w:color w:val="auto"/>
                <w:kern w:val="2"/>
                <w:sz w:val="24"/>
                <w:szCs w:val="24"/>
                <w:lang w:val="zh-CN" w:eastAsia="zh-CN" w:bidi="ar-SA"/>
              </w:rPr>
              <w:t>。污水处理系统产生的污泥委托</w:t>
            </w:r>
            <w:r>
              <w:rPr>
                <w:rFonts w:hint="eastAsia" w:cs="Times New Roman"/>
                <w:color w:val="auto"/>
                <w:kern w:val="2"/>
                <w:sz w:val="24"/>
                <w:szCs w:val="24"/>
                <w:lang w:val="zh-CN" w:eastAsia="zh-CN" w:bidi="ar-SA"/>
              </w:rPr>
              <w:t>富名翔盛废物旧资收购点</w:t>
            </w:r>
            <w:r>
              <w:rPr>
                <w:rFonts w:hint="default" w:ascii="Times New Roman" w:hAnsi="Times New Roman" w:eastAsia="宋体" w:cs="Times New Roman"/>
                <w:color w:val="auto"/>
                <w:kern w:val="2"/>
                <w:sz w:val="24"/>
                <w:szCs w:val="24"/>
                <w:lang w:val="zh-CN" w:eastAsia="zh-CN" w:bidi="ar-SA"/>
              </w:rPr>
              <w:t>定期清运处理。</w:t>
            </w:r>
          </w:p>
          <w:p w14:paraId="2B844FD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⑤生活垃圾</w:t>
            </w:r>
          </w:p>
          <w:p w14:paraId="0EC36FBC">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本项目生产车间劳动定员150人，按每人每天产生垃圾0.5kg计，生活垃圾产生量为75kg/d，20.6t/a。集中收集后，委托园区环卫部门定期清运处置。</w:t>
            </w:r>
          </w:p>
          <w:p w14:paraId="66E3A1F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⑥餐厨固废</w:t>
            </w:r>
          </w:p>
          <w:p w14:paraId="47A6284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本项目劳动定员150人，餐厨固废按每人每天产生0.4kg计，生活垃圾产生量为60kg/d，16.5t/a。集中收集后，委托有餐厨废弃物特许经营单位清运处置。</w:t>
            </w:r>
          </w:p>
          <w:p w14:paraId="3FFE641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危险固废：</w:t>
            </w:r>
          </w:p>
          <w:p w14:paraId="577912B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①废活性炭</w:t>
            </w:r>
          </w:p>
          <w:p w14:paraId="0FF591CC">
            <w:pPr>
              <w:pStyle w:val="107"/>
              <w:keepNext w:val="0"/>
              <w:keepLines w:val="0"/>
              <w:pageBreakBefore w:val="0"/>
              <w:widowControl/>
              <w:suppressLineNumbers w:val="0"/>
              <w:shd w:val="clear" w:color="auto" w:fill="auto"/>
              <w:kinsoku/>
              <w:wordWrap/>
              <w:overflowPunct/>
              <w:topLinePunct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highlight w:val="none"/>
                <w:lang w:val="en-US" w:eastAsia="zh-CN" w:bidi="ar-SA"/>
              </w:rPr>
              <w:t>项目</w:t>
            </w:r>
            <w:r>
              <w:rPr>
                <w:rFonts w:hint="eastAsia" w:eastAsia="宋体" w:cs="Times New Roman"/>
                <w:color w:val="auto"/>
                <w:kern w:val="2"/>
                <w:sz w:val="24"/>
                <w:szCs w:val="24"/>
                <w:highlight w:val="none"/>
                <w:lang w:val="en-US" w:eastAsia="zh-CN" w:bidi="ar-SA"/>
              </w:rPr>
              <w:t>水性涂料生产车间罐装环节产生的非甲烷总烃</w:t>
            </w:r>
            <w:r>
              <w:rPr>
                <w:rFonts w:hint="default" w:ascii="Times New Roman" w:hAnsi="Times New Roman" w:eastAsia="宋体" w:cs="Times New Roman"/>
                <w:color w:val="auto"/>
                <w:kern w:val="2"/>
                <w:sz w:val="24"/>
                <w:szCs w:val="24"/>
                <w:highlight w:val="none"/>
                <w:lang w:val="en-US" w:eastAsia="zh-CN" w:bidi="ar-SA"/>
              </w:rPr>
              <w:t>采用活性</w:t>
            </w:r>
            <w:r>
              <w:rPr>
                <w:rFonts w:hint="default" w:ascii="Times New Roman" w:hAnsi="Times New Roman" w:eastAsia="宋体" w:cs="Times New Roman"/>
                <w:color w:val="auto"/>
                <w:sz w:val="24"/>
                <w:szCs w:val="24"/>
                <w:highlight w:val="none"/>
                <w:lang w:val="en-US" w:eastAsia="zh-CN"/>
              </w:rPr>
              <w:t>炭吸附</w:t>
            </w:r>
            <w:r>
              <w:rPr>
                <w:rFonts w:hint="default" w:ascii="Times New Roman" w:hAnsi="Times New Roman" w:eastAsia="宋体" w:cs="Times New Roman"/>
                <w:color w:val="auto"/>
                <w:sz w:val="24"/>
                <w:szCs w:val="24"/>
                <w:highlight w:val="none"/>
                <w:lang w:eastAsia="zh-CN"/>
              </w:rPr>
              <w:t>装置</w:t>
            </w:r>
            <w:r>
              <w:rPr>
                <w:rFonts w:hint="eastAsia" w:eastAsia="宋体" w:cs="Times New Roman"/>
                <w:color w:val="auto"/>
                <w:sz w:val="24"/>
                <w:szCs w:val="24"/>
                <w:highlight w:val="none"/>
                <w:lang w:eastAsia="zh-CN"/>
              </w:rPr>
              <w:t>处理</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运营</w:t>
            </w:r>
            <w:r>
              <w:rPr>
                <w:rFonts w:hint="default" w:ascii="Times New Roman" w:hAnsi="Times New Roman" w:eastAsia="宋体" w:cs="Times New Roman"/>
                <w:color w:val="auto"/>
                <w:sz w:val="24"/>
                <w:szCs w:val="24"/>
                <w:highlight w:val="none"/>
              </w:rPr>
              <w:t>过程中会产生</w:t>
            </w:r>
            <w:r>
              <w:rPr>
                <w:rFonts w:hint="default" w:ascii="Times New Roman" w:hAnsi="Times New Roman" w:eastAsia="宋体" w:cs="Times New Roman"/>
                <w:b w:val="0"/>
                <w:bCs w:val="0"/>
                <w:color w:val="auto"/>
                <w:sz w:val="24"/>
                <w:szCs w:val="24"/>
                <w:highlight w:val="none"/>
                <w:lang w:val="en-US" w:eastAsia="zh-CN"/>
              </w:rPr>
              <w:t>废活性炭。</w:t>
            </w:r>
            <w:r>
              <w:rPr>
                <w:rFonts w:hint="default" w:ascii="Times New Roman" w:hAnsi="Times New Roman" w:eastAsia="宋体" w:cs="Times New Roman"/>
                <w:color w:val="auto"/>
                <w:sz w:val="24"/>
                <w:szCs w:val="24"/>
                <w:highlight w:val="none"/>
                <w:lang w:bidi="en-US"/>
              </w:rPr>
              <w:t>本项目使用</w:t>
            </w:r>
            <w:r>
              <w:rPr>
                <w:rFonts w:hint="default" w:ascii="Times New Roman" w:hAnsi="Times New Roman" w:eastAsia="宋体" w:cs="Times New Roman"/>
                <w:color w:val="auto"/>
                <w:sz w:val="24"/>
                <w:szCs w:val="24"/>
                <w:highlight w:val="none"/>
              </w:rPr>
              <w:t>活性炭处理设施对</w:t>
            </w:r>
            <w:r>
              <w:rPr>
                <w:rFonts w:hint="default" w:ascii="Times New Roman" w:hAnsi="Times New Roman" w:eastAsia="宋体" w:cs="Times New Roman"/>
                <w:bCs/>
                <w:color w:val="auto"/>
                <w:sz w:val="24"/>
                <w:szCs w:val="24"/>
                <w:highlight w:val="none"/>
              </w:rPr>
              <w:t>有组织</w:t>
            </w:r>
            <w:r>
              <w:rPr>
                <w:rFonts w:hint="default" w:ascii="Times New Roman" w:hAnsi="Times New Roman" w:eastAsia="宋体" w:cs="Times New Roman"/>
                <w:bCs/>
                <w:color w:val="auto"/>
                <w:sz w:val="24"/>
                <w:szCs w:val="24"/>
                <w:highlight w:val="none"/>
                <w:lang w:val="en-US" w:eastAsia="zh-CN"/>
              </w:rPr>
              <w:t>废气</w:t>
            </w:r>
            <w:r>
              <w:rPr>
                <w:rFonts w:hint="default" w:ascii="Times New Roman" w:hAnsi="Times New Roman" w:eastAsia="宋体" w:cs="Times New Roman"/>
                <w:bCs/>
                <w:color w:val="auto"/>
                <w:sz w:val="24"/>
                <w:szCs w:val="24"/>
                <w:highlight w:val="none"/>
              </w:rPr>
              <w:t>进行吸附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rPr>
              <w:t>活性炭</w:t>
            </w:r>
            <w:r>
              <w:rPr>
                <w:rFonts w:hint="default" w:ascii="Times New Roman" w:hAnsi="Times New Roman" w:eastAsia="宋体" w:cs="Times New Roman"/>
                <w:color w:val="auto"/>
                <w:kern w:val="0"/>
                <w:sz w:val="24"/>
                <w:szCs w:val="24"/>
                <w:highlight w:val="none"/>
                <w:lang w:val="en-US" w:eastAsia="zh-CN"/>
              </w:rPr>
              <w:t>重复</w:t>
            </w:r>
            <w:r>
              <w:rPr>
                <w:rFonts w:hint="default" w:ascii="Times New Roman" w:hAnsi="Times New Roman" w:eastAsia="宋体" w:cs="Times New Roman"/>
                <w:color w:val="auto"/>
                <w:kern w:val="0"/>
                <w:sz w:val="24"/>
                <w:szCs w:val="24"/>
                <w:highlight w:val="none"/>
              </w:rPr>
              <w:t>使用一段时间后会失效，</w:t>
            </w:r>
            <w:r>
              <w:rPr>
                <w:rFonts w:hint="default" w:ascii="Times New Roman" w:hAnsi="Times New Roman" w:eastAsia="宋体" w:cs="Times New Roman"/>
                <w:color w:val="auto"/>
                <w:sz w:val="24"/>
                <w:szCs w:val="24"/>
                <w:highlight w:val="none"/>
              </w:rPr>
              <w:t>参考陆良杰、王京刚在《化工环保》2007年05期发表的《挥发性有机物的物化性质与活性炭饱和吸附量的相关性研究》，</w:t>
            </w:r>
            <w:r>
              <w:rPr>
                <w:rFonts w:hint="default" w:ascii="Times New Roman" w:hAnsi="Times New Roman" w:eastAsia="宋体" w:cs="Times New Roman"/>
                <w:color w:val="auto"/>
                <w:sz w:val="24"/>
                <w:szCs w:val="24"/>
              </w:rPr>
              <w:t>活性炭对</w:t>
            </w:r>
            <w:r>
              <w:rPr>
                <w:rFonts w:hint="default" w:ascii="Times New Roman" w:hAnsi="Times New Roman" w:eastAsia="宋体" w:cs="Times New Roman"/>
                <w:color w:val="auto"/>
                <w:sz w:val="24"/>
                <w:szCs w:val="24"/>
                <w:lang w:eastAsia="zh-CN"/>
              </w:rPr>
              <w:t>挥发性有机废气</w:t>
            </w:r>
            <w:r>
              <w:rPr>
                <w:rFonts w:hint="default" w:ascii="Times New Roman" w:hAnsi="Times New Roman" w:eastAsia="宋体" w:cs="Times New Roman"/>
                <w:color w:val="auto"/>
                <w:sz w:val="24"/>
                <w:szCs w:val="24"/>
              </w:rPr>
              <w:t>的饱</w:t>
            </w:r>
            <w:r>
              <w:rPr>
                <w:rFonts w:hint="default" w:ascii="Times New Roman" w:hAnsi="Times New Roman" w:eastAsia="宋体" w:cs="Times New Roman"/>
                <w:color w:val="auto"/>
                <w:sz w:val="24"/>
                <w:szCs w:val="24"/>
                <w:highlight w:val="none"/>
              </w:rPr>
              <w:t>和吸附量为280mg/g，项目设置</w:t>
            </w:r>
            <w:r>
              <w:rPr>
                <w:rFonts w:hint="eastAsia"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lang w:val="en-US" w:eastAsia="zh-CN"/>
              </w:rPr>
              <w:t>套</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活性炭吸附</w:t>
            </w:r>
            <w:r>
              <w:rPr>
                <w:rFonts w:hint="default" w:ascii="Times New Roman" w:hAnsi="Times New Roman" w:eastAsia="宋体" w:cs="Times New Roman"/>
                <w:color w:val="auto"/>
                <w:sz w:val="24"/>
                <w:szCs w:val="24"/>
                <w:highlight w:val="none"/>
              </w:rPr>
              <w:t>”装置，吸附</w:t>
            </w:r>
            <w:r>
              <w:rPr>
                <w:rFonts w:hint="default" w:ascii="Times New Roman" w:hAnsi="Times New Roman" w:eastAsia="宋体" w:cs="Times New Roman"/>
                <w:color w:val="auto"/>
                <w:sz w:val="24"/>
                <w:szCs w:val="24"/>
                <w:highlight w:val="none"/>
                <w:lang w:eastAsia="zh-CN"/>
              </w:rPr>
              <w:t>有机废气</w:t>
            </w:r>
            <w:r>
              <w:rPr>
                <w:rFonts w:hint="default" w:ascii="Times New Roman" w:hAnsi="Times New Roman" w:eastAsia="宋体" w:cs="Times New Roman"/>
                <w:color w:val="auto"/>
                <w:sz w:val="24"/>
                <w:szCs w:val="24"/>
                <w:highlight w:val="none"/>
              </w:rPr>
              <w:t>量为</w:t>
            </w:r>
            <w:r>
              <w:rPr>
                <w:rFonts w:hint="eastAsia" w:eastAsia="宋体" w:cs="Times New Roman"/>
                <w:color w:val="auto"/>
                <w:sz w:val="24"/>
                <w:szCs w:val="24"/>
                <w:highlight w:val="none"/>
                <w:lang w:val="en-US" w:eastAsia="zh-CN"/>
              </w:rPr>
              <w:t>3.2</w:t>
            </w:r>
            <w:r>
              <w:rPr>
                <w:rFonts w:hint="default" w:ascii="Times New Roman" w:hAnsi="Times New Roman" w:eastAsia="宋体" w:cs="Times New Roman"/>
                <w:color w:val="auto"/>
                <w:sz w:val="24"/>
                <w:szCs w:val="24"/>
                <w:highlight w:val="none"/>
              </w:rPr>
              <w:t>t，则活性炭用量为</w:t>
            </w:r>
            <w:r>
              <w:rPr>
                <w:rFonts w:hint="eastAsia"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t/a，废活性炭产生量为</w:t>
            </w:r>
            <w:r>
              <w:rPr>
                <w:rFonts w:hint="eastAsia" w:eastAsia="宋体" w:cs="Times New Roman"/>
                <w:color w:val="auto"/>
                <w:sz w:val="24"/>
                <w:szCs w:val="24"/>
                <w:highlight w:val="none"/>
                <w:lang w:val="en-US" w:eastAsia="zh-CN"/>
              </w:rPr>
              <w:t>14.2</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bidi="ar"/>
              </w:rPr>
              <w:t>根据《国家危险废物名录》</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2021年版</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，废活性炭属于</w:t>
            </w:r>
            <w:r>
              <w:rPr>
                <w:rFonts w:hint="default" w:ascii="Times New Roman" w:hAnsi="Times New Roman" w:eastAsia="宋体" w:cs="Times New Roman"/>
                <w:color w:val="auto"/>
                <w:sz w:val="24"/>
                <w:szCs w:val="24"/>
                <w:highlight w:val="none"/>
                <w:lang w:eastAsia="zh-CN"/>
              </w:rPr>
              <w:t>HW49其他废物</w:t>
            </w:r>
            <w:r>
              <w:rPr>
                <w:rFonts w:hint="default" w:ascii="Times New Roman" w:hAnsi="Times New Roman" w:eastAsia="宋体" w:cs="Times New Roman"/>
                <w:color w:val="auto"/>
                <w:sz w:val="24"/>
                <w:szCs w:val="24"/>
                <w:highlight w:val="none"/>
                <w:lang w:val="en-US" w:eastAsia="zh-CN"/>
              </w:rPr>
              <w:t>类</w:t>
            </w:r>
            <w:r>
              <w:rPr>
                <w:rFonts w:hint="default" w:ascii="Times New Roman" w:hAnsi="Times New Roman" w:eastAsia="宋体" w:cs="Times New Roman"/>
                <w:color w:val="auto"/>
                <w:sz w:val="24"/>
                <w:szCs w:val="24"/>
                <w:highlight w:val="none"/>
              </w:rPr>
              <w:t>危险废物，危废代码为</w:t>
            </w:r>
            <w:r>
              <w:rPr>
                <w:rFonts w:hint="default" w:ascii="Times New Roman" w:hAnsi="Times New Roman" w:eastAsia="宋体" w:cs="Times New Roman"/>
                <w:bCs/>
                <w:color w:val="auto"/>
                <w:kern w:val="0"/>
                <w:sz w:val="24"/>
                <w:szCs w:val="24"/>
                <w:highlight w:val="none"/>
              </w:rPr>
              <w:t>900-0</w:t>
            </w:r>
            <w:r>
              <w:rPr>
                <w:rFonts w:hint="default" w:ascii="Times New Roman" w:hAnsi="Times New Roman" w:eastAsia="宋体" w:cs="Times New Roman"/>
                <w:bCs/>
                <w:color w:val="auto"/>
                <w:kern w:val="0"/>
                <w:sz w:val="24"/>
                <w:szCs w:val="24"/>
                <w:highlight w:val="none"/>
                <w:lang w:val="en-US" w:eastAsia="zh-CN"/>
              </w:rPr>
              <w:t>39</w:t>
            </w:r>
            <w:r>
              <w:rPr>
                <w:rFonts w:hint="default" w:ascii="Times New Roman" w:hAnsi="Times New Roman" w:eastAsia="宋体" w:cs="Times New Roman"/>
                <w:bCs/>
                <w:color w:val="auto"/>
                <w:kern w:val="0"/>
                <w:sz w:val="24"/>
                <w:szCs w:val="24"/>
                <w:highlight w:val="none"/>
              </w:rPr>
              <w:t>-</w:t>
            </w:r>
            <w:r>
              <w:rPr>
                <w:rFonts w:hint="default" w:ascii="Times New Roman" w:hAnsi="Times New Roman" w:eastAsia="宋体" w:cs="Times New Roman"/>
                <w:bCs/>
                <w:color w:val="auto"/>
                <w:kern w:val="0"/>
                <w:sz w:val="24"/>
                <w:szCs w:val="24"/>
                <w:highlight w:val="none"/>
                <w:lang w:val="en-US" w:eastAsia="zh-CN"/>
              </w:rPr>
              <w:t>4</w:t>
            </w:r>
            <w:r>
              <w:rPr>
                <w:rFonts w:hint="default" w:ascii="Times New Roman" w:hAnsi="Times New Roman" w:eastAsia="宋体" w:cs="Times New Roman"/>
                <w:bCs/>
                <w:color w:val="auto"/>
                <w:kern w:val="0"/>
                <w:sz w:val="24"/>
                <w:szCs w:val="24"/>
                <w:highlight w:val="none"/>
              </w:rPr>
              <w:t>9</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废活性炭收集暂存于危废暂存间后，委托资质单位</w:t>
            </w:r>
            <w:r>
              <w:rPr>
                <w:rFonts w:hint="default" w:ascii="Times New Roman" w:hAnsi="Times New Roman" w:eastAsia="宋体" w:cs="Times New Roman"/>
                <w:color w:val="auto"/>
                <w:sz w:val="24"/>
                <w:szCs w:val="24"/>
                <w:highlight w:val="none"/>
                <w:lang w:eastAsia="zh-CN"/>
              </w:rPr>
              <w:t>清运处置</w:t>
            </w:r>
            <w:r>
              <w:rPr>
                <w:rFonts w:hint="default" w:ascii="Times New Roman" w:hAnsi="Times New Roman" w:eastAsia="宋体" w:cs="Times New Roman"/>
                <w:color w:val="auto"/>
                <w:sz w:val="24"/>
                <w:szCs w:val="24"/>
                <w:highlight w:val="none"/>
              </w:rPr>
              <w:t>。</w:t>
            </w:r>
          </w:p>
          <w:p w14:paraId="318316DA">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②废UV灯管</w:t>
            </w:r>
          </w:p>
          <w:p w14:paraId="74ED13D6">
            <w:pPr>
              <w:keepNext w:val="0"/>
              <w:keepLines w:val="0"/>
              <w:widowControl/>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项目有机废气采用UV光解装置处理，UV光解装置运行过程中会产生废UV灯管，为保证处理效率，平均半年更换一次，更换一次废UV灯管产生量约为40kg，则废UV灯管产生量为0.08t/a。根据《国家危险废物名录（2021年版）》，</w:t>
            </w:r>
            <w:r>
              <w:rPr>
                <w:rFonts w:hint="default" w:ascii="Times New Roman" w:hAnsi="Times New Roman" w:eastAsia="宋体" w:cs="Times New Roman"/>
                <w:color w:val="auto"/>
                <w:kern w:val="0"/>
                <w:sz w:val="24"/>
              </w:rPr>
              <w:t>废UV灯管</w:t>
            </w:r>
            <w:r>
              <w:rPr>
                <w:rFonts w:hint="default" w:ascii="Times New Roman" w:hAnsi="Times New Roman" w:eastAsia="宋体" w:cs="Times New Roman"/>
                <w:bCs/>
                <w:color w:val="auto"/>
                <w:kern w:val="0"/>
                <w:sz w:val="24"/>
              </w:rPr>
              <w:t>属HW29含汞废物 中的900-023-29。环评提出，将</w:t>
            </w:r>
            <w:r>
              <w:rPr>
                <w:rFonts w:hint="default" w:ascii="Times New Roman" w:hAnsi="Times New Roman" w:eastAsia="宋体" w:cs="Times New Roman"/>
                <w:color w:val="auto"/>
                <w:kern w:val="0"/>
                <w:sz w:val="24"/>
              </w:rPr>
              <w:t>废UV灯管使用专用密闭容器收集、</w:t>
            </w:r>
            <w:r>
              <w:rPr>
                <w:rFonts w:hint="default" w:ascii="Times New Roman" w:hAnsi="Times New Roman" w:eastAsia="宋体" w:cs="Times New Roman"/>
                <w:bCs/>
                <w:color w:val="auto"/>
                <w:kern w:val="0"/>
                <w:sz w:val="24"/>
              </w:rPr>
              <w:t>暂存于危险废物暂存间，定期委托有资质的单位清运处置。</w:t>
            </w:r>
          </w:p>
          <w:p w14:paraId="09974610">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③废矿物油</w:t>
            </w:r>
          </w:p>
          <w:p w14:paraId="1EB738DC">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color w:val="auto"/>
                <w:sz w:val="24"/>
                <w:szCs w:val="28"/>
                <w:lang w:val="en-US" w:eastAsia="zh-CN"/>
              </w:rPr>
              <w:t>项目在运营期间机器维修过程中会有废机油、润滑油。由于维修机器的时间和频率是无法预测的，所以产生的废机油、润滑油约为0.5t。</w:t>
            </w:r>
            <w:r>
              <w:rPr>
                <w:rFonts w:hint="default" w:ascii="Times New Roman" w:hAnsi="Times New Roman" w:eastAsia="宋体" w:cs="Times New Roman"/>
                <w:color w:val="auto"/>
                <w:kern w:val="0"/>
                <w:sz w:val="24"/>
                <w:szCs w:val="24"/>
                <w:highlight w:val="none"/>
                <w:lang w:val="en-US" w:eastAsia="zh-CN" w:bidi="ar"/>
              </w:rPr>
              <w:t>根据《国家危险废物名录》(2021年版)，废机油属于危险废物，</w:t>
            </w:r>
            <w:r>
              <w:rPr>
                <w:rFonts w:hint="default" w:ascii="Times New Roman" w:hAnsi="Times New Roman" w:eastAsia="宋体" w:cs="Times New Roman"/>
                <w:b w:val="0"/>
                <w:bCs w:val="0"/>
                <w:color w:val="auto"/>
                <w:sz w:val="24"/>
                <w:szCs w:val="24"/>
                <w:highlight w:val="none"/>
                <w:lang w:val="en-US" w:eastAsia="zh-CN"/>
              </w:rPr>
              <w:t>废物类别为HW08，废物代码为900-214-08</w:t>
            </w:r>
            <w:r>
              <w:rPr>
                <w:rFonts w:hint="default" w:ascii="Times New Roman" w:hAnsi="Times New Roman" w:eastAsia="宋体" w:cs="Times New Roman"/>
                <w:color w:val="auto"/>
                <w:kern w:val="2"/>
                <w:sz w:val="24"/>
                <w:szCs w:val="24"/>
                <w:highlight w:val="none"/>
                <w:lang w:val="en-US" w:eastAsia="zh-CN" w:bidi="ar"/>
              </w:rPr>
              <w:t>“车辆、轮船及其他机械维修过程中产生的废发动机油、制动器油、自动变速器油、齿轮油等废润滑油”，废机油</w:t>
            </w:r>
            <w:r>
              <w:rPr>
                <w:rFonts w:hint="default" w:ascii="Times New Roman" w:hAnsi="Times New Roman" w:eastAsia="宋体" w:cs="Times New Roman"/>
                <w:color w:val="auto"/>
                <w:sz w:val="24"/>
                <w:szCs w:val="28"/>
                <w:lang w:val="en-US" w:eastAsia="zh-CN"/>
              </w:rPr>
              <w:t>及沾染物</w:t>
            </w:r>
            <w:r>
              <w:rPr>
                <w:rFonts w:hint="default" w:ascii="Times New Roman" w:hAnsi="Times New Roman" w:eastAsia="宋体" w:cs="Times New Roman"/>
                <w:color w:val="auto"/>
                <w:kern w:val="2"/>
                <w:sz w:val="24"/>
                <w:szCs w:val="24"/>
                <w:highlight w:val="none"/>
                <w:lang w:val="en-US" w:eastAsia="zh-CN" w:bidi="ar"/>
              </w:rPr>
              <w:t>经专用收集容器收集后暂存于危废暂存间，</w:t>
            </w:r>
            <w:r>
              <w:rPr>
                <w:rFonts w:hint="default" w:ascii="Times New Roman" w:hAnsi="Times New Roman" w:eastAsia="宋体" w:cs="Times New Roman"/>
                <w:color w:val="auto"/>
                <w:kern w:val="0"/>
                <w:sz w:val="24"/>
                <w:szCs w:val="24"/>
                <w:highlight w:val="none"/>
                <w:lang w:val="en-US" w:eastAsia="zh-CN" w:bidi="ar"/>
              </w:rPr>
              <w:t>委托有资质的单位定期清运处置，</w:t>
            </w:r>
            <w:r>
              <w:rPr>
                <w:rFonts w:hint="default" w:ascii="Times New Roman" w:hAnsi="Times New Roman" w:eastAsia="宋体" w:cs="Times New Roman"/>
                <w:color w:val="auto"/>
                <w:kern w:val="2"/>
                <w:sz w:val="24"/>
                <w:szCs w:val="24"/>
                <w:highlight w:val="none"/>
                <w:lang w:val="en-US" w:eastAsia="zh-CN" w:bidi="ar"/>
              </w:rPr>
              <w:t>对环境影响较小</w:t>
            </w:r>
            <w:r>
              <w:rPr>
                <w:rFonts w:hint="default" w:ascii="Times New Roman" w:hAnsi="Times New Roman" w:eastAsia="宋体" w:cs="Times New Roman"/>
                <w:b w:val="0"/>
                <w:bCs w:val="0"/>
                <w:color w:val="auto"/>
                <w:kern w:val="2"/>
                <w:sz w:val="24"/>
                <w:szCs w:val="24"/>
                <w:highlight w:val="none"/>
                <w:lang w:val="en-US" w:eastAsia="zh-CN" w:bidi="ar"/>
              </w:rPr>
              <w:t>。</w:t>
            </w:r>
          </w:p>
          <w:p w14:paraId="5C32EE56">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④沾染有机溶剂的废包装材料</w:t>
            </w:r>
          </w:p>
          <w:p w14:paraId="2C697866">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项目水性涂料生产使用的防冻剂主要含丙二醇，属于有机溶剂，根据建设单位提供资料，产生量为0.2t/a，</w:t>
            </w:r>
            <w:r>
              <w:rPr>
                <w:rFonts w:hint="default" w:ascii="Times New Roman" w:hAnsi="Times New Roman" w:eastAsia="宋体" w:cs="Times New Roman"/>
                <w:color w:val="auto"/>
                <w:sz w:val="24"/>
                <w:szCs w:val="24"/>
                <w:highlight w:val="none"/>
              </w:rPr>
              <w:t>根据《国家危险废物名录》（</w:t>
            </w:r>
            <w:r>
              <w:rPr>
                <w:rFonts w:hint="default" w:ascii="Times New Roman" w:hAnsi="Times New Roman" w:eastAsia="宋体" w:cs="Times New Roman"/>
                <w:color w:val="auto"/>
                <w:sz w:val="24"/>
                <w:szCs w:val="24"/>
                <w:highlight w:val="none"/>
                <w:lang w:val="en-US" w:eastAsia="zh-CN"/>
              </w:rPr>
              <w:t>2021</w:t>
            </w:r>
            <w:r>
              <w:rPr>
                <w:rFonts w:hint="default" w:ascii="Times New Roman" w:hAnsi="Times New Roman" w:eastAsia="宋体" w:cs="Times New Roman"/>
                <w:color w:val="auto"/>
                <w:sz w:val="24"/>
                <w:szCs w:val="24"/>
                <w:highlight w:val="none"/>
              </w:rPr>
              <w:t>版），</w:t>
            </w:r>
            <w:r>
              <w:rPr>
                <w:rFonts w:hint="default" w:ascii="Times New Roman" w:hAnsi="Times New Roman" w:eastAsia="宋体" w:cs="Times New Roman"/>
                <w:color w:val="auto"/>
                <w:sz w:val="24"/>
                <w:szCs w:val="28"/>
                <w:lang w:val="en-US" w:eastAsia="zh-CN"/>
              </w:rPr>
              <w:t>沾染有机溶剂的废包装材料</w:t>
            </w:r>
            <w:r>
              <w:rPr>
                <w:rFonts w:hint="default" w:ascii="Times New Roman" w:hAnsi="Times New Roman" w:eastAsia="宋体" w:cs="Times New Roman"/>
                <w:color w:val="auto"/>
                <w:sz w:val="24"/>
                <w:szCs w:val="24"/>
                <w:highlight w:val="none"/>
              </w:rPr>
              <w:t>属于HW</w:t>
            </w:r>
            <w:r>
              <w:rPr>
                <w:rFonts w:hint="default" w:ascii="Times New Roman" w:hAnsi="Times New Roman" w:eastAsia="宋体" w:cs="Times New Roman"/>
                <w:color w:val="auto"/>
                <w:sz w:val="24"/>
                <w:szCs w:val="24"/>
                <w:highlight w:val="none"/>
                <w:lang w:val="en-US" w:eastAsia="zh-CN"/>
              </w:rPr>
              <w:t>49其他</w:t>
            </w:r>
            <w:r>
              <w:rPr>
                <w:rFonts w:hint="default" w:ascii="Times New Roman" w:hAnsi="Times New Roman" w:eastAsia="宋体" w:cs="Times New Roman"/>
                <w:color w:val="auto"/>
                <w:sz w:val="24"/>
                <w:szCs w:val="24"/>
                <w:highlight w:val="none"/>
              </w:rPr>
              <w:t>废物类危险废物，危废代码为900-041-49</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8"/>
                <w:lang w:val="en-US" w:eastAsia="zh-CN"/>
              </w:rPr>
              <w:t>沾染有机溶剂的废包装材料</w:t>
            </w:r>
            <w:r>
              <w:rPr>
                <w:rFonts w:hint="default" w:ascii="Times New Roman" w:hAnsi="Times New Roman" w:eastAsia="宋体" w:cs="Times New Roman"/>
                <w:color w:val="auto"/>
                <w:sz w:val="24"/>
                <w:szCs w:val="24"/>
                <w:highlight w:val="none"/>
                <w:lang w:val="en-US" w:eastAsia="zh-CN"/>
              </w:rPr>
              <w:t>集中收集</w:t>
            </w:r>
            <w:r>
              <w:rPr>
                <w:rFonts w:hint="default" w:ascii="Times New Roman" w:hAnsi="Times New Roman" w:eastAsia="宋体" w:cs="Times New Roman"/>
                <w:color w:val="auto"/>
                <w:sz w:val="24"/>
                <w:szCs w:val="24"/>
                <w:highlight w:val="none"/>
              </w:rPr>
              <w:t>后</w:t>
            </w:r>
            <w:r>
              <w:rPr>
                <w:rFonts w:hint="default" w:ascii="Times New Roman" w:hAnsi="Times New Roman" w:eastAsia="宋体" w:cs="Times New Roman"/>
                <w:color w:val="auto"/>
                <w:sz w:val="24"/>
                <w:szCs w:val="24"/>
                <w:highlight w:val="none"/>
                <w:lang w:eastAsia="zh-CN"/>
              </w:rPr>
              <w:t>暂存于危废暂存间，</w:t>
            </w:r>
            <w:r>
              <w:rPr>
                <w:rFonts w:hint="default" w:ascii="Times New Roman" w:hAnsi="Times New Roman" w:eastAsia="宋体" w:cs="Times New Roman"/>
                <w:color w:val="auto"/>
                <w:sz w:val="24"/>
                <w:szCs w:val="24"/>
                <w:highlight w:val="none"/>
              </w:rPr>
              <w:t>由交由资质单位进行处理。</w:t>
            </w:r>
          </w:p>
          <w:p w14:paraId="4928E3D9">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（2）固体废物环境影响分析</w:t>
            </w:r>
          </w:p>
          <w:p w14:paraId="5C395373">
            <w:pPr>
              <w:pStyle w:val="20"/>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rightChars="0" w:firstLine="480" w:firstLineChars="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sz w:val="24"/>
                <w:szCs w:val="28"/>
                <w:lang w:val="en-US" w:eastAsia="zh-CN"/>
              </w:rPr>
              <w:t>①一</w:t>
            </w:r>
            <w:r>
              <w:rPr>
                <w:rFonts w:hint="default" w:ascii="Times New Roman" w:hAnsi="Times New Roman" w:eastAsia="宋体" w:cs="Times New Roman"/>
                <w:b w:val="0"/>
                <w:bCs w:val="0"/>
                <w:color w:val="auto"/>
                <w:kern w:val="0"/>
                <w:sz w:val="24"/>
                <w:szCs w:val="24"/>
                <w:highlight w:val="none"/>
                <w:lang w:val="en-US" w:eastAsia="zh-CN"/>
              </w:rPr>
              <w:t>般固废影响分析</w:t>
            </w:r>
          </w:p>
          <w:p w14:paraId="6119C9F6">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b w:val="0"/>
                <w:bCs/>
                <w:color w:val="auto"/>
                <w:kern w:val="0"/>
                <w:sz w:val="24"/>
                <w:szCs w:val="24"/>
                <w:highlight w:val="none"/>
                <w:lang w:val="en-US" w:eastAsia="zh-CN"/>
              </w:rPr>
              <w:t>一般固废主要有</w:t>
            </w:r>
            <w:r>
              <w:rPr>
                <w:rFonts w:hint="default" w:ascii="Times New Roman" w:hAnsi="Times New Roman" w:eastAsia="宋体" w:cs="Times New Roman"/>
                <w:color w:val="auto"/>
                <w:sz w:val="24"/>
                <w:szCs w:val="28"/>
                <w:lang w:val="en-US" w:eastAsia="zh-CN"/>
              </w:rPr>
              <w:t>水过滤材料、废抹布，除尘器粉尘、废包装材料、污水处理系统沉淀污泥、生活垃圾、餐厨固废</w:t>
            </w:r>
            <w:r>
              <w:rPr>
                <w:rFonts w:hint="default" w:ascii="Times New Roman" w:hAnsi="Times New Roman" w:eastAsia="宋体" w:cs="Times New Roman"/>
                <w:b w:val="0"/>
                <w:bCs/>
                <w:color w:val="auto"/>
                <w:kern w:val="0"/>
                <w:sz w:val="24"/>
                <w:szCs w:val="24"/>
                <w:highlight w:val="none"/>
                <w:lang w:val="en-US" w:eastAsia="zh-CN"/>
              </w:rPr>
              <w:t>。其中</w:t>
            </w:r>
            <w:r>
              <w:rPr>
                <w:rFonts w:hint="default" w:ascii="Times New Roman" w:hAnsi="Times New Roman" w:eastAsia="宋体" w:cs="Times New Roman"/>
                <w:color w:val="auto"/>
                <w:sz w:val="24"/>
                <w:szCs w:val="28"/>
                <w:lang w:val="en-US" w:eastAsia="zh-CN"/>
              </w:rPr>
              <w:t>水过滤材料、废抹布经收集后外售废品回收站，除尘器粉尘收集后回用到生产，废包装材料收集后外售废品回收站、污水处理系统污泥委托</w:t>
            </w:r>
            <w:r>
              <w:rPr>
                <w:rFonts w:hint="eastAsia" w:cs="Times New Roman"/>
                <w:color w:val="auto"/>
                <w:sz w:val="24"/>
                <w:szCs w:val="28"/>
                <w:lang w:val="en-US" w:eastAsia="zh-CN"/>
              </w:rPr>
              <w:t>富名翔盛废物旧资收购点</w:t>
            </w:r>
            <w:r>
              <w:rPr>
                <w:rFonts w:hint="default" w:ascii="Times New Roman" w:hAnsi="Times New Roman" w:eastAsia="宋体" w:cs="Times New Roman"/>
                <w:color w:val="auto"/>
                <w:sz w:val="24"/>
                <w:szCs w:val="28"/>
                <w:lang w:val="en-US" w:eastAsia="zh-CN"/>
              </w:rPr>
              <w:t>清运处置，生活垃圾经垃圾桶收集后委托环卫部门清运处置，餐厨固废收集后委托有资质单位清运处置。</w:t>
            </w:r>
          </w:p>
          <w:p w14:paraId="683CAD5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项目区设置有1个面积为</w:t>
            </w:r>
            <w:r>
              <w:rPr>
                <w:rFonts w:hint="default" w:ascii="Times New Roman" w:hAnsi="Times New Roman" w:eastAsia="宋体" w:cs="Times New Roman"/>
                <w:color w:val="auto"/>
                <w:sz w:val="24"/>
                <w:szCs w:val="24"/>
                <w:lang w:val="en-US" w:eastAsia="zh-CN"/>
              </w:rPr>
              <w:t>135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lang w:val="en-US" w:eastAsia="zh-CN"/>
              </w:rPr>
              <w:t>的一般固废间，厂区产生的一般固废可暂存在一般固废间内，集中进行处置。</w:t>
            </w:r>
          </w:p>
          <w:p w14:paraId="7C392C80">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根据《一般工业固体废物管理台账制定指南》的相关规定，建设单位需对一般工业固体废物建立台账管理，如实记录工业固体废物的种类、数量、流向、贮存、利用、处置等信息，实现工业固体废物可追溯、可查询的目的。一般固废处置情况见下表。</w:t>
            </w:r>
          </w:p>
          <w:p w14:paraId="0610A29D">
            <w:pPr>
              <w:pStyle w:val="12"/>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lef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4-</w:t>
            </w:r>
            <w:r>
              <w:rPr>
                <w:rFonts w:hint="eastAsia" w:cs="Times New Roman"/>
                <w:b/>
                <w:bCs/>
                <w:color w:val="auto"/>
                <w:sz w:val="21"/>
                <w:szCs w:val="21"/>
                <w:lang w:val="en-US" w:eastAsia="zh-CN"/>
              </w:rPr>
              <w:t>18</w:t>
            </w:r>
            <w:r>
              <w:rPr>
                <w:rFonts w:hint="default" w:ascii="Times New Roman" w:hAnsi="Times New Roman" w:eastAsia="宋体" w:cs="Times New Roman"/>
                <w:b/>
                <w:bCs/>
                <w:color w:val="auto"/>
                <w:sz w:val="21"/>
                <w:szCs w:val="21"/>
                <w:lang w:val="en-US" w:eastAsia="zh-CN"/>
              </w:rPr>
              <w:t xml:space="preserve"> 项目一般固废产排情况一览表</w:t>
            </w:r>
          </w:p>
          <w:tbl>
            <w:tblPr>
              <w:tblStyle w:val="28"/>
              <w:tblW w:w="85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71"/>
              <w:gridCol w:w="846"/>
              <w:gridCol w:w="1036"/>
              <w:gridCol w:w="1373"/>
              <w:gridCol w:w="1373"/>
              <w:gridCol w:w="1196"/>
              <w:gridCol w:w="1330"/>
              <w:gridCol w:w="880"/>
            </w:tblGrid>
            <w:tr w14:paraId="0466C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77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901D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产污环节</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8DC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自来水过滤</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7BE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厂区除尘器</w:t>
                  </w:r>
                  <w:r>
                    <w:rPr>
                      <w:rFonts w:hint="eastAsia" w:cs="Times New Roman"/>
                      <w:i w:val="0"/>
                      <w:iCs w:val="0"/>
                      <w:color w:val="auto"/>
                      <w:kern w:val="0"/>
                      <w:sz w:val="21"/>
                      <w:szCs w:val="21"/>
                      <w:u w:val="none"/>
                      <w:lang w:val="en-US" w:eastAsia="zh-CN" w:bidi="ar"/>
                    </w:rPr>
                    <w:t>，车间沉降</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578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eastAsia="zh-CN"/>
                    </w:rPr>
                  </w:pPr>
                  <w:r>
                    <w:rPr>
                      <w:rFonts w:hint="default" w:ascii="Times New Roman" w:hAnsi="Times New Roman" w:eastAsia="宋体" w:cs="Times New Roman"/>
                      <w:i w:val="0"/>
                      <w:iCs w:val="0"/>
                      <w:color w:val="auto"/>
                      <w:sz w:val="21"/>
                      <w:szCs w:val="21"/>
                      <w:u w:val="none"/>
                      <w:lang w:eastAsia="zh-CN"/>
                    </w:rPr>
                    <w:t>原辅料包装材料</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453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污水处理系统</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6DF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人员生活办公</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931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食堂</w:t>
                  </w:r>
                </w:p>
              </w:tc>
            </w:tr>
            <w:tr w14:paraId="3AA2F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7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F701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名称</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0A8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水过滤材料、废抹布</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6CD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sz w:val="21"/>
                      <w:szCs w:val="21"/>
                      <w:u w:val="none"/>
                      <w:lang w:val="en-US" w:eastAsia="zh-CN"/>
                    </w:rPr>
                    <w:t>粉尘</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624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废包装材料</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A41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eastAsia="zh-CN"/>
                    </w:rPr>
                  </w:pPr>
                  <w:r>
                    <w:rPr>
                      <w:rFonts w:hint="default" w:ascii="Times New Roman" w:hAnsi="Times New Roman" w:eastAsia="宋体" w:cs="Times New Roman"/>
                      <w:i w:val="0"/>
                      <w:iCs w:val="0"/>
                      <w:color w:val="auto"/>
                      <w:sz w:val="21"/>
                      <w:szCs w:val="21"/>
                      <w:u w:val="none"/>
                      <w:lang w:eastAsia="zh-CN"/>
                    </w:rPr>
                    <w:t>污泥</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D12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eastAsia="zh-CN"/>
                    </w:rPr>
                  </w:pPr>
                  <w:r>
                    <w:rPr>
                      <w:rFonts w:hint="default" w:ascii="Times New Roman" w:hAnsi="Times New Roman" w:eastAsia="宋体" w:cs="Times New Roman"/>
                      <w:i w:val="0"/>
                      <w:iCs w:val="0"/>
                      <w:color w:val="auto"/>
                      <w:sz w:val="21"/>
                      <w:szCs w:val="21"/>
                      <w:u w:val="none"/>
                      <w:lang w:eastAsia="zh-CN"/>
                    </w:rPr>
                    <w:t>生活垃圾</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080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餐厨固废</w:t>
                  </w:r>
                </w:p>
                <w:p w14:paraId="0AE8C3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p>
              </w:tc>
            </w:tr>
            <w:tr w14:paraId="1FBDC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A5A3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属性</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3F2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属性</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9C7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一般工业固废</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306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一般工业固废</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C6C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一般工业固废</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AEE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一般工业固废</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64C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一般固废</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5B0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一般固废</w:t>
                  </w:r>
                </w:p>
              </w:tc>
            </w:tr>
            <w:tr w14:paraId="06423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37ECC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61D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废物代码</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74C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264-001-99</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1D1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sz w:val="21"/>
                      <w:szCs w:val="21"/>
                      <w:u w:val="none"/>
                      <w:lang w:val="en-US" w:eastAsia="zh-CN"/>
                    </w:rPr>
                    <w:t>264-002-66</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D27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sz w:val="21"/>
                      <w:szCs w:val="21"/>
                      <w:u w:val="none"/>
                      <w:lang w:val="en-US" w:eastAsia="zh-CN"/>
                    </w:rPr>
                    <w:t>264-001-07</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9D8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sz w:val="21"/>
                      <w:szCs w:val="21"/>
                      <w:u w:val="none"/>
                      <w:lang w:val="en-US" w:eastAsia="zh-CN"/>
                    </w:rPr>
                    <w:t>264-001-61</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317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1AF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372C5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77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77AF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主要有毒有害物质名称</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D72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D6C1F">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089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D8B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2AD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899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0E4E4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77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9422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物理性状</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614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固体</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8F5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固体</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482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固体</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223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固体</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A9E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固体</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A4B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固体</w:t>
                  </w:r>
                </w:p>
              </w:tc>
            </w:tr>
            <w:tr w14:paraId="57726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74" w:type="pct"/>
                  <w:gridSpan w:val="2"/>
                  <w:tcBorders>
                    <w:top w:val="single" w:color="000000" w:sz="4" w:space="0"/>
                    <w:left w:val="single" w:color="000000" w:sz="4" w:space="0"/>
                    <w:right w:val="single" w:color="000000" w:sz="4" w:space="0"/>
                  </w:tcBorders>
                  <w:shd w:val="clear" w:color="auto" w:fill="auto"/>
                  <w:vAlign w:val="center"/>
                </w:tcPr>
                <w:p w14:paraId="4EB107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环境危险特性</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2CE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999F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68E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70C5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4289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DE9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4CC3C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77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48FD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年度产生量（t/a）</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D77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2.5</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B92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500.38</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61B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DE2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12</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7DB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20.6</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C15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16.5</w:t>
                  </w:r>
                </w:p>
              </w:tc>
            </w:tr>
            <w:tr w14:paraId="6C40E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7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8EBF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贮存方式</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22B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集中收集</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E8E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集中收集</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186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集中收集</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051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集中收集</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5F7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生活垃圾收集桶</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65A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集中收集</w:t>
                  </w:r>
                </w:p>
              </w:tc>
            </w:tr>
            <w:tr w14:paraId="72556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77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5341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利用处置方式和去向</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CDF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外售废品回收站</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3CC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收集后回用到相应的生产线上</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45C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外售废品回收站</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359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委托</w:t>
                  </w:r>
                  <w:r>
                    <w:rPr>
                      <w:rFonts w:hint="eastAsia" w:cs="Times New Roman"/>
                      <w:i w:val="0"/>
                      <w:iCs w:val="0"/>
                      <w:color w:val="auto"/>
                      <w:kern w:val="0"/>
                      <w:sz w:val="21"/>
                      <w:szCs w:val="21"/>
                      <w:u w:val="none"/>
                      <w:lang w:val="en-US" w:eastAsia="zh-CN" w:bidi="ar"/>
                    </w:rPr>
                    <w:t>富名翔盛废物旧资收购点</w:t>
                  </w:r>
                  <w:r>
                    <w:rPr>
                      <w:rFonts w:hint="default" w:ascii="Times New Roman" w:hAnsi="Times New Roman" w:eastAsia="宋体" w:cs="Times New Roman"/>
                      <w:i w:val="0"/>
                      <w:iCs w:val="0"/>
                      <w:color w:val="auto"/>
                      <w:kern w:val="0"/>
                      <w:sz w:val="21"/>
                      <w:szCs w:val="21"/>
                      <w:u w:val="none"/>
                      <w:lang w:val="en-US" w:eastAsia="zh-CN" w:bidi="ar"/>
                    </w:rPr>
                    <w:t>清运处置</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C50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委托环卫部门清运处置</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A3C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eastAsia="zh-CN"/>
                    </w:rPr>
                  </w:pPr>
                  <w:r>
                    <w:rPr>
                      <w:rFonts w:hint="default" w:ascii="Times New Roman" w:hAnsi="Times New Roman" w:eastAsia="宋体" w:cs="Times New Roman"/>
                      <w:i w:val="0"/>
                      <w:iCs w:val="0"/>
                      <w:color w:val="auto"/>
                      <w:sz w:val="21"/>
                      <w:szCs w:val="21"/>
                      <w:u w:val="none"/>
                      <w:lang w:eastAsia="zh-CN"/>
                    </w:rPr>
                    <w:t>委托有资质单位清运处置</w:t>
                  </w:r>
                </w:p>
              </w:tc>
            </w:tr>
            <w:tr w14:paraId="4B81E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jc w:val="center"/>
              </w:trPr>
              <w:tc>
                <w:tcPr>
                  <w:tcW w:w="77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272F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利用或处置量（t/a）</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599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E63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500.38</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FDA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473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7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ECC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20.6</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DCF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16.5</w:t>
                  </w:r>
                </w:p>
              </w:tc>
            </w:tr>
            <w:tr w14:paraId="19427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77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A751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环境管理要求</w:t>
                  </w:r>
                </w:p>
              </w:tc>
              <w:tc>
                <w:tcPr>
                  <w:tcW w:w="4225"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3FE07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rPr>
                    <w:t>处置率达100%</w:t>
                  </w:r>
                </w:p>
              </w:tc>
            </w:tr>
          </w:tbl>
          <w:p w14:paraId="29786801">
            <w:pPr>
              <w:pStyle w:val="20"/>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rightChars="0" w:firstLine="480" w:firstLineChars="0"/>
              <w:jc w:val="both"/>
              <w:textAlignment w:val="auto"/>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综上分析，项目一般固废处置率达100%。</w:t>
            </w:r>
          </w:p>
          <w:p w14:paraId="68E8E5C9">
            <w:pPr>
              <w:pStyle w:val="20"/>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rightChars="0" w:firstLine="480" w:firstLineChars="0"/>
              <w:jc w:val="both"/>
              <w:textAlignment w:val="auto"/>
              <w:rPr>
                <w:rFonts w:hint="default" w:ascii="Times New Roman" w:hAnsi="Times New Roman" w:eastAsia="宋体" w:cs="Times New Roman"/>
                <w:b/>
                <w:bCs w:val="0"/>
                <w:color w:val="auto"/>
                <w:kern w:val="0"/>
                <w:sz w:val="24"/>
                <w:szCs w:val="24"/>
                <w:highlight w:val="none"/>
                <w:lang w:val="en-US" w:eastAsia="zh-CN"/>
              </w:rPr>
            </w:pPr>
            <w:r>
              <w:rPr>
                <w:rFonts w:hint="default" w:ascii="Times New Roman" w:hAnsi="Times New Roman" w:eastAsia="宋体" w:cs="Times New Roman"/>
                <w:b/>
                <w:bCs w:val="0"/>
                <w:color w:val="auto"/>
                <w:kern w:val="0"/>
                <w:sz w:val="24"/>
                <w:szCs w:val="24"/>
                <w:highlight w:val="none"/>
                <w:lang w:val="en-US" w:eastAsia="zh-CN"/>
              </w:rPr>
              <w:t>②危废影响分析</w:t>
            </w:r>
          </w:p>
          <w:p w14:paraId="41F3AF9D">
            <w:pPr>
              <w:pStyle w:val="20"/>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rightChars="0" w:firstLine="48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color w:val="auto"/>
                <w:kern w:val="0"/>
                <w:sz w:val="24"/>
                <w:szCs w:val="24"/>
                <w:highlight w:val="none"/>
                <w:lang w:val="en-US" w:eastAsia="zh-CN"/>
              </w:rPr>
              <w:t>项目产生的危险废物主要包含废活性炭、</w:t>
            </w:r>
            <w:r>
              <w:rPr>
                <w:rFonts w:hint="default" w:ascii="Times New Roman" w:hAnsi="Times New Roman" w:eastAsia="宋体" w:cs="Times New Roman"/>
                <w:color w:val="auto"/>
                <w:sz w:val="24"/>
                <w:szCs w:val="28"/>
                <w:lang w:val="en-US" w:eastAsia="zh-CN"/>
              </w:rPr>
              <w:t>废UV灯管、废矿物油、沾染有机溶剂的废包装材料</w:t>
            </w:r>
            <w:r>
              <w:rPr>
                <w:rFonts w:hint="default" w:ascii="Times New Roman" w:hAnsi="Times New Roman" w:eastAsia="宋体" w:cs="Times New Roman"/>
                <w:b w:val="0"/>
                <w:bCs/>
                <w:color w:val="auto"/>
                <w:kern w:val="0"/>
                <w:sz w:val="24"/>
                <w:szCs w:val="24"/>
                <w:highlight w:val="none"/>
                <w:lang w:val="en-US" w:eastAsia="zh-CN"/>
              </w:rPr>
              <w:t>等。项目危险废物处置情况见下表。</w:t>
            </w:r>
          </w:p>
          <w:p w14:paraId="7637AD3E">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530" w:firstLineChars="1200"/>
              <w:jc w:val="both"/>
              <w:textAlignment w:val="auto"/>
              <w:rPr>
                <w:rStyle w:val="63"/>
                <w:rFonts w:hint="default" w:ascii="Times New Roman" w:hAnsi="Times New Roman" w:eastAsia="宋体" w:cs="Times New Roman"/>
                <w:b/>
                <w:bCs w:val="0"/>
                <w:color w:val="auto"/>
                <w:sz w:val="21"/>
                <w:szCs w:val="21"/>
                <w:lang w:val="en-US" w:eastAsia="zh-CN"/>
              </w:rPr>
            </w:pPr>
            <w:r>
              <w:rPr>
                <w:rStyle w:val="63"/>
                <w:rFonts w:hint="default" w:ascii="Times New Roman" w:hAnsi="Times New Roman" w:eastAsia="宋体" w:cs="Times New Roman"/>
                <w:b/>
                <w:bCs w:val="0"/>
                <w:color w:val="auto"/>
                <w:sz w:val="21"/>
                <w:szCs w:val="21"/>
                <w:lang w:val="en-US" w:eastAsia="zh-CN"/>
              </w:rPr>
              <w:t>表4-</w:t>
            </w:r>
            <w:r>
              <w:rPr>
                <w:rStyle w:val="63"/>
                <w:rFonts w:hint="eastAsia" w:cs="Times New Roman"/>
                <w:b/>
                <w:bCs w:val="0"/>
                <w:color w:val="auto"/>
                <w:sz w:val="21"/>
                <w:szCs w:val="21"/>
                <w:lang w:val="en-US" w:eastAsia="zh-CN"/>
              </w:rPr>
              <w:t>19</w:t>
            </w:r>
            <w:r>
              <w:rPr>
                <w:rStyle w:val="63"/>
                <w:rFonts w:hint="default" w:ascii="Times New Roman" w:hAnsi="Times New Roman" w:eastAsia="宋体" w:cs="Times New Roman"/>
                <w:b/>
                <w:bCs w:val="0"/>
                <w:color w:val="auto"/>
                <w:sz w:val="21"/>
                <w:szCs w:val="21"/>
                <w:lang w:val="en-US" w:eastAsia="zh-CN"/>
              </w:rPr>
              <w:t xml:space="preserve"> 本项目固体废弃物处置情况</w:t>
            </w:r>
          </w:p>
          <w:tbl>
            <w:tblPr>
              <w:tblStyle w:val="28"/>
              <w:tblW w:w="85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6"/>
              <w:gridCol w:w="956"/>
              <w:gridCol w:w="1750"/>
              <w:gridCol w:w="1733"/>
              <w:gridCol w:w="1575"/>
              <w:gridCol w:w="1789"/>
            </w:tblGrid>
            <w:tr w14:paraId="4DDF6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9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177C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产污环节</w:t>
                  </w:r>
                </w:p>
              </w:tc>
              <w:tc>
                <w:tcPr>
                  <w:tcW w:w="20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433F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有机废气处置措施</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3DD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生产设备维修、维护</w:t>
                  </w:r>
                </w:p>
              </w:tc>
              <w:tc>
                <w:tcPr>
                  <w:tcW w:w="10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B1B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有机溶剂使用</w:t>
                  </w:r>
                </w:p>
              </w:tc>
            </w:tr>
            <w:tr w14:paraId="79707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ACDE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名称</w:t>
                  </w:r>
                </w:p>
              </w:tc>
              <w:tc>
                <w:tcPr>
                  <w:tcW w:w="10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7BC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废活性炭</w:t>
                  </w: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3B6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废UV灯管</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8DD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废矿物油</w:t>
                  </w:r>
                </w:p>
              </w:tc>
              <w:tc>
                <w:tcPr>
                  <w:tcW w:w="10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3E6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沾染有机溶剂的废包装材料</w:t>
                  </w:r>
                </w:p>
              </w:tc>
            </w:tr>
            <w:tr w14:paraId="3663B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9E3D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属性</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6BC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属性</w:t>
                  </w:r>
                </w:p>
              </w:tc>
              <w:tc>
                <w:tcPr>
                  <w:tcW w:w="10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704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危险废物</w:t>
                  </w: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FF2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危险废物</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B16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危险废物</w:t>
                  </w:r>
                </w:p>
              </w:tc>
              <w:tc>
                <w:tcPr>
                  <w:tcW w:w="10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8BA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危险废物</w:t>
                  </w:r>
                </w:p>
              </w:tc>
            </w:tr>
            <w:tr w14:paraId="02816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42EAF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EF8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危险废物代码</w:t>
                  </w:r>
                </w:p>
              </w:tc>
              <w:tc>
                <w:tcPr>
                  <w:tcW w:w="10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5F9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HW49</w:t>
                  </w:r>
                </w:p>
                <w:p w14:paraId="24A9FA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sz w:val="21"/>
                      <w:szCs w:val="21"/>
                      <w:u w:val="none"/>
                      <w:lang w:val="en-US" w:eastAsia="zh-CN"/>
                    </w:rPr>
                    <w:t>900-039-49</w:t>
                  </w: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4B9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HW29 900-023-29</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1DD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HW08  900-214-08</w:t>
                  </w:r>
                </w:p>
              </w:tc>
              <w:tc>
                <w:tcPr>
                  <w:tcW w:w="10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CF8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HW49 900-041-49</w:t>
                  </w:r>
                </w:p>
              </w:tc>
            </w:tr>
            <w:tr w14:paraId="456FD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5726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主要有毒有害物质名称</w:t>
                  </w:r>
                </w:p>
              </w:tc>
              <w:tc>
                <w:tcPr>
                  <w:tcW w:w="10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86A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27E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8AA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0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E96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14:paraId="0733D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B40F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物理性状</w:t>
                  </w:r>
                </w:p>
              </w:tc>
              <w:tc>
                <w:tcPr>
                  <w:tcW w:w="10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206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固体</w:t>
                  </w: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3BD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固体</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ABA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固体</w:t>
                  </w:r>
                </w:p>
              </w:tc>
              <w:tc>
                <w:tcPr>
                  <w:tcW w:w="10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98C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固体</w:t>
                  </w:r>
                </w:p>
              </w:tc>
            </w:tr>
            <w:tr w14:paraId="41AE6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81" w:type="pct"/>
                  <w:gridSpan w:val="2"/>
                  <w:tcBorders>
                    <w:top w:val="single" w:color="000000" w:sz="4" w:space="0"/>
                    <w:left w:val="single" w:color="000000" w:sz="4" w:space="0"/>
                    <w:right w:val="single" w:color="000000" w:sz="4" w:space="0"/>
                  </w:tcBorders>
                  <w:shd w:val="clear" w:color="auto" w:fill="auto"/>
                  <w:vAlign w:val="center"/>
                </w:tcPr>
                <w:p w14:paraId="03E8A39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环境危险特性</w:t>
                  </w:r>
                </w:p>
              </w:tc>
              <w:tc>
                <w:tcPr>
                  <w:tcW w:w="10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63B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T</w:t>
                  </w: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9EA5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T</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6B2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T</w:t>
                  </w:r>
                </w:p>
              </w:tc>
              <w:tc>
                <w:tcPr>
                  <w:tcW w:w="10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444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T</w:t>
                  </w:r>
                </w:p>
              </w:tc>
            </w:tr>
            <w:tr w14:paraId="32246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32A4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年度产生量（t/a）</w:t>
                  </w:r>
                </w:p>
              </w:tc>
              <w:tc>
                <w:tcPr>
                  <w:tcW w:w="10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7A7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14.2</w:t>
                  </w: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B0A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0.08</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400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w:t>
                  </w:r>
                </w:p>
              </w:tc>
              <w:tc>
                <w:tcPr>
                  <w:tcW w:w="10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C02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w:t>
                  </w:r>
                </w:p>
              </w:tc>
            </w:tr>
            <w:tr w14:paraId="44120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AF92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贮存方式</w:t>
                  </w:r>
                </w:p>
              </w:tc>
              <w:tc>
                <w:tcPr>
                  <w:tcW w:w="1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549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危废间</w:t>
                  </w:r>
                </w:p>
              </w:tc>
              <w:tc>
                <w:tcPr>
                  <w:tcW w:w="10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FAD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危废间</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DFF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危废间</w:t>
                  </w:r>
                </w:p>
              </w:tc>
              <w:tc>
                <w:tcPr>
                  <w:tcW w:w="10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DC0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危废间</w:t>
                  </w:r>
                </w:p>
              </w:tc>
            </w:tr>
            <w:tr w14:paraId="4CB02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36D6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利用处置方式和去向</w:t>
                  </w:r>
                </w:p>
              </w:tc>
              <w:tc>
                <w:tcPr>
                  <w:tcW w:w="10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1FC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委托有资质单位清运处置</w:t>
                  </w: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CAA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委托有资质单位清运处置</w:t>
                  </w:r>
                </w:p>
              </w:tc>
              <w:tc>
                <w:tcPr>
                  <w:tcW w:w="9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D32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委托有资质单位清运处置</w:t>
                  </w:r>
                </w:p>
              </w:tc>
              <w:tc>
                <w:tcPr>
                  <w:tcW w:w="10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6E1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委托有资质单位清运处置</w:t>
                  </w:r>
                </w:p>
              </w:tc>
            </w:tr>
            <w:tr w14:paraId="6D134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DB9F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利用或处置量（t/a）</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FB25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14.2</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AC92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0.08</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ECC5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BAE4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w:t>
                  </w:r>
                </w:p>
              </w:tc>
            </w:tr>
            <w:tr w14:paraId="24921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26AB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环境管理要求</w:t>
                  </w:r>
                </w:p>
              </w:tc>
              <w:tc>
                <w:tcPr>
                  <w:tcW w:w="401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6C8D2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处置率100%</w:t>
                  </w:r>
                </w:p>
              </w:tc>
            </w:tr>
          </w:tbl>
          <w:p w14:paraId="48867EA4">
            <w:pPr>
              <w:pStyle w:val="20"/>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rightChars="0" w:firstLine="480" w:firstLineChars="0"/>
              <w:jc w:val="both"/>
              <w:textAlignment w:val="auto"/>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color w:val="auto"/>
                <w:kern w:val="0"/>
                <w:sz w:val="24"/>
                <w:szCs w:val="24"/>
                <w:highlight w:val="none"/>
                <w:lang w:val="en-US" w:eastAsia="zh-CN"/>
              </w:rPr>
              <w:t>项目区内设置1间占地面积为15m</w:t>
            </w:r>
            <w:r>
              <w:rPr>
                <w:rFonts w:hint="default" w:ascii="Times New Roman" w:hAnsi="Times New Roman" w:eastAsia="宋体" w:cs="Times New Roman"/>
                <w:b w:val="0"/>
                <w:bCs/>
                <w:color w:val="auto"/>
                <w:kern w:val="0"/>
                <w:sz w:val="24"/>
                <w:szCs w:val="24"/>
                <w:highlight w:val="none"/>
                <w:vertAlign w:val="superscript"/>
                <w:lang w:val="en-US" w:eastAsia="zh-CN"/>
              </w:rPr>
              <w:t>2</w:t>
            </w:r>
            <w:r>
              <w:rPr>
                <w:rFonts w:hint="default" w:ascii="Times New Roman" w:hAnsi="Times New Roman" w:eastAsia="宋体" w:cs="Times New Roman"/>
                <w:b w:val="0"/>
                <w:bCs/>
                <w:color w:val="auto"/>
                <w:kern w:val="0"/>
                <w:sz w:val="24"/>
                <w:szCs w:val="24"/>
                <w:highlight w:val="none"/>
                <w:lang w:val="en-US" w:eastAsia="zh-CN"/>
              </w:rPr>
              <w:t>的危废暂存间，并配套设置危险废物专用收集容器。危险废物暂存间地面和四周墙裙脚采用“水泥+2mm厚HDPE+环氧树脂”进行重点防渗处理，渗透系数≤10</w:t>
            </w:r>
            <w:r>
              <w:rPr>
                <w:rFonts w:hint="default" w:ascii="Times New Roman" w:hAnsi="Times New Roman" w:eastAsia="宋体" w:cs="Times New Roman"/>
                <w:b w:val="0"/>
                <w:bCs/>
                <w:color w:val="auto"/>
                <w:kern w:val="0"/>
                <w:sz w:val="24"/>
                <w:szCs w:val="24"/>
                <w:highlight w:val="none"/>
                <w:vertAlign w:val="superscript"/>
                <w:lang w:val="en-US" w:eastAsia="zh-CN"/>
              </w:rPr>
              <w:t>-10</w:t>
            </w:r>
            <w:r>
              <w:rPr>
                <w:rFonts w:hint="default" w:ascii="Times New Roman" w:hAnsi="Times New Roman" w:eastAsia="宋体" w:cs="Times New Roman"/>
                <w:b w:val="0"/>
                <w:bCs/>
                <w:color w:val="auto"/>
                <w:kern w:val="0"/>
                <w:sz w:val="24"/>
                <w:szCs w:val="24"/>
                <w:highlight w:val="none"/>
                <w:lang w:val="en-US" w:eastAsia="zh-CN"/>
              </w:rPr>
              <w:t>cm/s，并按照要求设置规范的标识标牌。产生危废暂存危废暂存间，委托有资质单位清运处置。</w:t>
            </w:r>
          </w:p>
          <w:p w14:paraId="10F6F3A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 xml:space="preserve">建设单位应严格按照《危险废物储存污染控制标准》（GB18597-2001）建设危险废物暂存间，将危险废物分类转入容器内，并粘贴危险废物标签，并做好相应的纪录。对相应的暂存场建设防渗设施、防风、防雨、防晒并配备照明设施等，并与厂区内其它生产单元、办公生活区严格区分、单独隔离。对危险废物的转移处理须严格按照国家环境保护部第5号令《危险废物转移联单管理办法》执行。危险废物暂存间的建设及管理应满足如下要求：  </w:t>
            </w:r>
          </w:p>
          <w:p w14:paraId="67F74E2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（1）危险废物暂存间的设计及建设要求</w:t>
            </w:r>
          </w:p>
          <w:p w14:paraId="73C29266">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①地面与裙脚要用坚固、防渗的材料建造，建筑材料必须与危险废物相容；</w:t>
            </w:r>
          </w:p>
          <w:p w14:paraId="0787AF1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②必须有泄漏液体收集装置、气体导出口及气体净化装置；</w:t>
            </w:r>
          </w:p>
          <w:p w14:paraId="457FCC86">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③暂存间应设置安全照明设施和观察窗口；</w:t>
            </w:r>
          </w:p>
          <w:p w14:paraId="35165F40">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④地面与裙脚所围建的容积不低于堵截最大容器的最大储量或总储量的五分之一；</w:t>
            </w:r>
          </w:p>
          <w:p w14:paraId="2544C4FB">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⑤危险废物暂存间的设计要防风、防雨、防晒；</w:t>
            </w:r>
          </w:p>
          <w:p w14:paraId="1D7FF56A">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⑥不相容的危险废物必须分开存放，并设有隔离间隔断。</w:t>
            </w:r>
          </w:p>
          <w:p w14:paraId="74CFB25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（2）危险废物贮存容器的相关要求</w:t>
            </w:r>
          </w:p>
          <w:p w14:paraId="496D511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①使用符合标准的容器盛装危险废物；</w:t>
            </w:r>
          </w:p>
          <w:p w14:paraId="043CA1C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②装载危险废物的容器及材质要满足相应的强度要求；</w:t>
            </w:r>
          </w:p>
          <w:p w14:paraId="75571794">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③装载危险废物的容器必须完好无损；</w:t>
            </w:r>
          </w:p>
          <w:p w14:paraId="2DFED974">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④盛装危险废物的容器材质和衬里要与危险废物相容（不相互反应）。</w:t>
            </w:r>
          </w:p>
          <w:p w14:paraId="60F6A59E">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（3）危险废物贮存设施的运行与管理要求</w:t>
            </w:r>
          </w:p>
          <w:p w14:paraId="615FBB1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①危险废物贮存前应进行检验，确保同预定接收的危险废物一致，并登记注册；</w:t>
            </w:r>
          </w:p>
          <w:p w14:paraId="459E3634">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②不得将不相容的废物混合或合并存放；</w:t>
            </w:r>
          </w:p>
          <w:p w14:paraId="7AF2D91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③须作好危险废物情况的记录，记录上须注明危险废物的名称、来源、数量、特性和包装容器的类别，入库日期、存放库位、废物出库日期及接受单位名称。危险废物的记录和货单在危险废物回取后应继续保留3年，实行危险废物转移联单管理制度。</w:t>
            </w:r>
          </w:p>
          <w:p w14:paraId="2722DEBB">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项目在严格落实环评提出的各项固体废弃物收集、储存设施确实实施的情况下，一般固体废弃物的储存处置能够达到《一般工业固体废物贮存和填埋污染控制标准》（GB18599-2020）中有关规定，项目所产生的危险废物能够满足《危险废物贮存污染控制标准》（GB 18597-2001）及2013年修改单（公告2013年第36号）中有关规定，项目所产生的固体废弃物能够得到合理、有效的处置，各固体废弃物去向明确，处置率达到100%，对环境的影响较小。</w:t>
            </w:r>
          </w:p>
          <w:p w14:paraId="53750565">
            <w:pPr>
              <w:pStyle w:val="19"/>
              <w:keepNext w:val="0"/>
              <w:keepLines w:val="0"/>
              <w:pageBreakBefore w:val="0"/>
              <w:widowControl w:val="0"/>
              <w:numPr>
                <w:ilvl w:val="0"/>
                <w:numId w:val="0"/>
              </w:numPr>
              <w:suppressLineNumbers w:val="0"/>
              <w:tabs>
                <w:tab w:val="left" w:pos="357"/>
              </w:tabs>
              <w:kinsoku/>
              <w:wordWrap/>
              <w:overflowPunct/>
              <w:topLinePunct w:val="0"/>
              <w:autoSpaceDE/>
              <w:autoSpaceDN/>
              <w:bidi w:val="0"/>
              <w:adjustRightInd w:val="0"/>
              <w:snapToGrid w:val="0"/>
              <w:spacing w:before="0" w:beforeAutospacing="0" w:after="0" w:afterLines="0" w:afterAutospacing="0" w:line="360" w:lineRule="auto"/>
              <w:ind w:right="0" w:firstLine="482" w:firstLineChars="20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五、地下水、土壤环境影响分析</w:t>
            </w:r>
          </w:p>
          <w:p w14:paraId="1B9F1CBC">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项目运行期正常工况不会对地下水、土壤造成污染，非正常工况地下水、土壤污染途径主要为废矿物油泄露、</w:t>
            </w:r>
            <w:r>
              <w:rPr>
                <w:rFonts w:hint="eastAsia" w:cs="Times New Roman"/>
                <w:color w:val="auto"/>
                <w:sz w:val="24"/>
                <w:szCs w:val="28"/>
                <w:lang w:val="en-US" w:eastAsia="zh-CN"/>
              </w:rPr>
              <w:t>甲</w:t>
            </w:r>
            <w:r>
              <w:rPr>
                <w:rFonts w:hint="default" w:ascii="Times New Roman" w:hAnsi="Times New Roman" w:eastAsia="宋体" w:cs="Times New Roman"/>
                <w:color w:val="auto"/>
                <w:sz w:val="24"/>
                <w:szCs w:val="28"/>
                <w:lang w:val="en-US" w:eastAsia="zh-CN"/>
              </w:rPr>
              <w:t>类仓库存放的有机溶剂泄露、污水处理设施故障污染地下水及土壤。废机油、</w:t>
            </w:r>
            <w:r>
              <w:rPr>
                <w:rFonts w:hint="eastAsia" w:cs="Times New Roman"/>
                <w:color w:val="auto"/>
                <w:sz w:val="24"/>
                <w:szCs w:val="28"/>
                <w:lang w:val="en-US" w:eastAsia="zh-CN"/>
              </w:rPr>
              <w:t>甲</w:t>
            </w:r>
            <w:r>
              <w:rPr>
                <w:rFonts w:hint="default" w:ascii="Times New Roman" w:hAnsi="Times New Roman" w:eastAsia="宋体" w:cs="Times New Roman"/>
                <w:color w:val="auto"/>
                <w:sz w:val="24"/>
                <w:szCs w:val="28"/>
                <w:lang w:val="en-US" w:eastAsia="zh-CN"/>
              </w:rPr>
              <w:t>类仓库存放的有机溶剂暂存对地下水及土壤产生污染的途径主要为渗透污染。渗透污染是导致地下水污染的普遍和主要方式，因此项目内根据项目各生产、生活功能单元可能产生污染的地区，将项目区划分为重点防渗区、一般防渗区、简单防渗区。环评要求对危废暂存间、甲类仓库做重点防渗处理；生活污水处理设施区域、生产区域、原辅料库区、产品库区做一般防渗；生产车间做简单防渗。具体防渗措施如下：</w:t>
            </w:r>
          </w:p>
          <w:p w14:paraId="553B9A08">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①重点防渗措施：危废暂存间、甲类</w:t>
            </w:r>
            <w:r>
              <w:rPr>
                <w:rFonts w:hint="eastAsia" w:cs="Times New Roman"/>
                <w:color w:val="auto"/>
                <w:sz w:val="24"/>
                <w:szCs w:val="28"/>
                <w:lang w:val="en-US" w:eastAsia="zh-CN"/>
              </w:rPr>
              <w:t>仓库做</w:t>
            </w:r>
            <w:r>
              <w:rPr>
                <w:rFonts w:hint="default" w:ascii="Times New Roman" w:hAnsi="Times New Roman" w:eastAsia="宋体" w:cs="Times New Roman"/>
                <w:color w:val="auto"/>
                <w:sz w:val="24"/>
                <w:szCs w:val="28"/>
                <w:lang w:val="en-US" w:eastAsia="zh-CN"/>
              </w:rPr>
              <w:t>重点防渗处理，采用黏土层厚度大于6m和抗渗混凝土进行建设；在危废暂存间采用抗渗混凝土+3mm环氧树脂等进行防渗，渗透系数K≤1.0×10</w:t>
            </w:r>
            <w:r>
              <w:rPr>
                <w:rFonts w:hint="default" w:ascii="Times New Roman" w:hAnsi="Times New Roman" w:eastAsia="宋体" w:cs="Times New Roman"/>
                <w:color w:val="auto"/>
                <w:sz w:val="24"/>
                <w:szCs w:val="28"/>
                <w:vertAlign w:val="superscript"/>
                <w:lang w:val="en-US" w:eastAsia="zh-CN"/>
              </w:rPr>
              <w:t>-10</w:t>
            </w:r>
            <w:r>
              <w:rPr>
                <w:rFonts w:hint="default" w:ascii="Times New Roman" w:hAnsi="Times New Roman" w:eastAsia="宋体" w:cs="Times New Roman"/>
                <w:color w:val="auto"/>
                <w:sz w:val="24"/>
                <w:szCs w:val="28"/>
                <w:lang w:val="en-US" w:eastAsia="zh-CN"/>
              </w:rPr>
              <w:t>cm/s的要求。</w:t>
            </w:r>
            <w:r>
              <w:rPr>
                <w:rFonts w:hint="eastAsia" w:cs="Times New Roman"/>
                <w:color w:val="auto"/>
                <w:sz w:val="24"/>
                <w:szCs w:val="28"/>
                <w:lang w:val="en-US" w:eastAsia="zh-CN"/>
              </w:rPr>
              <w:t>根据原项目的竣工验收报告，甲类仓库已进行重点防渗处理，满足其要求。</w:t>
            </w:r>
          </w:p>
          <w:p w14:paraId="221A064D">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②一般防渗措施：</w:t>
            </w:r>
            <w:r>
              <w:rPr>
                <w:rFonts w:hint="eastAsia" w:cs="Times New Roman"/>
                <w:color w:val="auto"/>
                <w:sz w:val="24"/>
                <w:szCs w:val="28"/>
                <w:lang w:val="en-US" w:eastAsia="zh-CN"/>
              </w:rPr>
              <w:t>污水处理系统</w:t>
            </w:r>
            <w:r>
              <w:rPr>
                <w:rFonts w:hint="default" w:ascii="Times New Roman" w:hAnsi="Times New Roman" w:eastAsia="宋体" w:cs="Times New Roman"/>
                <w:color w:val="auto"/>
                <w:sz w:val="24"/>
                <w:szCs w:val="28"/>
                <w:lang w:val="en-US" w:eastAsia="zh-CN"/>
              </w:rPr>
              <w:t>要求采取铺设2.0mm树脂膜进行防渗，K≤1.0×10</w:t>
            </w:r>
            <w:r>
              <w:rPr>
                <w:rFonts w:hint="default" w:ascii="Times New Roman" w:hAnsi="Times New Roman" w:eastAsia="宋体" w:cs="Times New Roman"/>
                <w:color w:val="auto"/>
                <w:sz w:val="24"/>
                <w:szCs w:val="28"/>
                <w:vertAlign w:val="superscript"/>
                <w:lang w:val="en-US" w:eastAsia="zh-CN"/>
              </w:rPr>
              <w:t>-7</w:t>
            </w:r>
            <w:r>
              <w:rPr>
                <w:rFonts w:hint="default" w:ascii="Times New Roman" w:hAnsi="Times New Roman" w:eastAsia="宋体" w:cs="Times New Roman"/>
                <w:color w:val="auto"/>
                <w:sz w:val="24"/>
                <w:szCs w:val="28"/>
                <w:lang w:val="en-US" w:eastAsia="zh-CN"/>
              </w:rPr>
              <w:t>cm/s。</w:t>
            </w:r>
          </w:p>
          <w:p w14:paraId="1797D47C">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③简单防渗措施：</w:t>
            </w:r>
            <w:r>
              <w:rPr>
                <w:rFonts w:hint="eastAsia" w:cs="Times New Roman"/>
                <w:color w:val="auto"/>
                <w:sz w:val="24"/>
                <w:szCs w:val="28"/>
                <w:lang w:val="en-US" w:eastAsia="zh-CN"/>
              </w:rPr>
              <w:t>厂区地面</w:t>
            </w:r>
            <w:r>
              <w:rPr>
                <w:rFonts w:hint="default" w:ascii="Times New Roman" w:hAnsi="Times New Roman" w:eastAsia="宋体" w:cs="Times New Roman"/>
                <w:color w:val="auto"/>
                <w:sz w:val="24"/>
                <w:szCs w:val="28"/>
                <w:lang w:val="en-US" w:eastAsia="zh-CN"/>
              </w:rPr>
              <w:t>采取一般地面硬化措施。</w:t>
            </w:r>
          </w:p>
          <w:p w14:paraId="6B897979">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8"/>
                <w:lang w:val="en-US" w:eastAsia="zh-CN"/>
              </w:rPr>
            </w:pPr>
            <w:r>
              <w:rPr>
                <w:rFonts w:hint="default" w:ascii="Times New Roman" w:hAnsi="Times New Roman" w:eastAsia="宋体" w:cs="Times New Roman"/>
                <w:color w:val="auto"/>
                <w:sz w:val="24"/>
                <w:szCs w:val="28"/>
                <w:lang w:val="en-US" w:eastAsia="zh-CN"/>
              </w:rPr>
              <w:t>综上所述，项目营运期对地下水及土壤环境影响较小。</w:t>
            </w:r>
          </w:p>
          <w:p w14:paraId="29310345">
            <w:pPr>
              <w:pStyle w:val="1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六、环境风险评价</w:t>
            </w:r>
          </w:p>
          <w:p w14:paraId="02010DF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根据</w:t>
            </w:r>
            <w:r>
              <w:rPr>
                <w:rFonts w:hint="default" w:ascii="Times New Roman" w:hAnsi="Times New Roman" w:eastAsia="宋体" w:cs="Times New Roman"/>
                <w:color w:val="auto"/>
                <w:sz w:val="24"/>
              </w:rPr>
              <w:t>《建设项目环境风险评价技术导则》（HJ/T169-2018）附录B中的风险物质</w:t>
            </w:r>
            <w:r>
              <w:rPr>
                <w:rFonts w:hint="default" w:ascii="Times New Roman" w:hAnsi="Times New Roman" w:eastAsia="宋体" w:cs="Times New Roman"/>
                <w:color w:val="auto"/>
                <w:sz w:val="24"/>
                <w:lang w:eastAsia="zh-CN"/>
              </w:rPr>
              <w:t>，厂区涉及的环境风险物质主要为机械、设备维修产生的废矿物油、以及消泡剂（矿物油）、阻聚剂（</w:t>
            </w:r>
            <w:r>
              <w:rPr>
                <w:rFonts w:hint="default" w:ascii="Times New Roman" w:hAnsi="Times New Roman" w:eastAsia="宋体" w:cs="Times New Roman"/>
                <w:color w:val="auto"/>
                <w:sz w:val="24"/>
                <w:lang w:val="en-US" w:eastAsia="zh-CN"/>
              </w:rPr>
              <w:t>25%</w:t>
            </w:r>
            <w:r>
              <w:rPr>
                <w:rFonts w:hint="default" w:ascii="Times New Roman" w:hAnsi="Times New Roman" w:eastAsia="宋体" w:cs="Times New Roman"/>
                <w:color w:val="auto"/>
                <w:sz w:val="24"/>
                <w:lang w:eastAsia="zh-CN"/>
              </w:rPr>
              <w:t>氨水）以及甲类仓库暂存的有机溶剂。由于本次扩建内容不</w:t>
            </w:r>
            <w:r>
              <w:rPr>
                <w:rFonts w:hint="default" w:ascii="Times New Roman" w:hAnsi="Times New Roman" w:eastAsia="宋体" w:cs="Times New Roman"/>
                <w:color w:val="auto"/>
                <w:sz w:val="24"/>
                <w:lang w:val="en-US" w:eastAsia="zh-CN"/>
              </w:rPr>
              <w:t>涉及甲类仓库，甲类仓库的有机溶剂最大暂存量与原项目一致。在本次扩建项目生产工艺流程、生产线、原辅材料种类</w:t>
            </w:r>
            <w:r>
              <w:rPr>
                <w:rFonts w:hint="eastAsia" w:cs="Times New Roman"/>
                <w:color w:val="auto"/>
                <w:sz w:val="24"/>
                <w:lang w:val="en-US" w:eastAsia="zh-CN"/>
              </w:rPr>
              <w:t>、主体生产设备</w:t>
            </w:r>
            <w:r>
              <w:rPr>
                <w:rFonts w:hint="default" w:ascii="Times New Roman" w:hAnsi="Times New Roman" w:eastAsia="宋体" w:cs="Times New Roman"/>
                <w:color w:val="auto"/>
                <w:sz w:val="24"/>
                <w:lang w:val="en-US" w:eastAsia="zh-CN"/>
              </w:rPr>
              <w:t>等与原项目保持不变，因此</w:t>
            </w:r>
            <w:r>
              <w:rPr>
                <w:rFonts w:hint="default" w:ascii="Times New Roman" w:hAnsi="Times New Roman" w:eastAsia="宋体" w:cs="Times New Roman"/>
                <w:color w:val="auto"/>
                <w:sz w:val="24"/>
                <w:lang w:eastAsia="zh-CN"/>
              </w:rPr>
              <w:t>不新增环境风险物质。消泡剂（矿物油）、阻聚剂（</w:t>
            </w:r>
            <w:r>
              <w:rPr>
                <w:rFonts w:hint="default" w:ascii="Times New Roman" w:hAnsi="Times New Roman" w:eastAsia="宋体" w:cs="Times New Roman"/>
                <w:color w:val="auto"/>
                <w:sz w:val="24"/>
                <w:lang w:val="en-US" w:eastAsia="zh-CN"/>
              </w:rPr>
              <w:t>25%</w:t>
            </w:r>
            <w:r>
              <w:rPr>
                <w:rFonts w:hint="default" w:ascii="Times New Roman" w:hAnsi="Times New Roman" w:eastAsia="宋体" w:cs="Times New Roman"/>
                <w:color w:val="auto"/>
                <w:sz w:val="24"/>
                <w:lang w:eastAsia="zh-CN"/>
              </w:rPr>
              <w:t>氨水）暂存在</w:t>
            </w:r>
            <w:r>
              <w:rPr>
                <w:rFonts w:hint="default" w:ascii="Times New Roman" w:hAnsi="Times New Roman" w:eastAsia="宋体" w:cs="Times New Roman"/>
                <w:color w:val="auto"/>
                <w:sz w:val="24"/>
                <w:lang w:val="en-US" w:eastAsia="zh-CN"/>
              </w:rPr>
              <w:t>原料库内</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本次扩建</w:t>
            </w:r>
            <w:r>
              <w:rPr>
                <w:rFonts w:hint="eastAsia" w:cs="Times New Roman"/>
                <w:color w:val="auto"/>
                <w:sz w:val="24"/>
                <w:lang w:val="en-US" w:eastAsia="zh-CN"/>
              </w:rPr>
              <w:t>内容</w:t>
            </w:r>
            <w:r>
              <w:rPr>
                <w:rFonts w:hint="default" w:ascii="Times New Roman" w:hAnsi="Times New Roman" w:eastAsia="宋体" w:cs="Times New Roman"/>
                <w:color w:val="auto"/>
                <w:sz w:val="24"/>
                <w:lang w:val="en-US" w:eastAsia="zh-CN"/>
              </w:rPr>
              <w:t>不涉及原料库</w:t>
            </w:r>
            <w:r>
              <w:rPr>
                <w:rFonts w:hint="eastAsia" w:cs="Times New Roman"/>
                <w:color w:val="auto"/>
                <w:sz w:val="24"/>
                <w:lang w:val="en-US" w:eastAsia="zh-CN"/>
              </w:rPr>
              <w:t>扩建</w:t>
            </w:r>
            <w:r>
              <w:rPr>
                <w:rFonts w:hint="default" w:ascii="Times New Roman" w:hAnsi="Times New Roman" w:eastAsia="宋体" w:cs="Times New Roman"/>
                <w:color w:val="auto"/>
                <w:sz w:val="24"/>
                <w:lang w:val="en-US" w:eastAsia="zh-CN"/>
              </w:rPr>
              <w:t>，因此厂区内</w:t>
            </w:r>
            <w:r>
              <w:rPr>
                <w:rFonts w:hint="default" w:ascii="Times New Roman" w:hAnsi="Times New Roman" w:eastAsia="宋体" w:cs="Times New Roman"/>
                <w:color w:val="auto"/>
                <w:sz w:val="24"/>
                <w:lang w:eastAsia="zh-CN"/>
              </w:rPr>
              <w:t>消泡剂（矿物油）、阻聚剂（</w:t>
            </w:r>
            <w:r>
              <w:rPr>
                <w:rFonts w:hint="default" w:ascii="Times New Roman" w:hAnsi="Times New Roman" w:eastAsia="宋体" w:cs="Times New Roman"/>
                <w:color w:val="auto"/>
                <w:sz w:val="24"/>
                <w:lang w:val="en-US" w:eastAsia="zh-CN"/>
              </w:rPr>
              <w:t>25%</w:t>
            </w:r>
            <w:r>
              <w:rPr>
                <w:rFonts w:hint="default" w:ascii="Times New Roman" w:hAnsi="Times New Roman" w:eastAsia="宋体" w:cs="Times New Roman"/>
                <w:color w:val="auto"/>
                <w:sz w:val="24"/>
                <w:lang w:eastAsia="zh-CN"/>
              </w:rPr>
              <w:t>氨水）</w:t>
            </w:r>
            <w:r>
              <w:rPr>
                <w:rFonts w:hint="default" w:ascii="Times New Roman" w:hAnsi="Times New Roman" w:eastAsia="宋体" w:cs="Times New Roman"/>
                <w:color w:val="auto"/>
                <w:sz w:val="24"/>
                <w:lang w:val="en-US" w:eastAsia="zh-CN"/>
              </w:rPr>
              <w:t>最大存储量不变</w:t>
            </w:r>
            <w:r>
              <w:rPr>
                <w:rFonts w:hint="default" w:ascii="Times New Roman" w:hAnsi="Times New Roman" w:eastAsia="宋体" w:cs="Times New Roman"/>
                <w:color w:val="auto"/>
                <w:sz w:val="24"/>
                <w:lang w:eastAsia="zh-CN"/>
              </w:rPr>
              <w:t>，因此</w:t>
            </w:r>
            <w:r>
              <w:rPr>
                <w:rFonts w:hint="default" w:ascii="Times New Roman" w:hAnsi="Times New Roman" w:eastAsia="宋体" w:cs="Times New Roman"/>
                <w:color w:val="auto"/>
                <w:sz w:val="24"/>
              </w:rPr>
              <w:t>全厂风险物质、风险源及风险事故类型</w:t>
            </w:r>
            <w:r>
              <w:rPr>
                <w:rFonts w:hint="default" w:ascii="Times New Roman" w:hAnsi="Times New Roman" w:eastAsia="宋体" w:cs="Times New Roman"/>
                <w:color w:val="auto"/>
                <w:sz w:val="24"/>
                <w:lang w:val="en-US" w:eastAsia="zh-CN"/>
              </w:rPr>
              <w:t>与原项目一致</w:t>
            </w:r>
            <w:r>
              <w:rPr>
                <w:rFonts w:hint="default" w:ascii="Times New Roman" w:hAnsi="Times New Roman" w:eastAsia="宋体" w:cs="Times New Roman"/>
                <w:color w:val="auto"/>
                <w:sz w:val="24"/>
              </w:rPr>
              <w:t>。</w:t>
            </w:r>
          </w:p>
          <w:p w14:paraId="1C88E82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w:t>
            </w:r>
            <w:r>
              <w:rPr>
                <w:rFonts w:hint="default" w:ascii="Times New Roman" w:hAnsi="Times New Roman" w:eastAsia="宋体" w:cs="Times New Roman"/>
                <w:color w:val="auto"/>
                <w:sz w:val="24"/>
                <w:lang w:val="en-US" w:eastAsia="zh-CN"/>
              </w:rPr>
              <w:t>建设单位提供资料</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24"/>
                <w:lang w:val="en-US" w:eastAsia="zh-CN"/>
              </w:rPr>
              <w:t>立邦涂料（昆明）有限公司</w:t>
            </w:r>
            <w:r>
              <w:rPr>
                <w:rFonts w:hint="default" w:ascii="Times New Roman" w:hAnsi="Times New Roman" w:eastAsia="宋体" w:cs="Times New Roman"/>
                <w:color w:val="auto"/>
                <w:sz w:val="24"/>
              </w:rPr>
              <w:t>突发环境事件应急预案（20</w:t>
            </w:r>
            <w:r>
              <w:rPr>
                <w:rFonts w:hint="eastAsia" w:cs="Times New Roman"/>
                <w:color w:val="auto"/>
                <w:sz w:val="24"/>
                <w:lang w:val="en-US" w:eastAsia="zh-CN"/>
              </w:rPr>
              <w:t>19</w:t>
            </w:r>
            <w:r>
              <w:rPr>
                <w:rFonts w:hint="default" w:ascii="Times New Roman" w:hAnsi="Times New Roman" w:eastAsia="宋体" w:cs="Times New Roman"/>
                <w:color w:val="auto"/>
                <w:sz w:val="24"/>
              </w:rPr>
              <w:t>年版）》</w:t>
            </w:r>
            <w:r>
              <w:rPr>
                <w:rFonts w:hint="default" w:ascii="Times New Roman" w:hAnsi="Times New Roman" w:eastAsia="宋体" w:cs="Times New Roman"/>
                <w:color w:val="auto"/>
                <w:sz w:val="24"/>
                <w:lang w:val="en-US" w:eastAsia="zh-CN"/>
              </w:rPr>
              <w:t>已</w:t>
            </w:r>
            <w:r>
              <w:rPr>
                <w:rFonts w:hint="default" w:ascii="Times New Roman" w:hAnsi="Times New Roman" w:eastAsia="宋体" w:cs="Times New Roman"/>
                <w:color w:val="auto"/>
                <w:sz w:val="24"/>
              </w:rPr>
              <w:t>于20</w:t>
            </w:r>
            <w:r>
              <w:rPr>
                <w:rFonts w:hint="eastAsia" w:cs="Times New Roman"/>
                <w:color w:val="auto"/>
                <w:sz w:val="24"/>
                <w:lang w:val="en-US" w:eastAsia="zh-CN"/>
              </w:rPr>
              <w:t>19</w:t>
            </w:r>
            <w:r>
              <w:rPr>
                <w:rFonts w:hint="default" w:ascii="Times New Roman" w:hAnsi="Times New Roman" w:eastAsia="宋体" w:cs="Times New Roman"/>
                <w:color w:val="auto"/>
                <w:sz w:val="24"/>
              </w:rPr>
              <w:t>年</w:t>
            </w:r>
            <w:r>
              <w:rPr>
                <w:rFonts w:hint="eastAsia" w:cs="Times New Roman"/>
                <w:color w:val="auto"/>
                <w:sz w:val="24"/>
                <w:lang w:val="en-US" w:eastAsia="zh-CN"/>
              </w:rPr>
              <w:t>5</w:t>
            </w:r>
            <w:r>
              <w:rPr>
                <w:rFonts w:hint="default" w:ascii="Times New Roman" w:hAnsi="Times New Roman" w:eastAsia="宋体" w:cs="Times New Roman"/>
                <w:color w:val="auto"/>
                <w:sz w:val="24"/>
              </w:rPr>
              <w:t>月</w:t>
            </w:r>
            <w:r>
              <w:rPr>
                <w:rFonts w:hint="eastAsia" w:cs="Times New Roman"/>
                <w:color w:val="auto"/>
                <w:sz w:val="24"/>
                <w:lang w:val="en-US" w:eastAsia="zh-CN"/>
              </w:rPr>
              <w:t>11</w:t>
            </w:r>
            <w:r>
              <w:rPr>
                <w:rFonts w:hint="default" w:ascii="Times New Roman" w:hAnsi="Times New Roman" w:eastAsia="宋体" w:cs="Times New Roman"/>
                <w:color w:val="auto"/>
                <w:sz w:val="24"/>
              </w:rPr>
              <w:t>日完成备案，备案编号：</w:t>
            </w:r>
            <w:r>
              <w:rPr>
                <w:rFonts w:hint="default" w:ascii="Times New Roman" w:hAnsi="Times New Roman" w:eastAsia="宋体" w:cs="Times New Roman"/>
                <w:color w:val="auto"/>
                <w:sz w:val="24"/>
                <w:lang w:val="en-US" w:eastAsia="zh-CN"/>
              </w:rPr>
              <w:t>530124-</w:t>
            </w:r>
            <w:r>
              <w:rPr>
                <w:rFonts w:hint="eastAsia" w:cs="Times New Roman"/>
                <w:color w:val="auto"/>
                <w:sz w:val="24"/>
                <w:lang w:val="en-US" w:eastAsia="zh-CN"/>
              </w:rPr>
              <w:t>2019</w:t>
            </w:r>
            <w:r>
              <w:rPr>
                <w:rFonts w:hint="default" w:ascii="Times New Roman" w:hAnsi="Times New Roman" w:eastAsia="宋体" w:cs="Times New Roman"/>
                <w:color w:val="auto"/>
                <w:sz w:val="24"/>
                <w:lang w:val="en-US" w:eastAsia="zh-CN"/>
              </w:rPr>
              <w:t>-011-M</w:t>
            </w:r>
            <w:r>
              <w:rPr>
                <w:rFonts w:hint="default" w:ascii="Times New Roman" w:hAnsi="Times New Roman" w:eastAsia="宋体" w:cs="Times New Roman"/>
                <w:color w:val="auto"/>
                <w:sz w:val="24"/>
              </w:rPr>
              <w:t>。</w:t>
            </w:r>
            <w:r>
              <w:rPr>
                <w:rFonts w:hint="eastAsia" w:cs="Times New Roman"/>
                <w:color w:val="auto"/>
                <w:sz w:val="24"/>
                <w:lang w:val="en-US" w:eastAsia="zh-CN"/>
              </w:rPr>
              <w:t>目前正在进行应急预案修编。</w:t>
            </w:r>
            <w:r>
              <w:rPr>
                <w:rFonts w:hint="default" w:ascii="Times New Roman" w:hAnsi="Times New Roman" w:eastAsia="宋体" w:cs="Times New Roman"/>
                <w:color w:val="auto"/>
                <w:sz w:val="24"/>
              </w:rPr>
              <w:t>企业应急预案备案后，严格按照预案要求，加强风险隐患排查，加强应急演练及培训，期间未发生突发环境事件。</w:t>
            </w:r>
          </w:p>
          <w:p w14:paraId="3E34233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故本次评价认为，企业在严格按照有关规范标准的监控和管理的基础下，严格按照原环评及已备案的突发环境事件应急预案要求，认真落实各项环保设施及应急处置措施，加强风险隐患排查，加强应急演练及培训，项目的环境风险可在接受范围内。</w:t>
            </w:r>
          </w:p>
          <w:p w14:paraId="057CE3CD">
            <w:pPr>
              <w:keepNext w:val="0"/>
              <w:keepLines w:val="0"/>
              <w:numPr>
                <w:ilvl w:val="0"/>
                <w:numId w:val="6"/>
              </w:numPr>
              <w:suppressLineNumbers w:val="0"/>
              <w:snapToGrid w:val="0"/>
              <w:spacing w:before="0" w:beforeAutospacing="0" w:after="0" w:afterAutospacing="0" w:line="360" w:lineRule="auto"/>
              <w:ind w:left="0" w:right="0" w:firstLine="480"/>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lang w:eastAsia="zh-CN"/>
              </w:rPr>
              <w:t>三本账</w:t>
            </w:r>
          </w:p>
          <w:p w14:paraId="190C6E23">
            <w:pPr>
              <w:keepNext w:val="0"/>
              <w:keepLines w:val="0"/>
              <w:numPr>
                <w:ilvl w:val="0"/>
                <w:numId w:val="0"/>
              </w:numPr>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color w:val="auto"/>
                <w:sz w:val="24"/>
              </w:rPr>
              <w:t>由于项目属于</w:t>
            </w:r>
            <w:r>
              <w:rPr>
                <w:rFonts w:hint="default" w:ascii="Times New Roman" w:hAnsi="Times New Roman" w:eastAsia="宋体" w:cs="Times New Roman"/>
                <w:color w:val="auto"/>
                <w:sz w:val="24"/>
                <w:lang w:eastAsia="zh-CN"/>
              </w:rPr>
              <w:t>扩建</w:t>
            </w:r>
            <w:r>
              <w:rPr>
                <w:rFonts w:hint="default" w:ascii="Times New Roman" w:hAnsi="Times New Roman" w:eastAsia="宋体" w:cs="Times New Roman"/>
                <w:color w:val="auto"/>
                <w:sz w:val="24"/>
              </w:rPr>
              <w:t>项目，项目</w:t>
            </w:r>
            <w:r>
              <w:rPr>
                <w:rFonts w:hint="default" w:ascii="Times New Roman" w:hAnsi="Times New Roman" w:eastAsia="宋体" w:cs="Times New Roman"/>
                <w:color w:val="auto"/>
                <w:sz w:val="24"/>
                <w:lang w:eastAsia="zh-CN"/>
              </w:rPr>
              <w:t>扩建</w:t>
            </w:r>
            <w:r>
              <w:rPr>
                <w:rFonts w:hint="default" w:ascii="Times New Roman" w:hAnsi="Times New Roman" w:eastAsia="宋体" w:cs="Times New Roman"/>
                <w:color w:val="auto"/>
                <w:sz w:val="24"/>
              </w:rPr>
              <w:t>完成后将导致“三废”排放发生变化，具体变化情况见表4-</w:t>
            </w:r>
            <w:r>
              <w:rPr>
                <w:rFonts w:hint="eastAsia" w:cs="Times New Roman"/>
                <w:color w:val="auto"/>
                <w:sz w:val="24"/>
                <w:lang w:val="en-US" w:eastAsia="zh-CN"/>
              </w:rPr>
              <w:t>20</w:t>
            </w:r>
            <w:r>
              <w:rPr>
                <w:rFonts w:hint="default" w:ascii="Times New Roman" w:hAnsi="Times New Roman" w:eastAsia="宋体" w:cs="Times New Roman"/>
                <w:color w:val="auto"/>
                <w:sz w:val="24"/>
              </w:rPr>
              <w:t>。</w:t>
            </w:r>
          </w:p>
          <w:p w14:paraId="520D90C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表4-</w:t>
            </w:r>
            <w:r>
              <w:rPr>
                <w:rFonts w:hint="eastAsia" w:cs="Times New Roman"/>
                <w:b/>
                <w:color w:val="auto"/>
                <w:szCs w:val="21"/>
                <w:lang w:val="en-US" w:eastAsia="zh-CN"/>
              </w:rPr>
              <w:t>20</w:t>
            </w:r>
            <w:r>
              <w:rPr>
                <w:rFonts w:hint="default" w:ascii="Times New Roman" w:hAnsi="Times New Roman" w:eastAsia="宋体" w:cs="Times New Roman"/>
                <w:b/>
                <w:color w:val="auto"/>
                <w:szCs w:val="21"/>
              </w:rPr>
              <w:t xml:space="preserve">  三本账核算一览表</w:t>
            </w:r>
          </w:p>
          <w:tbl>
            <w:tblPr>
              <w:tblStyle w:val="28"/>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1600"/>
              <w:gridCol w:w="899"/>
              <w:gridCol w:w="994"/>
              <w:gridCol w:w="891"/>
              <w:gridCol w:w="895"/>
              <w:gridCol w:w="820"/>
              <w:gridCol w:w="973"/>
              <w:gridCol w:w="816"/>
            </w:tblGrid>
            <w:tr w14:paraId="3A5E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restart"/>
                  <w:noWrap w:val="0"/>
                  <w:vAlign w:val="center"/>
                </w:tcPr>
                <w:p w14:paraId="5EEE4C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种类</w:t>
                  </w:r>
                </w:p>
              </w:tc>
              <w:tc>
                <w:tcPr>
                  <w:tcW w:w="1600" w:type="dxa"/>
                  <w:vMerge w:val="restart"/>
                  <w:noWrap w:val="0"/>
                  <w:vAlign w:val="center"/>
                </w:tcPr>
                <w:p w14:paraId="0E140A5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污染物名称</w:t>
                  </w:r>
                </w:p>
              </w:tc>
              <w:tc>
                <w:tcPr>
                  <w:tcW w:w="1893" w:type="dxa"/>
                  <w:gridSpan w:val="2"/>
                  <w:noWrap w:val="0"/>
                  <w:vAlign w:val="center"/>
                </w:tcPr>
                <w:p w14:paraId="5A83E7A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现有工程</w:t>
                  </w:r>
                </w:p>
              </w:tc>
              <w:tc>
                <w:tcPr>
                  <w:tcW w:w="1786" w:type="dxa"/>
                  <w:gridSpan w:val="2"/>
                  <w:noWrap w:val="0"/>
                  <w:vAlign w:val="center"/>
                </w:tcPr>
                <w:p w14:paraId="34F77C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技改项目</w:t>
                  </w:r>
                </w:p>
              </w:tc>
              <w:tc>
                <w:tcPr>
                  <w:tcW w:w="820" w:type="dxa"/>
                  <w:vMerge w:val="restart"/>
                  <w:noWrap w:val="0"/>
                  <w:vAlign w:val="center"/>
                </w:tcPr>
                <w:p w14:paraId="2BBC59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“以新带老”削减量</w:t>
                  </w:r>
                </w:p>
              </w:tc>
              <w:tc>
                <w:tcPr>
                  <w:tcW w:w="973" w:type="dxa"/>
                  <w:vMerge w:val="restart"/>
                  <w:noWrap w:val="0"/>
                  <w:vAlign w:val="center"/>
                </w:tcPr>
                <w:p w14:paraId="74AB0C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总排放量</w:t>
                  </w:r>
                </w:p>
              </w:tc>
              <w:tc>
                <w:tcPr>
                  <w:tcW w:w="816" w:type="dxa"/>
                  <w:vMerge w:val="restart"/>
                  <w:noWrap w:val="0"/>
                  <w:vAlign w:val="center"/>
                </w:tcPr>
                <w:p w14:paraId="2754DDD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增减量变化</w:t>
                  </w:r>
                </w:p>
              </w:tc>
            </w:tr>
            <w:tr w14:paraId="1F50F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noWrap w:val="0"/>
                  <w:vAlign w:val="center"/>
                </w:tcPr>
                <w:p w14:paraId="540EAF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600" w:type="dxa"/>
                  <w:vMerge w:val="continue"/>
                  <w:noWrap w:val="0"/>
                  <w:vAlign w:val="center"/>
                </w:tcPr>
                <w:p w14:paraId="49EADC5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899" w:type="dxa"/>
                  <w:noWrap w:val="0"/>
                  <w:vAlign w:val="center"/>
                </w:tcPr>
                <w:p w14:paraId="65DEB3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产生量</w:t>
                  </w:r>
                </w:p>
              </w:tc>
              <w:tc>
                <w:tcPr>
                  <w:tcW w:w="994" w:type="dxa"/>
                  <w:noWrap w:val="0"/>
                  <w:vAlign w:val="center"/>
                </w:tcPr>
                <w:p w14:paraId="6379DB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排放量</w:t>
                  </w:r>
                </w:p>
              </w:tc>
              <w:tc>
                <w:tcPr>
                  <w:tcW w:w="891" w:type="dxa"/>
                  <w:noWrap w:val="0"/>
                  <w:vAlign w:val="center"/>
                </w:tcPr>
                <w:p w14:paraId="095A13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产生量</w:t>
                  </w:r>
                </w:p>
              </w:tc>
              <w:tc>
                <w:tcPr>
                  <w:tcW w:w="895" w:type="dxa"/>
                  <w:noWrap w:val="0"/>
                  <w:vAlign w:val="center"/>
                </w:tcPr>
                <w:p w14:paraId="3E6D34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排放量</w:t>
                  </w:r>
                </w:p>
              </w:tc>
              <w:tc>
                <w:tcPr>
                  <w:tcW w:w="820" w:type="dxa"/>
                  <w:vMerge w:val="continue"/>
                  <w:noWrap w:val="0"/>
                  <w:vAlign w:val="center"/>
                </w:tcPr>
                <w:p w14:paraId="086B84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973" w:type="dxa"/>
                  <w:vMerge w:val="continue"/>
                  <w:noWrap w:val="0"/>
                  <w:vAlign w:val="center"/>
                </w:tcPr>
                <w:p w14:paraId="704E17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816" w:type="dxa"/>
                  <w:vMerge w:val="continue"/>
                  <w:noWrap w:val="0"/>
                  <w:vAlign w:val="center"/>
                </w:tcPr>
                <w:p w14:paraId="155707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r>
            <w:tr w14:paraId="7B6DE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7" w:type="dxa"/>
                  <w:noWrap w:val="0"/>
                  <w:vAlign w:val="center"/>
                </w:tcPr>
                <w:p w14:paraId="56879A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w:t>
                  </w:r>
                </w:p>
              </w:tc>
              <w:tc>
                <w:tcPr>
                  <w:tcW w:w="1600" w:type="dxa"/>
                  <w:noWrap w:val="0"/>
                  <w:vAlign w:val="center"/>
                </w:tcPr>
                <w:p w14:paraId="1C9FAA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废水量（万t/a）</w:t>
                  </w:r>
                </w:p>
              </w:tc>
              <w:tc>
                <w:tcPr>
                  <w:tcW w:w="899" w:type="dxa"/>
                  <w:noWrap w:val="0"/>
                  <w:vAlign w:val="center"/>
                </w:tcPr>
                <w:p w14:paraId="03DC3E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0.87625</w:t>
                  </w:r>
                </w:p>
              </w:tc>
              <w:tc>
                <w:tcPr>
                  <w:tcW w:w="994" w:type="dxa"/>
                  <w:noWrap w:val="0"/>
                  <w:vAlign w:val="center"/>
                </w:tcPr>
                <w:p w14:paraId="0454C7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0.87625</w:t>
                  </w:r>
                </w:p>
              </w:tc>
              <w:tc>
                <w:tcPr>
                  <w:tcW w:w="891" w:type="dxa"/>
                  <w:noWrap w:val="0"/>
                  <w:vAlign w:val="center"/>
                </w:tcPr>
                <w:p w14:paraId="4EBB980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rPr>
                  </w:pPr>
                  <w:r>
                    <w:rPr>
                      <w:rFonts w:hint="eastAsia" w:cs="Times New Roman"/>
                      <w:color w:val="auto"/>
                      <w:kern w:val="0"/>
                      <w:szCs w:val="21"/>
                      <w:lang w:val="en-US" w:eastAsia="zh-CN"/>
                    </w:rPr>
                    <w:t>1.2526</w:t>
                  </w:r>
                </w:p>
              </w:tc>
              <w:tc>
                <w:tcPr>
                  <w:tcW w:w="895" w:type="dxa"/>
                  <w:noWrap w:val="0"/>
                  <w:vAlign w:val="center"/>
                </w:tcPr>
                <w:p w14:paraId="4366A2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1.2526</w:t>
                  </w:r>
                </w:p>
              </w:tc>
              <w:tc>
                <w:tcPr>
                  <w:tcW w:w="820" w:type="dxa"/>
                  <w:noWrap w:val="0"/>
                  <w:vAlign w:val="center"/>
                </w:tcPr>
                <w:p w14:paraId="69248B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w:t>
                  </w:r>
                </w:p>
              </w:tc>
              <w:tc>
                <w:tcPr>
                  <w:tcW w:w="973" w:type="dxa"/>
                  <w:noWrap w:val="0"/>
                  <w:vAlign w:val="center"/>
                </w:tcPr>
                <w:p w14:paraId="223541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1.2526</w:t>
                  </w:r>
                </w:p>
              </w:tc>
              <w:tc>
                <w:tcPr>
                  <w:tcW w:w="816" w:type="dxa"/>
                  <w:noWrap w:val="0"/>
                  <w:vAlign w:val="center"/>
                </w:tcPr>
                <w:p w14:paraId="25AB42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r>
                    <w:rPr>
                      <w:rFonts w:hint="eastAsia" w:cs="Times New Roman"/>
                      <w:color w:val="auto"/>
                      <w:szCs w:val="21"/>
                      <w:lang w:val="en-US" w:eastAsia="zh-CN"/>
                    </w:rPr>
                    <w:t>0.3764</w:t>
                  </w:r>
                </w:p>
              </w:tc>
            </w:tr>
            <w:tr w14:paraId="50A55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617" w:type="dxa"/>
                  <w:vMerge w:val="restart"/>
                  <w:noWrap w:val="0"/>
                  <w:vAlign w:val="center"/>
                </w:tcPr>
                <w:p w14:paraId="423DBD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tc>
              <w:tc>
                <w:tcPr>
                  <w:tcW w:w="1600" w:type="dxa"/>
                  <w:noWrap w:val="0"/>
                  <w:vAlign w:val="center"/>
                </w:tcPr>
                <w:p w14:paraId="79CD77E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p w14:paraId="4EDA33E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（万Nm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/a）</w:t>
                  </w:r>
                </w:p>
              </w:tc>
              <w:tc>
                <w:tcPr>
                  <w:tcW w:w="899" w:type="dxa"/>
                  <w:noWrap w:val="0"/>
                  <w:vAlign w:val="center"/>
                </w:tcPr>
                <w:p w14:paraId="6621F08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w:t>
                  </w:r>
                </w:p>
              </w:tc>
              <w:tc>
                <w:tcPr>
                  <w:tcW w:w="994" w:type="dxa"/>
                  <w:noWrap w:val="0"/>
                  <w:vAlign w:val="center"/>
                </w:tcPr>
                <w:p w14:paraId="7D8F8FD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14113</w:t>
                  </w:r>
                </w:p>
              </w:tc>
              <w:tc>
                <w:tcPr>
                  <w:tcW w:w="891" w:type="dxa"/>
                  <w:noWrap w:val="0"/>
                  <w:vAlign w:val="center"/>
                </w:tcPr>
                <w:p w14:paraId="1194F6E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cs="Times New Roman"/>
                      <w:color w:val="auto"/>
                      <w:szCs w:val="21"/>
                      <w:lang w:val="en-US" w:eastAsia="zh-CN"/>
                    </w:rPr>
                    <w:t>25680</w:t>
                  </w:r>
                </w:p>
              </w:tc>
              <w:tc>
                <w:tcPr>
                  <w:tcW w:w="895" w:type="dxa"/>
                  <w:noWrap w:val="0"/>
                  <w:vAlign w:val="center"/>
                </w:tcPr>
                <w:p w14:paraId="763A36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cs="Times New Roman"/>
                      <w:color w:val="auto"/>
                      <w:szCs w:val="21"/>
                      <w:lang w:val="en-US" w:eastAsia="zh-CN"/>
                    </w:rPr>
                    <w:t>25680</w:t>
                  </w:r>
                </w:p>
              </w:tc>
              <w:tc>
                <w:tcPr>
                  <w:tcW w:w="820" w:type="dxa"/>
                  <w:noWrap w:val="0"/>
                  <w:vAlign w:val="center"/>
                </w:tcPr>
                <w:p w14:paraId="3BE01B5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w:t>
                  </w:r>
                </w:p>
              </w:tc>
              <w:tc>
                <w:tcPr>
                  <w:tcW w:w="973" w:type="dxa"/>
                  <w:noWrap w:val="0"/>
                  <w:vAlign w:val="center"/>
                </w:tcPr>
                <w:p w14:paraId="7DDD485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rPr>
                  </w:pPr>
                  <w:r>
                    <w:rPr>
                      <w:rFonts w:hint="eastAsia" w:cs="Times New Roman"/>
                      <w:color w:val="auto"/>
                      <w:szCs w:val="21"/>
                      <w:lang w:val="en-US" w:eastAsia="zh-CN"/>
                    </w:rPr>
                    <w:t>25680</w:t>
                  </w:r>
                </w:p>
              </w:tc>
              <w:tc>
                <w:tcPr>
                  <w:tcW w:w="816" w:type="dxa"/>
                  <w:noWrap w:val="0"/>
                  <w:vAlign w:val="center"/>
                </w:tcPr>
                <w:p w14:paraId="64748CE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0"/>
                      <w:szCs w:val="21"/>
                      <w:lang w:val="en-US" w:eastAsia="zh-CN"/>
                    </w:rPr>
                    <w:t>+</w:t>
                  </w:r>
                  <w:r>
                    <w:rPr>
                      <w:rFonts w:hint="eastAsia" w:cs="Times New Roman"/>
                      <w:color w:val="auto"/>
                      <w:kern w:val="0"/>
                      <w:szCs w:val="21"/>
                      <w:lang w:val="en-US" w:eastAsia="zh-CN"/>
                    </w:rPr>
                    <w:t>11567</w:t>
                  </w:r>
                </w:p>
              </w:tc>
            </w:tr>
            <w:tr w14:paraId="3F0A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noWrap w:val="0"/>
                  <w:vAlign w:val="center"/>
                </w:tcPr>
                <w:p w14:paraId="7DEDAB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600" w:type="dxa"/>
                  <w:noWrap w:val="0"/>
                  <w:vAlign w:val="center"/>
                </w:tcPr>
                <w:p w14:paraId="46FF6C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颗粒物（t/a）</w:t>
                  </w:r>
                </w:p>
              </w:tc>
              <w:tc>
                <w:tcPr>
                  <w:tcW w:w="899" w:type="dxa"/>
                  <w:noWrap w:val="0"/>
                  <w:vAlign w:val="center"/>
                </w:tcPr>
                <w:p w14:paraId="2BA2E8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w:t>
                  </w:r>
                </w:p>
              </w:tc>
              <w:tc>
                <w:tcPr>
                  <w:tcW w:w="994" w:type="dxa"/>
                  <w:noWrap w:val="0"/>
                  <w:vAlign w:val="center"/>
                </w:tcPr>
                <w:p w14:paraId="79C9609D">
                  <w:pPr>
                    <w:pStyle w:val="20"/>
                    <w:keepNext w:val="0"/>
                    <w:keepLines w:val="0"/>
                    <w:widowControl w:val="0"/>
                    <w:suppressLineNumbers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0.71</w:t>
                  </w:r>
                </w:p>
              </w:tc>
              <w:tc>
                <w:tcPr>
                  <w:tcW w:w="891" w:type="dxa"/>
                  <w:noWrap w:val="0"/>
                  <w:vAlign w:val="center"/>
                </w:tcPr>
                <w:p w14:paraId="5662A9F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639.8</w:t>
                  </w:r>
                </w:p>
              </w:tc>
              <w:tc>
                <w:tcPr>
                  <w:tcW w:w="895" w:type="dxa"/>
                  <w:noWrap w:val="0"/>
                  <w:vAlign w:val="center"/>
                </w:tcPr>
                <w:p w14:paraId="6C9808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6.851</w:t>
                  </w:r>
                </w:p>
              </w:tc>
              <w:tc>
                <w:tcPr>
                  <w:tcW w:w="820" w:type="dxa"/>
                  <w:noWrap w:val="0"/>
                  <w:vAlign w:val="center"/>
                </w:tcPr>
                <w:p w14:paraId="4DD5B0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973" w:type="dxa"/>
                  <w:noWrap w:val="0"/>
                  <w:vAlign w:val="center"/>
                </w:tcPr>
                <w:p w14:paraId="5E1BF9F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6.851</w:t>
                  </w:r>
                </w:p>
              </w:tc>
              <w:tc>
                <w:tcPr>
                  <w:tcW w:w="816" w:type="dxa"/>
                  <w:noWrap w:val="0"/>
                  <w:vAlign w:val="center"/>
                </w:tcPr>
                <w:p w14:paraId="683F56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+6.14</w:t>
                  </w:r>
                </w:p>
              </w:tc>
            </w:tr>
            <w:tr w14:paraId="6C43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noWrap w:val="0"/>
                  <w:vAlign w:val="center"/>
                </w:tcPr>
                <w:p w14:paraId="7BA6DF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600" w:type="dxa"/>
                  <w:noWrap w:val="0"/>
                  <w:vAlign w:val="center"/>
                </w:tcPr>
                <w:p w14:paraId="003CEF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非甲烷总烃</w:t>
                  </w:r>
                  <w:r>
                    <w:rPr>
                      <w:rFonts w:hint="default" w:ascii="Times New Roman" w:hAnsi="Times New Roman" w:eastAsia="宋体" w:cs="Times New Roman"/>
                      <w:color w:val="auto"/>
                      <w:szCs w:val="21"/>
                    </w:rPr>
                    <w:t>（t/a）</w:t>
                  </w:r>
                </w:p>
              </w:tc>
              <w:tc>
                <w:tcPr>
                  <w:tcW w:w="899" w:type="dxa"/>
                  <w:noWrap w:val="0"/>
                  <w:vAlign w:val="center"/>
                </w:tcPr>
                <w:p w14:paraId="3DD86F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w:t>
                  </w:r>
                </w:p>
              </w:tc>
              <w:tc>
                <w:tcPr>
                  <w:tcW w:w="994" w:type="dxa"/>
                  <w:noWrap w:val="0"/>
                  <w:vAlign w:val="center"/>
                </w:tcPr>
                <w:p w14:paraId="5940BD84">
                  <w:pPr>
                    <w:pStyle w:val="20"/>
                    <w:keepNext w:val="0"/>
                    <w:keepLines w:val="0"/>
                    <w:widowControl w:val="0"/>
                    <w:suppressLineNumbers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0.024</w:t>
                  </w:r>
                </w:p>
              </w:tc>
              <w:tc>
                <w:tcPr>
                  <w:tcW w:w="891" w:type="dxa"/>
                  <w:noWrap w:val="0"/>
                  <w:vAlign w:val="center"/>
                </w:tcPr>
                <w:p w14:paraId="4D29E56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0.288</w:t>
                  </w:r>
                </w:p>
              </w:tc>
              <w:tc>
                <w:tcPr>
                  <w:tcW w:w="895" w:type="dxa"/>
                  <w:noWrap w:val="0"/>
                  <w:vAlign w:val="center"/>
                </w:tcPr>
                <w:p w14:paraId="74A4B18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0.127</w:t>
                  </w:r>
                </w:p>
              </w:tc>
              <w:tc>
                <w:tcPr>
                  <w:tcW w:w="820" w:type="dxa"/>
                  <w:noWrap w:val="0"/>
                  <w:vAlign w:val="center"/>
                </w:tcPr>
                <w:p w14:paraId="41DBA4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973" w:type="dxa"/>
                  <w:noWrap w:val="0"/>
                  <w:vAlign w:val="center"/>
                </w:tcPr>
                <w:p w14:paraId="63B9836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0.288</w:t>
                  </w:r>
                </w:p>
              </w:tc>
              <w:tc>
                <w:tcPr>
                  <w:tcW w:w="816" w:type="dxa"/>
                  <w:noWrap w:val="0"/>
                  <w:vAlign w:val="center"/>
                </w:tcPr>
                <w:p w14:paraId="1CC21D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+0.264</w:t>
                  </w:r>
                </w:p>
              </w:tc>
            </w:tr>
            <w:tr w14:paraId="428D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noWrap w:val="0"/>
                  <w:vAlign w:val="center"/>
                </w:tcPr>
                <w:p w14:paraId="20C0A5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600" w:type="dxa"/>
                  <w:noWrap w:val="0"/>
                  <w:vAlign w:val="center"/>
                </w:tcPr>
                <w:p w14:paraId="1ADA77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eastAsia" w:cs="Times New Roman"/>
                      <w:color w:val="auto"/>
                      <w:szCs w:val="21"/>
                      <w:lang w:eastAsia="zh-CN"/>
                    </w:rPr>
                    <w:t>氨</w:t>
                  </w:r>
                </w:p>
              </w:tc>
              <w:tc>
                <w:tcPr>
                  <w:tcW w:w="899" w:type="dxa"/>
                  <w:noWrap w:val="0"/>
                  <w:vAlign w:val="center"/>
                </w:tcPr>
                <w:p w14:paraId="1C6F0B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0.14</w:t>
                  </w:r>
                </w:p>
              </w:tc>
              <w:tc>
                <w:tcPr>
                  <w:tcW w:w="994" w:type="dxa"/>
                  <w:noWrap w:val="0"/>
                  <w:vAlign w:val="center"/>
                </w:tcPr>
                <w:p w14:paraId="5A19E0E0">
                  <w:pPr>
                    <w:pStyle w:val="20"/>
                    <w:keepNext w:val="0"/>
                    <w:keepLines w:val="0"/>
                    <w:widowControl w:val="0"/>
                    <w:suppressLineNumbers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0.14</w:t>
                  </w:r>
                </w:p>
              </w:tc>
              <w:tc>
                <w:tcPr>
                  <w:tcW w:w="891" w:type="dxa"/>
                  <w:noWrap w:val="0"/>
                  <w:vAlign w:val="center"/>
                </w:tcPr>
                <w:p w14:paraId="2022AF1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0.175</w:t>
                  </w:r>
                </w:p>
              </w:tc>
              <w:tc>
                <w:tcPr>
                  <w:tcW w:w="895" w:type="dxa"/>
                  <w:noWrap w:val="0"/>
                  <w:vAlign w:val="center"/>
                </w:tcPr>
                <w:p w14:paraId="510F0F1D">
                  <w:pPr>
                    <w:keepNext w:val="0"/>
                    <w:keepLines w:val="0"/>
                    <w:suppressLineNumbers w:val="0"/>
                    <w:adjustRightInd w:val="0"/>
                    <w:snapToGrid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0.175</w:t>
                  </w:r>
                </w:p>
              </w:tc>
              <w:tc>
                <w:tcPr>
                  <w:tcW w:w="820" w:type="dxa"/>
                  <w:noWrap w:val="0"/>
                  <w:vAlign w:val="center"/>
                </w:tcPr>
                <w:p w14:paraId="1BBB50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973" w:type="dxa"/>
                  <w:noWrap w:val="0"/>
                  <w:vAlign w:val="center"/>
                </w:tcPr>
                <w:p w14:paraId="147FD9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0.175</w:t>
                  </w:r>
                </w:p>
              </w:tc>
              <w:tc>
                <w:tcPr>
                  <w:tcW w:w="816" w:type="dxa"/>
                  <w:noWrap w:val="0"/>
                  <w:vAlign w:val="center"/>
                </w:tcPr>
                <w:p w14:paraId="6300D6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+0.035</w:t>
                  </w:r>
                </w:p>
              </w:tc>
            </w:tr>
            <w:tr w14:paraId="72B2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restart"/>
                  <w:noWrap w:val="0"/>
                  <w:vAlign w:val="center"/>
                </w:tcPr>
                <w:p w14:paraId="4B9796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固体废弃物</w:t>
                  </w:r>
                </w:p>
              </w:tc>
              <w:tc>
                <w:tcPr>
                  <w:tcW w:w="1600" w:type="dxa"/>
                  <w:noWrap w:val="0"/>
                  <w:vAlign w:val="center"/>
                </w:tcPr>
                <w:p w14:paraId="380ACE1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rPr>
                    <w:t>水过滤材料、废抹布</w:t>
                  </w:r>
                </w:p>
              </w:tc>
              <w:tc>
                <w:tcPr>
                  <w:tcW w:w="899" w:type="dxa"/>
                  <w:noWrap w:val="0"/>
                  <w:vAlign w:val="center"/>
                </w:tcPr>
                <w:p w14:paraId="7AEE2CA2">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rPr>
                    <w:t>2.2t/a</w:t>
                  </w:r>
                </w:p>
              </w:tc>
              <w:tc>
                <w:tcPr>
                  <w:tcW w:w="994" w:type="dxa"/>
                  <w:noWrap w:val="0"/>
                  <w:vAlign w:val="center"/>
                </w:tcPr>
                <w:p w14:paraId="7169B4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91" w:type="dxa"/>
                  <w:noWrap w:val="0"/>
                  <w:vAlign w:val="center"/>
                </w:tcPr>
                <w:p w14:paraId="1E690EF3">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lang w:val="en-US" w:eastAsia="zh-CN"/>
                    </w:rPr>
                    <w:t>2.5t/a</w:t>
                  </w:r>
                </w:p>
              </w:tc>
              <w:tc>
                <w:tcPr>
                  <w:tcW w:w="895" w:type="dxa"/>
                  <w:noWrap w:val="0"/>
                  <w:vAlign w:val="center"/>
                </w:tcPr>
                <w:p w14:paraId="656787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20" w:type="dxa"/>
                  <w:noWrap w:val="0"/>
                  <w:vAlign w:val="center"/>
                </w:tcPr>
                <w:p w14:paraId="16E9668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973" w:type="dxa"/>
                  <w:noWrap w:val="0"/>
                  <w:vAlign w:val="center"/>
                </w:tcPr>
                <w:p w14:paraId="42EA666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16" w:type="dxa"/>
                  <w:noWrap w:val="0"/>
                  <w:vAlign w:val="center"/>
                </w:tcPr>
                <w:p w14:paraId="33A1F9C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5B2B8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noWrap w:val="0"/>
                  <w:vAlign w:val="center"/>
                </w:tcPr>
                <w:p w14:paraId="1D2839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600" w:type="dxa"/>
                  <w:noWrap w:val="0"/>
                  <w:vAlign w:val="center"/>
                </w:tcPr>
                <w:p w14:paraId="2718793D">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lang w:eastAsia="zh-CN"/>
                    </w:rPr>
                    <w:t>除尘器粉尘</w:t>
                  </w:r>
                </w:p>
              </w:tc>
              <w:tc>
                <w:tcPr>
                  <w:tcW w:w="899" w:type="dxa"/>
                  <w:noWrap w:val="0"/>
                  <w:vAlign w:val="center"/>
                </w:tcPr>
                <w:p w14:paraId="64A7D3F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lang w:val="en-US" w:eastAsia="zh-CN"/>
                    </w:rPr>
                    <w:t>4.6</w:t>
                  </w:r>
                  <w:r>
                    <w:rPr>
                      <w:rFonts w:hint="default" w:ascii="Times New Roman" w:hAnsi="Times New Roman" w:eastAsia="宋体" w:cs="Times New Roman"/>
                      <w:color w:val="auto"/>
                      <w:sz w:val="21"/>
                    </w:rPr>
                    <w:t xml:space="preserve"> t/a</w:t>
                  </w:r>
                </w:p>
              </w:tc>
              <w:tc>
                <w:tcPr>
                  <w:tcW w:w="994" w:type="dxa"/>
                  <w:noWrap w:val="0"/>
                  <w:vAlign w:val="center"/>
                </w:tcPr>
                <w:p w14:paraId="2C2A7D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91" w:type="dxa"/>
                  <w:noWrap w:val="0"/>
                  <w:vAlign w:val="center"/>
                </w:tcPr>
                <w:p w14:paraId="423BD6FC">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Cs w:val="21"/>
                    </w:rPr>
                  </w:pPr>
                  <w:r>
                    <w:rPr>
                      <w:rFonts w:hint="eastAsia" w:cs="Times New Roman"/>
                      <w:snapToGrid w:val="0"/>
                      <w:color w:val="auto"/>
                      <w:kern w:val="21"/>
                      <w:szCs w:val="21"/>
                      <w:lang w:val="en-US" w:eastAsia="zh-CN"/>
                    </w:rPr>
                    <w:t>500.38</w:t>
                  </w:r>
                  <w:r>
                    <w:rPr>
                      <w:rFonts w:hint="default" w:ascii="Times New Roman" w:hAnsi="Times New Roman" w:eastAsia="宋体" w:cs="Times New Roman"/>
                      <w:snapToGrid w:val="0"/>
                      <w:color w:val="auto"/>
                      <w:kern w:val="21"/>
                      <w:szCs w:val="21"/>
                      <w:lang w:val="en-US" w:eastAsia="zh-CN"/>
                    </w:rPr>
                    <w:t>t/a</w:t>
                  </w:r>
                </w:p>
              </w:tc>
              <w:tc>
                <w:tcPr>
                  <w:tcW w:w="895" w:type="dxa"/>
                  <w:noWrap w:val="0"/>
                  <w:vAlign w:val="center"/>
                </w:tcPr>
                <w:p w14:paraId="70C0904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20" w:type="dxa"/>
                  <w:noWrap w:val="0"/>
                  <w:vAlign w:val="center"/>
                </w:tcPr>
                <w:p w14:paraId="645171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973" w:type="dxa"/>
                  <w:noWrap w:val="0"/>
                  <w:vAlign w:val="center"/>
                </w:tcPr>
                <w:p w14:paraId="7346FD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16" w:type="dxa"/>
                  <w:noWrap w:val="0"/>
                  <w:vAlign w:val="center"/>
                </w:tcPr>
                <w:p w14:paraId="5C07EE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71CC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noWrap w:val="0"/>
                  <w:vAlign w:val="center"/>
                </w:tcPr>
                <w:p w14:paraId="06A737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600" w:type="dxa"/>
                  <w:noWrap w:val="0"/>
                  <w:vAlign w:val="center"/>
                </w:tcPr>
                <w:p w14:paraId="30729E6A">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腻子粉车间自然沉降粉尘</w:t>
                  </w:r>
                </w:p>
              </w:tc>
              <w:tc>
                <w:tcPr>
                  <w:tcW w:w="899" w:type="dxa"/>
                  <w:noWrap w:val="0"/>
                  <w:vAlign w:val="center"/>
                </w:tcPr>
                <w:p w14:paraId="694975B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w:t>
                  </w:r>
                </w:p>
              </w:tc>
              <w:tc>
                <w:tcPr>
                  <w:tcW w:w="994" w:type="dxa"/>
                  <w:noWrap w:val="0"/>
                  <w:vAlign w:val="center"/>
                </w:tcPr>
                <w:p w14:paraId="250DDDD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891" w:type="dxa"/>
                  <w:noWrap w:val="0"/>
                  <w:vAlign w:val="center"/>
                </w:tcPr>
                <w:p w14:paraId="3F751A9E">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42.557</w:t>
                  </w:r>
                </w:p>
              </w:tc>
              <w:tc>
                <w:tcPr>
                  <w:tcW w:w="895" w:type="dxa"/>
                  <w:noWrap w:val="0"/>
                  <w:vAlign w:val="center"/>
                </w:tcPr>
                <w:p w14:paraId="29B8209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0</w:t>
                  </w:r>
                </w:p>
              </w:tc>
              <w:tc>
                <w:tcPr>
                  <w:tcW w:w="820" w:type="dxa"/>
                  <w:noWrap w:val="0"/>
                  <w:vAlign w:val="center"/>
                </w:tcPr>
                <w:p w14:paraId="6B68692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0</w:t>
                  </w:r>
                </w:p>
              </w:tc>
              <w:tc>
                <w:tcPr>
                  <w:tcW w:w="973" w:type="dxa"/>
                  <w:noWrap w:val="0"/>
                  <w:vAlign w:val="center"/>
                </w:tcPr>
                <w:p w14:paraId="4B3A7FE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0</w:t>
                  </w:r>
                </w:p>
              </w:tc>
              <w:tc>
                <w:tcPr>
                  <w:tcW w:w="816" w:type="dxa"/>
                  <w:noWrap w:val="0"/>
                  <w:vAlign w:val="center"/>
                </w:tcPr>
                <w:p w14:paraId="67BDEB8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0</w:t>
                  </w:r>
                </w:p>
              </w:tc>
            </w:tr>
            <w:tr w14:paraId="7D146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noWrap w:val="0"/>
                  <w:vAlign w:val="center"/>
                </w:tcPr>
                <w:p w14:paraId="6CCFD4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600" w:type="dxa"/>
                  <w:noWrap w:val="0"/>
                  <w:vAlign w:val="center"/>
                </w:tcPr>
                <w:p w14:paraId="1A5AE2D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lang w:eastAsia="zh-CN"/>
                    </w:rPr>
                    <w:t>废包装材料</w:t>
                  </w:r>
                </w:p>
              </w:tc>
              <w:tc>
                <w:tcPr>
                  <w:tcW w:w="899" w:type="dxa"/>
                  <w:noWrap w:val="0"/>
                  <w:vAlign w:val="center"/>
                </w:tcPr>
                <w:p w14:paraId="24D2600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rPr>
                    <w:t>6000 条/a</w:t>
                  </w:r>
                </w:p>
              </w:tc>
              <w:tc>
                <w:tcPr>
                  <w:tcW w:w="994" w:type="dxa"/>
                  <w:noWrap w:val="0"/>
                  <w:vAlign w:val="center"/>
                </w:tcPr>
                <w:p w14:paraId="7653875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91" w:type="dxa"/>
                  <w:noWrap w:val="0"/>
                  <w:vAlign w:val="center"/>
                </w:tcPr>
                <w:p w14:paraId="3068F1F1">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lang w:val="en-US" w:eastAsia="zh-CN"/>
                    </w:rPr>
                    <w:t>1t/a</w:t>
                  </w:r>
                </w:p>
              </w:tc>
              <w:tc>
                <w:tcPr>
                  <w:tcW w:w="895" w:type="dxa"/>
                  <w:noWrap w:val="0"/>
                  <w:vAlign w:val="center"/>
                </w:tcPr>
                <w:p w14:paraId="67B8155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20" w:type="dxa"/>
                  <w:noWrap w:val="0"/>
                  <w:vAlign w:val="center"/>
                </w:tcPr>
                <w:p w14:paraId="545A32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973" w:type="dxa"/>
                  <w:noWrap w:val="0"/>
                  <w:vAlign w:val="center"/>
                </w:tcPr>
                <w:p w14:paraId="137B6C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16" w:type="dxa"/>
                  <w:noWrap w:val="0"/>
                  <w:vAlign w:val="center"/>
                </w:tcPr>
                <w:p w14:paraId="400EFD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2DB1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noWrap w:val="0"/>
                  <w:vAlign w:val="center"/>
                </w:tcPr>
                <w:p w14:paraId="0D6288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600" w:type="dxa"/>
                  <w:noWrap w:val="0"/>
                  <w:vAlign w:val="center"/>
                </w:tcPr>
                <w:p w14:paraId="03AA1B5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rPr>
                    <w:t>污水处理系统污</w:t>
                  </w:r>
                  <w:r>
                    <w:rPr>
                      <w:rFonts w:hint="default" w:ascii="Times New Roman" w:hAnsi="Times New Roman" w:eastAsia="宋体" w:cs="Times New Roman"/>
                      <w:color w:val="auto"/>
                      <w:w w:val="100"/>
                      <w:sz w:val="21"/>
                    </w:rPr>
                    <w:t>泥</w:t>
                  </w:r>
                </w:p>
              </w:tc>
              <w:tc>
                <w:tcPr>
                  <w:tcW w:w="899" w:type="dxa"/>
                  <w:noWrap w:val="0"/>
                  <w:vAlign w:val="center"/>
                </w:tcPr>
                <w:p w14:paraId="23CF491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5.4</w:t>
                  </w:r>
                  <w:r>
                    <w:rPr>
                      <w:rFonts w:hint="default" w:ascii="Times New Roman" w:hAnsi="Times New Roman" w:eastAsia="宋体" w:cs="Times New Roman"/>
                      <w:color w:val="auto"/>
                      <w:sz w:val="21"/>
                    </w:rPr>
                    <w:t>/a</w:t>
                  </w:r>
                </w:p>
              </w:tc>
              <w:tc>
                <w:tcPr>
                  <w:tcW w:w="994" w:type="dxa"/>
                  <w:noWrap w:val="0"/>
                  <w:vAlign w:val="center"/>
                </w:tcPr>
                <w:p w14:paraId="63C3EF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91" w:type="dxa"/>
                  <w:noWrap w:val="0"/>
                  <w:vAlign w:val="center"/>
                </w:tcPr>
                <w:p w14:paraId="58444645">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lang w:val="en-US" w:eastAsia="zh-CN"/>
                    </w:rPr>
                    <w:t>12t/a</w:t>
                  </w:r>
                </w:p>
              </w:tc>
              <w:tc>
                <w:tcPr>
                  <w:tcW w:w="895" w:type="dxa"/>
                  <w:noWrap w:val="0"/>
                  <w:vAlign w:val="center"/>
                </w:tcPr>
                <w:p w14:paraId="2BC546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20" w:type="dxa"/>
                  <w:noWrap w:val="0"/>
                  <w:vAlign w:val="center"/>
                </w:tcPr>
                <w:p w14:paraId="4F2A8A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973" w:type="dxa"/>
                  <w:noWrap w:val="0"/>
                  <w:vAlign w:val="center"/>
                </w:tcPr>
                <w:p w14:paraId="65036D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16" w:type="dxa"/>
                  <w:noWrap w:val="0"/>
                  <w:vAlign w:val="center"/>
                </w:tcPr>
                <w:p w14:paraId="553905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6BA3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noWrap w:val="0"/>
                  <w:vAlign w:val="center"/>
                </w:tcPr>
                <w:p w14:paraId="5AAE7E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600" w:type="dxa"/>
                  <w:noWrap w:val="0"/>
                  <w:vAlign w:val="center"/>
                </w:tcPr>
                <w:p w14:paraId="046EB0E9">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lang w:val="en-US" w:eastAsia="zh-CN"/>
                    </w:rPr>
                    <w:t>废矿物油</w:t>
                  </w:r>
                </w:p>
              </w:tc>
              <w:tc>
                <w:tcPr>
                  <w:tcW w:w="899" w:type="dxa"/>
                  <w:noWrap w:val="0"/>
                  <w:vAlign w:val="center"/>
                </w:tcPr>
                <w:p w14:paraId="7998E5C3">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Cs w:val="21"/>
                      <w:lang w:val="en-US"/>
                    </w:rPr>
                  </w:pPr>
                  <w:r>
                    <w:rPr>
                      <w:rFonts w:hint="eastAsia" w:cs="Times New Roman"/>
                      <w:snapToGrid w:val="0"/>
                      <w:color w:val="auto"/>
                      <w:kern w:val="21"/>
                      <w:szCs w:val="21"/>
                      <w:lang w:val="en-US" w:eastAsia="zh-CN"/>
                    </w:rPr>
                    <w:t>0.5</w:t>
                  </w:r>
                  <w:r>
                    <w:rPr>
                      <w:rFonts w:hint="eastAsia" w:cs="Times New Roman"/>
                      <w:color w:val="auto"/>
                      <w:szCs w:val="21"/>
                      <w:lang w:val="en-US" w:eastAsia="zh-CN"/>
                    </w:rPr>
                    <w:t>t</w:t>
                  </w:r>
                  <w:r>
                    <w:rPr>
                      <w:rFonts w:hint="default" w:ascii="Times New Roman" w:hAnsi="Times New Roman" w:eastAsia="宋体" w:cs="Times New Roman"/>
                      <w:color w:val="auto"/>
                      <w:sz w:val="21"/>
                    </w:rPr>
                    <w:t>/a</w:t>
                  </w:r>
                </w:p>
              </w:tc>
              <w:tc>
                <w:tcPr>
                  <w:tcW w:w="994" w:type="dxa"/>
                  <w:noWrap w:val="0"/>
                  <w:vAlign w:val="center"/>
                </w:tcPr>
                <w:p w14:paraId="2B0D701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91" w:type="dxa"/>
                  <w:noWrap w:val="0"/>
                  <w:vAlign w:val="center"/>
                </w:tcPr>
                <w:p w14:paraId="20183B77">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lang w:val="en-US" w:eastAsia="zh-CN"/>
                    </w:rPr>
                    <w:t>0.5t/a</w:t>
                  </w:r>
                </w:p>
              </w:tc>
              <w:tc>
                <w:tcPr>
                  <w:tcW w:w="895" w:type="dxa"/>
                  <w:noWrap w:val="0"/>
                  <w:vAlign w:val="center"/>
                </w:tcPr>
                <w:p w14:paraId="25F95D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20" w:type="dxa"/>
                  <w:noWrap w:val="0"/>
                  <w:vAlign w:val="center"/>
                </w:tcPr>
                <w:p w14:paraId="2FB54C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973" w:type="dxa"/>
                  <w:noWrap w:val="0"/>
                  <w:vAlign w:val="center"/>
                </w:tcPr>
                <w:p w14:paraId="2D806F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16" w:type="dxa"/>
                  <w:noWrap w:val="0"/>
                  <w:vAlign w:val="center"/>
                </w:tcPr>
                <w:p w14:paraId="6DD18B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48E3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noWrap w:val="0"/>
                  <w:vAlign w:val="center"/>
                </w:tcPr>
                <w:p w14:paraId="1BDD88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600" w:type="dxa"/>
                  <w:noWrap w:val="0"/>
                  <w:vAlign w:val="center"/>
                </w:tcPr>
                <w:p w14:paraId="2AE0B73E">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lang w:val="en-US" w:eastAsia="zh-CN"/>
                    </w:rPr>
                    <w:t>废活性炭</w:t>
                  </w:r>
                </w:p>
              </w:tc>
              <w:tc>
                <w:tcPr>
                  <w:tcW w:w="899" w:type="dxa"/>
                  <w:noWrap w:val="0"/>
                  <w:vAlign w:val="center"/>
                </w:tcPr>
                <w:p w14:paraId="6AB59C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994" w:type="dxa"/>
                  <w:noWrap w:val="0"/>
                  <w:vAlign w:val="center"/>
                </w:tcPr>
                <w:p w14:paraId="763154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91" w:type="dxa"/>
                  <w:noWrap w:val="0"/>
                  <w:vAlign w:val="center"/>
                </w:tcPr>
                <w:p w14:paraId="03EAA21E">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lang w:val="en-US" w:eastAsia="zh-CN"/>
                    </w:rPr>
                    <w:t>0.32t/a</w:t>
                  </w:r>
                </w:p>
              </w:tc>
              <w:tc>
                <w:tcPr>
                  <w:tcW w:w="895" w:type="dxa"/>
                  <w:noWrap w:val="0"/>
                  <w:vAlign w:val="center"/>
                </w:tcPr>
                <w:p w14:paraId="1D2046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20" w:type="dxa"/>
                  <w:noWrap w:val="0"/>
                  <w:vAlign w:val="center"/>
                </w:tcPr>
                <w:p w14:paraId="6BEA44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973" w:type="dxa"/>
                  <w:noWrap w:val="0"/>
                  <w:vAlign w:val="center"/>
                </w:tcPr>
                <w:p w14:paraId="6A658F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16" w:type="dxa"/>
                  <w:noWrap w:val="0"/>
                  <w:vAlign w:val="center"/>
                </w:tcPr>
                <w:p w14:paraId="1F66BC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1584A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noWrap w:val="0"/>
                  <w:vAlign w:val="center"/>
                </w:tcPr>
                <w:p w14:paraId="3A174B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600" w:type="dxa"/>
                  <w:noWrap w:val="0"/>
                  <w:vAlign w:val="center"/>
                </w:tcPr>
                <w:p w14:paraId="502961BB">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lang w:val="en-US" w:eastAsia="zh-CN"/>
                    </w:rPr>
                    <w:t>废UV灯管</w:t>
                  </w:r>
                </w:p>
              </w:tc>
              <w:tc>
                <w:tcPr>
                  <w:tcW w:w="899" w:type="dxa"/>
                  <w:noWrap w:val="0"/>
                  <w:vAlign w:val="center"/>
                </w:tcPr>
                <w:p w14:paraId="4E4429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994" w:type="dxa"/>
                  <w:noWrap w:val="0"/>
                  <w:vAlign w:val="center"/>
                </w:tcPr>
                <w:p w14:paraId="7BCCAFF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91" w:type="dxa"/>
                  <w:noWrap w:val="0"/>
                  <w:vAlign w:val="center"/>
                </w:tcPr>
                <w:p w14:paraId="5E811D0A">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lang w:val="en-US" w:eastAsia="zh-CN"/>
                    </w:rPr>
                    <w:t>0.08t/a</w:t>
                  </w:r>
                </w:p>
              </w:tc>
              <w:tc>
                <w:tcPr>
                  <w:tcW w:w="895" w:type="dxa"/>
                  <w:noWrap w:val="0"/>
                  <w:vAlign w:val="center"/>
                </w:tcPr>
                <w:p w14:paraId="7CDEC4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20" w:type="dxa"/>
                  <w:noWrap w:val="0"/>
                  <w:vAlign w:val="center"/>
                </w:tcPr>
                <w:p w14:paraId="6D146B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973" w:type="dxa"/>
                  <w:noWrap w:val="0"/>
                  <w:vAlign w:val="center"/>
                </w:tcPr>
                <w:p w14:paraId="5A63CE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16" w:type="dxa"/>
                  <w:noWrap w:val="0"/>
                  <w:vAlign w:val="center"/>
                </w:tcPr>
                <w:p w14:paraId="41FBB3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26858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noWrap w:val="0"/>
                  <w:vAlign w:val="center"/>
                </w:tcPr>
                <w:p w14:paraId="5336C1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600" w:type="dxa"/>
                  <w:noWrap w:val="0"/>
                  <w:vAlign w:val="center"/>
                </w:tcPr>
                <w:p w14:paraId="4C07730C">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lang w:val="en-US" w:eastAsia="zh-CN"/>
                    </w:rPr>
                    <w:t>沾染有机溶剂的废包装材料</w:t>
                  </w:r>
                </w:p>
              </w:tc>
              <w:tc>
                <w:tcPr>
                  <w:tcW w:w="899" w:type="dxa"/>
                  <w:noWrap w:val="0"/>
                  <w:vAlign w:val="center"/>
                </w:tcPr>
                <w:p w14:paraId="12E11D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0.t</w:t>
                  </w:r>
                  <w:r>
                    <w:rPr>
                      <w:rFonts w:hint="default" w:ascii="Times New Roman" w:hAnsi="Times New Roman" w:eastAsia="宋体" w:cs="Times New Roman"/>
                      <w:color w:val="auto"/>
                      <w:sz w:val="21"/>
                    </w:rPr>
                    <w:t>/a</w:t>
                  </w:r>
                </w:p>
              </w:tc>
              <w:tc>
                <w:tcPr>
                  <w:tcW w:w="994" w:type="dxa"/>
                  <w:noWrap w:val="0"/>
                  <w:vAlign w:val="center"/>
                </w:tcPr>
                <w:p w14:paraId="4D3D71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91" w:type="dxa"/>
                  <w:noWrap w:val="0"/>
                  <w:vAlign w:val="center"/>
                </w:tcPr>
                <w:p w14:paraId="6338EE08">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lang w:val="en-US" w:eastAsia="zh-CN"/>
                    </w:rPr>
                    <w:t>0.2t/a</w:t>
                  </w:r>
                </w:p>
              </w:tc>
              <w:tc>
                <w:tcPr>
                  <w:tcW w:w="895" w:type="dxa"/>
                  <w:noWrap w:val="0"/>
                  <w:vAlign w:val="center"/>
                </w:tcPr>
                <w:p w14:paraId="4722FE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20" w:type="dxa"/>
                  <w:noWrap w:val="0"/>
                  <w:vAlign w:val="center"/>
                </w:tcPr>
                <w:p w14:paraId="76DD0C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973" w:type="dxa"/>
                  <w:noWrap w:val="0"/>
                  <w:vAlign w:val="center"/>
                </w:tcPr>
                <w:p w14:paraId="05D5594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16" w:type="dxa"/>
                  <w:noWrap w:val="0"/>
                  <w:vAlign w:val="center"/>
                </w:tcPr>
                <w:p w14:paraId="135D5AD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039C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noWrap w:val="0"/>
                  <w:vAlign w:val="center"/>
                </w:tcPr>
                <w:p w14:paraId="57330A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600" w:type="dxa"/>
                  <w:noWrap w:val="0"/>
                  <w:vAlign w:val="center"/>
                </w:tcPr>
                <w:p w14:paraId="5447FED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生活垃圾</w:t>
                  </w:r>
                </w:p>
              </w:tc>
              <w:tc>
                <w:tcPr>
                  <w:tcW w:w="899" w:type="dxa"/>
                  <w:noWrap w:val="0"/>
                  <w:vAlign w:val="center"/>
                </w:tcPr>
                <w:p w14:paraId="2D88F7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17</w:t>
                  </w:r>
                  <w:r>
                    <w:rPr>
                      <w:rFonts w:hint="eastAsia" w:cs="Times New Roman"/>
                      <w:color w:val="auto"/>
                      <w:szCs w:val="21"/>
                      <w:lang w:val="en-US" w:eastAsia="zh-CN"/>
                    </w:rPr>
                    <w:t>t</w:t>
                  </w:r>
                  <w:r>
                    <w:rPr>
                      <w:rFonts w:hint="default" w:ascii="Times New Roman" w:hAnsi="Times New Roman" w:eastAsia="宋体" w:cs="Times New Roman"/>
                      <w:color w:val="auto"/>
                      <w:sz w:val="21"/>
                    </w:rPr>
                    <w:t>/a</w:t>
                  </w:r>
                </w:p>
              </w:tc>
              <w:tc>
                <w:tcPr>
                  <w:tcW w:w="994" w:type="dxa"/>
                  <w:noWrap w:val="0"/>
                  <w:vAlign w:val="center"/>
                </w:tcPr>
                <w:p w14:paraId="21DBA8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91" w:type="dxa"/>
                  <w:noWrap w:val="0"/>
                  <w:vAlign w:val="center"/>
                </w:tcPr>
                <w:p w14:paraId="47201128">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lang w:val="en-US" w:eastAsia="zh-CN"/>
                    </w:rPr>
                    <w:t>2.5t/a</w:t>
                  </w:r>
                </w:p>
              </w:tc>
              <w:tc>
                <w:tcPr>
                  <w:tcW w:w="895" w:type="dxa"/>
                  <w:noWrap w:val="0"/>
                  <w:vAlign w:val="center"/>
                </w:tcPr>
                <w:p w14:paraId="117BC1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20" w:type="dxa"/>
                  <w:noWrap w:val="0"/>
                  <w:vAlign w:val="center"/>
                </w:tcPr>
                <w:p w14:paraId="34286AA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973" w:type="dxa"/>
                  <w:noWrap w:val="0"/>
                  <w:vAlign w:val="center"/>
                </w:tcPr>
                <w:p w14:paraId="1009AD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16" w:type="dxa"/>
                  <w:noWrap w:val="0"/>
                  <w:vAlign w:val="center"/>
                </w:tcPr>
                <w:p w14:paraId="6BC961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6E94F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7" w:type="dxa"/>
                  <w:vMerge w:val="continue"/>
                  <w:noWrap w:val="0"/>
                  <w:vAlign w:val="center"/>
                </w:tcPr>
                <w:p w14:paraId="30B4CB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1600" w:type="dxa"/>
                  <w:noWrap w:val="0"/>
                  <w:vAlign w:val="center"/>
                </w:tcPr>
                <w:p w14:paraId="3F510429">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餐厨固废</w:t>
                  </w:r>
                </w:p>
              </w:tc>
              <w:tc>
                <w:tcPr>
                  <w:tcW w:w="899" w:type="dxa"/>
                  <w:noWrap w:val="0"/>
                  <w:vAlign w:val="center"/>
                </w:tcPr>
                <w:p w14:paraId="6F5068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13</w:t>
                  </w:r>
                  <w:r>
                    <w:rPr>
                      <w:rFonts w:hint="default" w:ascii="Times New Roman" w:hAnsi="Times New Roman" w:eastAsia="宋体" w:cs="Times New Roman"/>
                      <w:color w:val="auto"/>
                      <w:sz w:val="21"/>
                    </w:rPr>
                    <w:t>/a</w:t>
                  </w:r>
                </w:p>
              </w:tc>
              <w:tc>
                <w:tcPr>
                  <w:tcW w:w="994" w:type="dxa"/>
                  <w:noWrap w:val="0"/>
                  <w:vAlign w:val="center"/>
                </w:tcPr>
                <w:p w14:paraId="033A63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91" w:type="dxa"/>
                  <w:noWrap w:val="0"/>
                  <w:vAlign w:val="center"/>
                </w:tcPr>
                <w:p w14:paraId="658147E2">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lang w:val="en-US" w:eastAsia="zh-CN"/>
                    </w:rPr>
                    <w:t>105.87t/a</w:t>
                  </w:r>
                </w:p>
              </w:tc>
              <w:tc>
                <w:tcPr>
                  <w:tcW w:w="895" w:type="dxa"/>
                  <w:noWrap w:val="0"/>
                  <w:vAlign w:val="center"/>
                </w:tcPr>
                <w:p w14:paraId="2661B8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20" w:type="dxa"/>
                  <w:noWrap w:val="0"/>
                  <w:vAlign w:val="center"/>
                </w:tcPr>
                <w:p w14:paraId="24E99B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973" w:type="dxa"/>
                  <w:noWrap w:val="0"/>
                  <w:vAlign w:val="center"/>
                </w:tcPr>
                <w:p w14:paraId="0958817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16" w:type="dxa"/>
                  <w:noWrap w:val="0"/>
                  <w:vAlign w:val="center"/>
                </w:tcPr>
                <w:p w14:paraId="527B3F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bl>
          <w:p w14:paraId="01E2BFB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综上，本次</w:t>
            </w:r>
            <w:r>
              <w:rPr>
                <w:rFonts w:hint="default" w:ascii="Times New Roman" w:hAnsi="Times New Roman" w:eastAsia="宋体" w:cs="Times New Roman"/>
                <w:bCs/>
                <w:color w:val="auto"/>
                <w:sz w:val="24"/>
                <w:lang w:eastAsia="zh-CN"/>
              </w:rPr>
              <w:t>扩建完成后</w:t>
            </w:r>
            <w:r>
              <w:rPr>
                <w:rFonts w:hint="default" w:ascii="Times New Roman" w:hAnsi="Times New Roman" w:eastAsia="宋体" w:cs="Times New Roman"/>
                <w:bCs/>
                <w:color w:val="auto"/>
                <w:sz w:val="24"/>
              </w:rPr>
              <w:t>，大气污染物中的颗粒物</w:t>
            </w:r>
            <w:r>
              <w:rPr>
                <w:rFonts w:hint="default" w:ascii="Times New Roman" w:hAnsi="Times New Roman" w:eastAsia="宋体" w:cs="Times New Roman"/>
                <w:bCs/>
                <w:color w:val="auto"/>
                <w:sz w:val="24"/>
                <w:lang w:eastAsia="zh-CN"/>
              </w:rPr>
              <w:t>排放量减小</w:t>
            </w:r>
            <w:r>
              <w:rPr>
                <w:rFonts w:hint="default" w:ascii="Times New Roman" w:hAnsi="Times New Roman" w:eastAsia="宋体" w:cs="Times New Roman"/>
                <w:bCs/>
                <w:color w:val="auto"/>
                <w:sz w:val="24"/>
              </w:rPr>
              <w:t>，固体废弃物均100%合理处置。</w:t>
            </w:r>
          </w:p>
          <w:p w14:paraId="059D5041">
            <w:pPr>
              <w:pStyle w:val="19"/>
              <w:keepNext w:val="0"/>
              <w:keepLines w:val="0"/>
              <w:suppressLineNumbers w:val="0"/>
              <w:spacing w:before="0" w:beforeAutospacing="0" w:afterAutospacing="0"/>
              <w:ind w:right="0"/>
              <w:rPr>
                <w:rFonts w:hint="default" w:ascii="Times New Roman" w:hAnsi="Times New Roman" w:eastAsia="宋体" w:cs="Times New Roman"/>
                <w:color w:val="auto"/>
                <w:sz w:val="24"/>
                <w:lang w:val="en-US" w:eastAsia="zh-CN"/>
              </w:rPr>
            </w:pPr>
          </w:p>
          <w:p w14:paraId="791A9EAB">
            <w:pPr>
              <w:pStyle w:val="20"/>
              <w:keepNext w:val="0"/>
              <w:keepLines w:val="0"/>
              <w:suppressLineNumbers w:val="0"/>
              <w:spacing w:beforeAutospacing="0" w:afterAutospacing="0"/>
              <w:ind w:left="0" w:leftChars="0" w:firstLine="0" w:firstLineChars="0"/>
              <w:rPr>
                <w:rFonts w:hint="default" w:ascii="Times New Roman" w:hAnsi="Times New Roman" w:eastAsia="宋体" w:cs="Times New Roman"/>
                <w:color w:val="auto"/>
                <w:lang w:val="en-US" w:eastAsia="zh-CN"/>
              </w:rPr>
            </w:pPr>
          </w:p>
        </w:tc>
      </w:tr>
    </w:tbl>
    <w:p w14:paraId="47BDD6D4">
      <w:pPr>
        <w:adjustRightInd w:val="0"/>
        <w:snapToGrid w:val="0"/>
        <w:spacing w:line="360" w:lineRule="auto"/>
        <w:rPr>
          <w:rFonts w:hint="default" w:ascii="Times New Roman" w:hAnsi="Times New Roman" w:eastAsia="宋体" w:cs="Times New Roman"/>
          <w:b/>
          <w:color w:val="auto"/>
          <w:kern w:val="0"/>
          <w:sz w:val="28"/>
          <w:szCs w:val="28"/>
        </w:rPr>
        <w:sectPr>
          <w:pgSz w:w="11907" w:h="16840"/>
          <w:pgMar w:top="1701" w:right="1531" w:bottom="2127" w:left="1531" w:header="851" w:footer="851" w:gutter="0"/>
          <w:pgNumType w:fmt="decimal"/>
          <w:cols w:space="720" w:num="1"/>
          <w:docGrid w:linePitch="312" w:charSpace="0"/>
        </w:sectPr>
      </w:pPr>
    </w:p>
    <w:p w14:paraId="642E2240">
      <w:pPr>
        <w:pStyle w:val="26"/>
        <w:keepNext w:val="0"/>
        <w:keepLines w:val="0"/>
        <w:pageBreakBefore w:val="0"/>
        <w:widowControl/>
        <w:kinsoku/>
        <w:wordWrap/>
        <w:overflowPunct/>
        <w:topLinePunct w:val="0"/>
        <w:autoSpaceDE/>
        <w:autoSpaceDN/>
        <w:bidi w:val="0"/>
        <w:adjustRightInd/>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rPr>
      </w:pPr>
      <w:bookmarkStart w:id="14" w:name="_Toc13720"/>
      <w:r>
        <w:rPr>
          <w:rFonts w:hint="default" w:ascii="Times New Roman" w:hAnsi="Times New Roman" w:eastAsia="宋体" w:cs="Times New Roman"/>
          <w:b/>
          <w:bCs/>
          <w:snapToGrid w:val="0"/>
          <w:color w:val="auto"/>
          <w:sz w:val="30"/>
          <w:szCs w:val="30"/>
        </w:rPr>
        <w:t>五、</w:t>
      </w:r>
      <w:bookmarkStart w:id="15" w:name="_Hlk54167917"/>
      <w:r>
        <w:rPr>
          <w:rFonts w:hint="default" w:ascii="Times New Roman" w:hAnsi="Times New Roman" w:eastAsia="宋体" w:cs="Times New Roman"/>
          <w:b/>
          <w:bCs/>
          <w:snapToGrid w:val="0"/>
          <w:color w:val="auto"/>
          <w:sz w:val="30"/>
          <w:szCs w:val="30"/>
        </w:rPr>
        <w:t>环境保护措施监督检查清单</w:t>
      </w:r>
      <w:bookmarkEnd w:id="14"/>
      <w:bookmarkEnd w:id="15"/>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6"/>
        <w:gridCol w:w="2115"/>
        <w:gridCol w:w="1230"/>
        <w:gridCol w:w="2492"/>
        <w:gridCol w:w="2027"/>
      </w:tblGrid>
      <w:tr w14:paraId="6D6CBC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tcBorders>
              <w:tl2br w:val="single" w:color="auto" w:sz="4" w:space="0"/>
            </w:tcBorders>
            <w:noWrap w:val="0"/>
            <w:vAlign w:val="top"/>
          </w:tcPr>
          <w:p w14:paraId="68761C38">
            <w:pPr>
              <w:keepNext w:val="0"/>
              <w:keepLines w:val="0"/>
              <w:suppressLineNumbers w:val="0"/>
              <w:adjustRightInd w:val="0"/>
              <w:snapToGrid w:val="0"/>
              <w:spacing w:before="0" w:beforeAutospacing="0" w:after="0" w:afterAutospacing="0"/>
              <w:ind w:left="0" w:right="0" w:firstLine="84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内容</w:t>
            </w:r>
          </w:p>
          <w:p w14:paraId="3E992792">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要素</w:t>
            </w:r>
          </w:p>
        </w:tc>
        <w:tc>
          <w:tcPr>
            <w:tcW w:w="2115" w:type="dxa"/>
            <w:noWrap w:val="0"/>
            <w:vAlign w:val="center"/>
          </w:tcPr>
          <w:p w14:paraId="02C1D6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排放口(编号、</w:t>
            </w:r>
          </w:p>
          <w:p w14:paraId="0C93C5E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名称)/污染源</w:t>
            </w:r>
          </w:p>
        </w:tc>
        <w:tc>
          <w:tcPr>
            <w:tcW w:w="1230" w:type="dxa"/>
            <w:noWrap w:val="0"/>
            <w:vAlign w:val="center"/>
          </w:tcPr>
          <w:p w14:paraId="6195EB7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污染物项目</w:t>
            </w:r>
          </w:p>
        </w:tc>
        <w:tc>
          <w:tcPr>
            <w:tcW w:w="2492" w:type="dxa"/>
            <w:noWrap w:val="0"/>
            <w:vAlign w:val="center"/>
          </w:tcPr>
          <w:p w14:paraId="48EAC5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环境保护措施</w:t>
            </w:r>
          </w:p>
        </w:tc>
        <w:tc>
          <w:tcPr>
            <w:tcW w:w="2027" w:type="dxa"/>
            <w:noWrap w:val="0"/>
            <w:vAlign w:val="center"/>
          </w:tcPr>
          <w:p w14:paraId="12D28EA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执行标准</w:t>
            </w:r>
          </w:p>
        </w:tc>
      </w:tr>
      <w:tr w14:paraId="2AC801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vMerge w:val="restart"/>
            <w:noWrap w:val="0"/>
            <w:vAlign w:val="center"/>
          </w:tcPr>
          <w:p w14:paraId="312B25E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大气环境</w:t>
            </w:r>
          </w:p>
        </w:tc>
        <w:tc>
          <w:tcPr>
            <w:tcW w:w="2115" w:type="dxa"/>
            <w:noWrap w:val="0"/>
            <w:vAlign w:val="center"/>
          </w:tcPr>
          <w:p w14:paraId="1A29277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DA001排气筒/</w:t>
            </w:r>
            <w:r>
              <w:rPr>
                <w:rFonts w:hint="eastAsia" w:cs="Times New Roman"/>
                <w:color w:val="auto"/>
                <w:szCs w:val="21"/>
                <w:lang w:val="en-US" w:eastAsia="zh-CN"/>
              </w:rPr>
              <w:t>腻子粉生产投料</w:t>
            </w:r>
            <w:r>
              <w:rPr>
                <w:rFonts w:hint="eastAsia" w:cs="Times New Roman"/>
                <w:color w:val="auto"/>
                <w:sz w:val="21"/>
                <w:szCs w:val="21"/>
                <w:lang w:val="en-US" w:eastAsia="zh-CN"/>
              </w:rPr>
              <w:t>粉尘</w:t>
            </w:r>
          </w:p>
        </w:tc>
        <w:tc>
          <w:tcPr>
            <w:tcW w:w="1230" w:type="dxa"/>
            <w:noWrap w:val="0"/>
            <w:vAlign w:val="center"/>
          </w:tcPr>
          <w:p w14:paraId="0976B63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颗粒物</w:t>
            </w:r>
          </w:p>
        </w:tc>
        <w:tc>
          <w:tcPr>
            <w:tcW w:w="2492" w:type="dxa"/>
            <w:noWrap w:val="0"/>
            <w:vAlign w:val="center"/>
          </w:tcPr>
          <w:p w14:paraId="07BD5BA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kern w:val="0"/>
                <w:szCs w:val="21"/>
                <w:lang w:val="en-US" w:eastAsia="zh-CN"/>
              </w:rPr>
              <w:t>24个集气罩</w:t>
            </w:r>
            <w:r>
              <w:rPr>
                <w:rFonts w:hint="eastAsia" w:cs="Times New Roman"/>
                <w:color w:val="auto"/>
                <w:kern w:val="0"/>
                <w:szCs w:val="21"/>
                <w:lang w:eastAsia="zh-CN"/>
              </w:rPr>
              <w:t>集气罩</w:t>
            </w:r>
            <w:r>
              <w:rPr>
                <w:rFonts w:hint="eastAsia" w:cs="Times New Roman"/>
                <w:color w:val="auto"/>
                <w:kern w:val="0"/>
                <w:szCs w:val="21"/>
                <w:lang w:val="en-US" w:eastAsia="zh-CN"/>
              </w:rPr>
              <w:t>+</w:t>
            </w:r>
            <w:r>
              <w:rPr>
                <w:rFonts w:hint="eastAsia" w:cs="Times New Roman"/>
                <w:color w:val="auto"/>
                <w:kern w:val="0"/>
                <w:szCs w:val="21"/>
                <w:lang w:eastAsia="zh-CN"/>
              </w:rPr>
              <w:t>集中式滤筒除尘系统</w:t>
            </w:r>
            <w:r>
              <w:rPr>
                <w:rFonts w:hint="default" w:ascii="Times New Roman" w:hAnsi="Times New Roman" w:eastAsia="宋体" w:cs="Times New Roman"/>
                <w:color w:val="auto"/>
                <w:kern w:val="0"/>
                <w:szCs w:val="21"/>
              </w:rPr>
              <w:t>+15m高排气筒</w:t>
            </w:r>
          </w:p>
        </w:tc>
        <w:tc>
          <w:tcPr>
            <w:tcW w:w="2027" w:type="dxa"/>
            <w:vMerge w:val="restart"/>
            <w:noWrap w:val="0"/>
            <w:vAlign w:val="center"/>
          </w:tcPr>
          <w:p w14:paraId="689AD03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颗粒物、非甲烷总烃执行</w:t>
            </w:r>
            <w:r>
              <w:rPr>
                <w:rFonts w:hint="default" w:ascii="Times New Roman" w:hAnsi="Times New Roman" w:eastAsia="宋体" w:cs="Times New Roman"/>
                <w:color w:val="auto"/>
                <w:szCs w:val="21"/>
                <w:lang w:val="en-US" w:eastAsia="zh-CN"/>
              </w:rPr>
              <w:t>《涂料、油墨、胶粘剂工业大气污染物排放标准》（GB37824-2019）表1中有组织最高允许排放浓度限值。</w:t>
            </w:r>
            <w:r>
              <w:rPr>
                <w:rFonts w:hint="eastAsia" w:cs="Times New Roman"/>
                <w:color w:val="auto"/>
                <w:szCs w:val="21"/>
                <w:lang w:val="en-US" w:eastAsia="zh-CN"/>
              </w:rPr>
              <w:t>即：</w:t>
            </w:r>
            <w:r>
              <w:rPr>
                <w:rFonts w:hint="default" w:ascii="Times New Roman" w:hAnsi="Times New Roman" w:eastAsia="宋体" w:cs="Times New Roman"/>
                <w:color w:val="auto"/>
                <w:szCs w:val="21"/>
                <w:lang w:val="en-US" w:eastAsia="zh-CN"/>
              </w:rPr>
              <w:t>颗粒物</w:t>
            </w:r>
            <w:r>
              <w:rPr>
                <w:rFonts w:hint="eastAsia" w:ascii="Times New Roman" w:hAnsi="Times New Roman" w:eastAsia="宋体" w:cs="Times New Roman"/>
                <w:color w:val="auto"/>
                <w:szCs w:val="21"/>
                <w:lang w:val="en-US" w:eastAsia="zh-CN"/>
              </w:rPr>
              <w:t>≤30mg/L、</w:t>
            </w:r>
            <w:r>
              <w:rPr>
                <w:rFonts w:hint="default" w:ascii="Times New Roman" w:hAnsi="Times New Roman" w:eastAsia="宋体" w:cs="Times New Roman"/>
                <w:color w:val="auto"/>
                <w:szCs w:val="21"/>
              </w:rPr>
              <w:t>以非甲烷总烃计</w:t>
            </w:r>
            <w:r>
              <w:rPr>
                <w:rFonts w:hint="eastAsia" w:ascii="Times New Roman" w:hAnsi="Times New Roman" w:eastAsia="宋体" w:cs="Times New Roman"/>
                <w:color w:val="auto"/>
                <w:szCs w:val="21"/>
                <w:lang w:val="en-US" w:eastAsia="zh-CN"/>
              </w:rPr>
              <w:t>≤120mg/L</w:t>
            </w:r>
          </w:p>
        </w:tc>
      </w:tr>
      <w:tr w14:paraId="4BD411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vMerge w:val="continue"/>
            <w:noWrap w:val="0"/>
            <w:vAlign w:val="center"/>
          </w:tcPr>
          <w:p w14:paraId="28CD3CA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c>
          <w:tcPr>
            <w:tcW w:w="2115" w:type="dxa"/>
            <w:noWrap w:val="0"/>
            <w:vAlign w:val="center"/>
          </w:tcPr>
          <w:p w14:paraId="20480A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DA002排气筒/</w:t>
            </w:r>
            <w:r>
              <w:rPr>
                <w:rFonts w:hint="eastAsia" w:cs="Times New Roman"/>
                <w:color w:val="auto"/>
                <w:sz w:val="21"/>
                <w:szCs w:val="21"/>
                <w:lang w:val="en-US" w:eastAsia="zh-CN"/>
              </w:rPr>
              <w:t>水性涂料生产车间投料粉尘。包装口挥发性有机废气挥发</w:t>
            </w:r>
          </w:p>
        </w:tc>
        <w:tc>
          <w:tcPr>
            <w:tcW w:w="1230" w:type="dxa"/>
            <w:noWrap w:val="0"/>
            <w:vAlign w:val="center"/>
          </w:tcPr>
          <w:p w14:paraId="1677276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颗粒物</w:t>
            </w:r>
            <w:r>
              <w:rPr>
                <w:rFonts w:hint="eastAsia" w:cs="Times New Roman"/>
                <w:color w:val="auto"/>
                <w:szCs w:val="21"/>
                <w:lang w:eastAsia="zh-CN"/>
              </w:rPr>
              <w:t>、</w:t>
            </w:r>
            <w:r>
              <w:rPr>
                <w:rFonts w:hint="default" w:ascii="Times New Roman" w:hAnsi="Times New Roman" w:eastAsia="宋体" w:cs="Times New Roman"/>
                <w:color w:val="auto"/>
                <w:szCs w:val="21"/>
              </w:rPr>
              <w:t>非甲烷总烃</w:t>
            </w:r>
          </w:p>
        </w:tc>
        <w:tc>
          <w:tcPr>
            <w:tcW w:w="2492" w:type="dxa"/>
            <w:noWrap w:val="0"/>
            <w:vAlign w:val="center"/>
          </w:tcPr>
          <w:p w14:paraId="6EDC8D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cs="Times New Roman"/>
                <w:color w:val="auto"/>
                <w:kern w:val="0"/>
                <w:szCs w:val="21"/>
                <w:lang w:val="en-US" w:eastAsia="zh-CN"/>
              </w:rPr>
              <w:t>5个</w:t>
            </w:r>
            <w:r>
              <w:rPr>
                <w:rFonts w:hint="eastAsia" w:cs="Times New Roman"/>
                <w:color w:val="auto"/>
                <w:kern w:val="0"/>
                <w:szCs w:val="21"/>
                <w:lang w:eastAsia="zh-CN"/>
              </w:rPr>
              <w:t>集气罩</w:t>
            </w:r>
            <w:r>
              <w:rPr>
                <w:rFonts w:hint="eastAsia" w:cs="Times New Roman"/>
                <w:color w:val="auto"/>
                <w:kern w:val="0"/>
                <w:szCs w:val="21"/>
                <w:lang w:val="en-US" w:eastAsia="zh-CN"/>
              </w:rPr>
              <w:t>+</w:t>
            </w:r>
            <w:r>
              <w:rPr>
                <w:rFonts w:hint="default" w:ascii="Times New Roman" w:hAnsi="Times New Roman" w:eastAsia="宋体" w:cs="Times New Roman"/>
                <w:color w:val="auto"/>
                <w:kern w:val="0"/>
                <w:szCs w:val="21"/>
              </w:rPr>
              <w:t>布袋除尘器+</w:t>
            </w:r>
            <w:r>
              <w:rPr>
                <w:rFonts w:hint="eastAsia" w:ascii="Times New Roman" w:hAnsi="Times New Roman" w:eastAsia="宋体" w:cs="Times New Roman"/>
                <w:color w:val="auto"/>
                <w:kern w:val="0"/>
                <w:szCs w:val="21"/>
                <w:lang w:val="en-US" w:eastAsia="zh-CN"/>
              </w:rPr>
              <w:t>UV光氧催化</w:t>
            </w:r>
            <w:r>
              <w:rPr>
                <w:rFonts w:hint="default"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lang w:eastAsia="zh-CN"/>
              </w:rPr>
              <w:t>活性炭吸附装置</w:t>
            </w:r>
            <w:r>
              <w:rPr>
                <w:rFonts w:hint="eastAsia" w:cs="Times New Roman"/>
                <w:color w:val="auto"/>
                <w:kern w:val="0"/>
                <w:szCs w:val="21"/>
                <w:lang w:val="en-US" w:eastAsia="zh-CN"/>
              </w:rPr>
              <w:t>+</w:t>
            </w:r>
            <w:r>
              <w:rPr>
                <w:rFonts w:hint="default" w:ascii="Times New Roman" w:hAnsi="Times New Roman" w:eastAsia="宋体" w:cs="Times New Roman"/>
                <w:color w:val="auto"/>
                <w:kern w:val="0"/>
                <w:szCs w:val="21"/>
              </w:rPr>
              <w:t>15m高排气筒</w:t>
            </w:r>
          </w:p>
        </w:tc>
        <w:tc>
          <w:tcPr>
            <w:tcW w:w="2027" w:type="dxa"/>
            <w:vMerge w:val="continue"/>
            <w:noWrap w:val="0"/>
            <w:vAlign w:val="center"/>
          </w:tcPr>
          <w:p w14:paraId="7FEC693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r>
      <w:tr w14:paraId="101A87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vMerge w:val="continue"/>
            <w:noWrap w:val="0"/>
            <w:vAlign w:val="center"/>
          </w:tcPr>
          <w:p w14:paraId="7BEDE59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c>
          <w:tcPr>
            <w:tcW w:w="2115" w:type="dxa"/>
            <w:noWrap w:val="0"/>
            <w:vAlign w:val="center"/>
          </w:tcPr>
          <w:p w14:paraId="1D229AD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粉料卸料粉尘</w:t>
            </w:r>
          </w:p>
        </w:tc>
        <w:tc>
          <w:tcPr>
            <w:tcW w:w="1230" w:type="dxa"/>
            <w:noWrap w:val="0"/>
            <w:vAlign w:val="center"/>
          </w:tcPr>
          <w:p w14:paraId="63D963F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颗粒物</w:t>
            </w:r>
          </w:p>
        </w:tc>
        <w:tc>
          <w:tcPr>
            <w:tcW w:w="2492" w:type="dxa"/>
            <w:noWrap w:val="0"/>
            <w:vAlign w:val="center"/>
          </w:tcPr>
          <w:p w14:paraId="43BC960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采用脉冲布袋除尘装置除尘后，呈无组织排放</w:t>
            </w:r>
          </w:p>
        </w:tc>
        <w:tc>
          <w:tcPr>
            <w:tcW w:w="2027" w:type="dxa"/>
            <w:vMerge w:val="restart"/>
            <w:noWrap w:val="0"/>
            <w:vAlign w:val="center"/>
          </w:tcPr>
          <w:p w14:paraId="1C74A21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cs="Times New Roman"/>
                <w:color w:val="auto"/>
                <w:szCs w:val="21"/>
                <w:lang w:val="en-US" w:eastAsia="zh-CN"/>
              </w:rPr>
              <w:t>执行</w:t>
            </w:r>
            <w:r>
              <w:rPr>
                <w:rFonts w:hint="default" w:ascii="Times New Roman" w:hAnsi="Times New Roman" w:eastAsia="宋体" w:cs="Times New Roman"/>
                <w:color w:val="auto"/>
                <w:szCs w:val="21"/>
                <w:lang w:val="en-US" w:eastAsia="zh-CN"/>
              </w:rPr>
              <w:t>《大气污染物综合排放标准》（GB16297-1996）无组织排放监控浓度限值。</w:t>
            </w:r>
          </w:p>
        </w:tc>
      </w:tr>
      <w:tr w14:paraId="3E11F9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vMerge w:val="continue"/>
            <w:noWrap w:val="0"/>
            <w:vAlign w:val="center"/>
          </w:tcPr>
          <w:p w14:paraId="637CE7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c>
          <w:tcPr>
            <w:tcW w:w="2115" w:type="dxa"/>
            <w:noWrap w:val="0"/>
            <w:vAlign w:val="center"/>
          </w:tcPr>
          <w:p w14:paraId="370D89DA">
            <w:pPr>
              <w:keepNext w:val="0"/>
              <w:keepLines w:val="0"/>
              <w:suppressLineNumbers w:val="0"/>
              <w:adjustRightInd w:val="0"/>
              <w:snapToGrid w:val="0"/>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腻子粉生产线包装粉尘</w:t>
            </w:r>
          </w:p>
        </w:tc>
        <w:tc>
          <w:tcPr>
            <w:tcW w:w="1230" w:type="dxa"/>
            <w:noWrap w:val="0"/>
            <w:vAlign w:val="center"/>
          </w:tcPr>
          <w:p w14:paraId="5222B52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颗粒物</w:t>
            </w:r>
          </w:p>
        </w:tc>
        <w:tc>
          <w:tcPr>
            <w:tcW w:w="2492" w:type="dxa"/>
            <w:noWrap w:val="0"/>
            <w:vAlign w:val="center"/>
          </w:tcPr>
          <w:p w14:paraId="46D460B9">
            <w:pPr>
              <w:keepNext w:val="0"/>
              <w:keepLines w:val="0"/>
              <w:suppressLineNumbers w:val="0"/>
              <w:adjustRightInd w:val="0"/>
              <w:snapToGrid w:val="0"/>
              <w:spacing w:before="0" w:beforeAutospacing="0" w:after="0" w:afterAutospacing="0"/>
              <w:ind w:left="0" w:leftChars="0" w:right="0" w:rightChars="0"/>
              <w:jc w:val="center"/>
              <w:rPr>
                <w:rFonts w:hint="eastAsia" w:cs="Times New Roman"/>
                <w:color w:val="auto"/>
                <w:kern w:val="0"/>
                <w:szCs w:val="21"/>
                <w:lang w:val="en-US" w:eastAsia="zh-CN"/>
              </w:rPr>
            </w:pPr>
            <w:r>
              <w:rPr>
                <w:rFonts w:hint="eastAsia" w:cs="Times New Roman"/>
                <w:color w:val="auto"/>
                <w:kern w:val="0"/>
                <w:szCs w:val="21"/>
                <w:lang w:val="en-US" w:eastAsia="zh-CN"/>
              </w:rPr>
              <w:t>采用旋风除尘系统除尘后，在密闭的生产车间内自然沉降后呈无组织排放</w:t>
            </w:r>
          </w:p>
        </w:tc>
        <w:tc>
          <w:tcPr>
            <w:tcW w:w="2027" w:type="dxa"/>
            <w:vMerge w:val="continue"/>
            <w:noWrap w:val="0"/>
            <w:vAlign w:val="center"/>
          </w:tcPr>
          <w:p w14:paraId="788F588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r>
      <w:tr w14:paraId="1AA5C6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vMerge w:val="continue"/>
            <w:noWrap w:val="0"/>
            <w:vAlign w:val="center"/>
          </w:tcPr>
          <w:p w14:paraId="5920AA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c>
          <w:tcPr>
            <w:tcW w:w="2115" w:type="dxa"/>
            <w:noWrap w:val="0"/>
            <w:vAlign w:val="center"/>
          </w:tcPr>
          <w:p w14:paraId="5B568FA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Cs w:val="21"/>
                <w:lang w:val="en-US" w:eastAsia="zh-CN"/>
              </w:rPr>
              <w:t>砂壁生产氨挥发</w:t>
            </w:r>
          </w:p>
        </w:tc>
        <w:tc>
          <w:tcPr>
            <w:tcW w:w="1230" w:type="dxa"/>
            <w:noWrap w:val="0"/>
            <w:vAlign w:val="center"/>
          </w:tcPr>
          <w:p w14:paraId="65B2CE8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rPr>
            </w:pPr>
            <w:r>
              <w:rPr>
                <w:rFonts w:hint="eastAsia" w:cs="Times New Roman"/>
                <w:color w:val="auto"/>
                <w:szCs w:val="21"/>
                <w:lang w:eastAsia="zh-CN"/>
              </w:rPr>
              <w:t>氨</w:t>
            </w:r>
          </w:p>
        </w:tc>
        <w:tc>
          <w:tcPr>
            <w:tcW w:w="2492" w:type="dxa"/>
            <w:noWrap w:val="0"/>
            <w:vAlign w:val="center"/>
          </w:tcPr>
          <w:p w14:paraId="4218443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zh-CN"/>
              </w:rPr>
              <w:t>加强通风</w:t>
            </w:r>
            <w:r>
              <w:rPr>
                <w:rFonts w:hint="eastAsia" w:cs="Times New Roman"/>
                <w:color w:val="auto"/>
                <w:szCs w:val="21"/>
                <w:lang w:val="zh-CN"/>
              </w:rPr>
              <w:t>、</w:t>
            </w:r>
            <w:r>
              <w:rPr>
                <w:rFonts w:hint="eastAsia" w:cs="Times New Roman"/>
                <w:color w:val="auto"/>
                <w:szCs w:val="21"/>
                <w:lang w:val="en-US" w:eastAsia="zh-CN"/>
              </w:rPr>
              <w:t>自然扩散</w:t>
            </w:r>
          </w:p>
        </w:tc>
        <w:tc>
          <w:tcPr>
            <w:tcW w:w="2027" w:type="dxa"/>
            <w:vMerge w:val="restart"/>
            <w:noWrap w:val="0"/>
            <w:vAlign w:val="center"/>
          </w:tcPr>
          <w:p w14:paraId="0BDDC6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cs="Times New Roman"/>
                <w:color w:val="auto"/>
                <w:szCs w:val="21"/>
                <w:lang w:eastAsia="zh-CN"/>
              </w:rPr>
              <w:t>无组织氨、臭气浓度满足</w:t>
            </w:r>
            <w:r>
              <w:rPr>
                <w:rFonts w:hint="default" w:ascii="Times New Roman" w:hAnsi="Times New Roman" w:eastAsia="宋体" w:cs="Times New Roman"/>
                <w:color w:val="auto"/>
                <w:szCs w:val="21"/>
              </w:rPr>
              <w:t>《恶臭污染物排放标准》（GB14554-93）中</w:t>
            </w:r>
            <w:r>
              <w:rPr>
                <w:rFonts w:hint="default" w:ascii="Times New Roman" w:hAnsi="Times New Roman" w:eastAsia="宋体" w:cs="Times New Roman"/>
                <w:color w:val="auto"/>
                <w:szCs w:val="21"/>
                <w:lang w:val="en-US" w:eastAsia="zh-CN"/>
              </w:rPr>
              <w:t>表1</w:t>
            </w:r>
            <w:r>
              <w:rPr>
                <w:rFonts w:hint="default" w:ascii="Times New Roman" w:hAnsi="Times New Roman" w:eastAsia="宋体" w:cs="Times New Roman"/>
                <w:color w:val="auto"/>
                <w:szCs w:val="21"/>
                <w:lang w:eastAsia="zh-CN"/>
              </w:rPr>
              <w:t>二级标准</w:t>
            </w:r>
          </w:p>
        </w:tc>
      </w:tr>
      <w:tr w14:paraId="4A0BF5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vMerge w:val="continue"/>
            <w:noWrap w:val="0"/>
            <w:vAlign w:val="center"/>
          </w:tcPr>
          <w:p w14:paraId="29E96E3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c>
          <w:tcPr>
            <w:tcW w:w="2115" w:type="dxa"/>
            <w:noWrap w:val="0"/>
            <w:vAlign w:val="center"/>
          </w:tcPr>
          <w:p w14:paraId="202051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污水处理系统</w:t>
            </w:r>
          </w:p>
        </w:tc>
        <w:tc>
          <w:tcPr>
            <w:tcW w:w="1230" w:type="dxa"/>
            <w:noWrap w:val="0"/>
            <w:vAlign w:val="center"/>
          </w:tcPr>
          <w:p w14:paraId="2B07134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臭气浓度</w:t>
            </w:r>
          </w:p>
        </w:tc>
        <w:tc>
          <w:tcPr>
            <w:tcW w:w="2492" w:type="dxa"/>
            <w:noWrap w:val="0"/>
            <w:vAlign w:val="center"/>
          </w:tcPr>
          <w:p w14:paraId="44F8181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位置开阔、自然扩散</w:t>
            </w:r>
          </w:p>
        </w:tc>
        <w:tc>
          <w:tcPr>
            <w:tcW w:w="2027" w:type="dxa"/>
            <w:vMerge w:val="continue"/>
            <w:noWrap w:val="0"/>
            <w:vAlign w:val="center"/>
          </w:tcPr>
          <w:p w14:paraId="31692E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r>
      <w:tr w14:paraId="7B1C0D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vMerge w:val="continue"/>
            <w:noWrap w:val="0"/>
            <w:vAlign w:val="center"/>
          </w:tcPr>
          <w:p w14:paraId="795E634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c>
          <w:tcPr>
            <w:tcW w:w="2115" w:type="dxa"/>
            <w:noWrap w:val="0"/>
            <w:vAlign w:val="center"/>
          </w:tcPr>
          <w:p w14:paraId="7C52F53D">
            <w:pPr>
              <w:keepNext w:val="0"/>
              <w:keepLines w:val="0"/>
              <w:suppressLineNumbers w:val="0"/>
              <w:adjustRightInd w:val="0"/>
              <w:snapToGrid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食堂油烟</w:t>
            </w:r>
          </w:p>
        </w:tc>
        <w:tc>
          <w:tcPr>
            <w:tcW w:w="1230" w:type="dxa"/>
            <w:noWrap w:val="0"/>
            <w:vAlign w:val="center"/>
          </w:tcPr>
          <w:p w14:paraId="1196E35D">
            <w:pPr>
              <w:keepNext w:val="0"/>
              <w:keepLines w:val="0"/>
              <w:suppressLineNumbers w:val="0"/>
              <w:adjustRightInd w:val="0"/>
              <w:snapToGrid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油烟</w:t>
            </w:r>
          </w:p>
        </w:tc>
        <w:tc>
          <w:tcPr>
            <w:tcW w:w="2492" w:type="dxa"/>
            <w:noWrap w:val="0"/>
            <w:vAlign w:val="center"/>
          </w:tcPr>
          <w:p w14:paraId="1B377AEB">
            <w:pPr>
              <w:keepNext w:val="0"/>
              <w:keepLines w:val="0"/>
              <w:suppressLineNumbers w:val="0"/>
              <w:adjustRightInd w:val="0"/>
              <w:snapToGrid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油烟净化器处理</w:t>
            </w:r>
          </w:p>
        </w:tc>
        <w:tc>
          <w:tcPr>
            <w:tcW w:w="2027" w:type="dxa"/>
            <w:noWrap w:val="0"/>
            <w:vAlign w:val="center"/>
          </w:tcPr>
          <w:p w14:paraId="6196294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《饮食业油烟排放标准》（GB18483-2001）小型标准</w:t>
            </w:r>
            <w:r>
              <w:rPr>
                <w:rFonts w:hint="eastAsia" w:cs="Times New Roman"/>
                <w:color w:val="auto"/>
                <w:szCs w:val="21"/>
                <w:lang w:val="en-US" w:eastAsia="zh-CN"/>
              </w:rPr>
              <w:t xml:space="preserve">浓度 </w:t>
            </w:r>
            <w:r>
              <w:rPr>
                <w:rFonts w:hint="default" w:ascii="Times New Roman" w:hAnsi="Times New Roman" w:eastAsia="宋体" w:cs="Times New Roman"/>
                <w:b w:val="0"/>
                <w:bCs w:val="0"/>
                <w:color w:val="auto"/>
                <w:kern w:val="2"/>
                <w:sz w:val="21"/>
                <w:szCs w:val="21"/>
              </w:rPr>
              <w:t>2.0mg/m</w:t>
            </w:r>
            <w:r>
              <w:rPr>
                <w:rFonts w:hint="default" w:ascii="Times New Roman" w:hAnsi="Times New Roman" w:eastAsia="宋体" w:cs="Times New Roman"/>
                <w:b w:val="0"/>
                <w:bCs w:val="0"/>
                <w:color w:val="auto"/>
                <w:kern w:val="2"/>
                <w:sz w:val="21"/>
                <w:szCs w:val="21"/>
                <w:vertAlign w:val="superscript"/>
              </w:rPr>
              <w:t>3</w:t>
            </w:r>
          </w:p>
        </w:tc>
      </w:tr>
      <w:tr w14:paraId="058793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noWrap w:val="0"/>
            <w:vAlign w:val="center"/>
          </w:tcPr>
          <w:p w14:paraId="600FD95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地表水环境</w:t>
            </w:r>
          </w:p>
        </w:tc>
        <w:tc>
          <w:tcPr>
            <w:tcW w:w="2115" w:type="dxa"/>
            <w:noWrap w:val="0"/>
            <w:vAlign w:val="center"/>
          </w:tcPr>
          <w:p w14:paraId="2044F7D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eastAsia" w:cs="Times New Roman"/>
                <w:color w:val="auto"/>
                <w:szCs w:val="21"/>
                <w:lang w:eastAsia="zh-CN"/>
              </w:rPr>
              <w:t>污水处理系统出口</w:t>
            </w:r>
          </w:p>
        </w:tc>
        <w:tc>
          <w:tcPr>
            <w:tcW w:w="1230" w:type="dxa"/>
            <w:noWrap w:val="0"/>
            <w:vAlign w:val="center"/>
          </w:tcPr>
          <w:p w14:paraId="30735B1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Ph、化学需氧量、五日生化需氧量、悬浮物、氨氮、总磷、总有机碳、石油类、动植物油</w:t>
            </w:r>
          </w:p>
        </w:tc>
        <w:tc>
          <w:tcPr>
            <w:tcW w:w="2492" w:type="dxa"/>
            <w:noWrap w:val="0"/>
            <w:vAlign w:val="center"/>
          </w:tcPr>
          <w:p w14:paraId="25130E2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eastAsia" w:cs="Times New Roman"/>
                <w:color w:val="auto"/>
                <w:szCs w:val="21"/>
                <w:lang w:eastAsia="zh-CN"/>
              </w:rPr>
              <w:t>生活污水经隔油池、化粪池预处理后同沉淀池沉淀的生产废气一并进入自建污水处理系统，处理达标后进入园区污水管网，最终进入哨箐</w:t>
            </w:r>
            <w:r>
              <w:rPr>
                <w:rFonts w:hint="eastAsia" w:cs="Times New Roman"/>
                <w:color w:val="auto"/>
                <w:szCs w:val="21"/>
                <w:lang w:val="en-US" w:eastAsia="zh-CN"/>
              </w:rPr>
              <w:t>产业园</w:t>
            </w:r>
            <w:r>
              <w:rPr>
                <w:rFonts w:hint="eastAsia" w:cs="Times New Roman"/>
                <w:color w:val="auto"/>
                <w:szCs w:val="21"/>
                <w:lang w:eastAsia="zh-CN"/>
              </w:rPr>
              <w:t>污水处理厂。</w:t>
            </w:r>
          </w:p>
        </w:tc>
        <w:tc>
          <w:tcPr>
            <w:tcW w:w="2027" w:type="dxa"/>
            <w:noWrap w:val="0"/>
            <w:vAlign w:val="center"/>
          </w:tcPr>
          <w:p w14:paraId="3F16B25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《污水排入城镇下水道水质标准》（GB/T31962-2015）表1 中 A 等级标准</w:t>
            </w:r>
          </w:p>
        </w:tc>
      </w:tr>
      <w:tr w14:paraId="1DB29F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noWrap w:val="0"/>
            <w:vAlign w:val="center"/>
          </w:tcPr>
          <w:p w14:paraId="7CA59A9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声环境</w:t>
            </w:r>
          </w:p>
        </w:tc>
        <w:tc>
          <w:tcPr>
            <w:tcW w:w="2115" w:type="dxa"/>
            <w:noWrap w:val="0"/>
            <w:vAlign w:val="center"/>
          </w:tcPr>
          <w:p w14:paraId="2E4F811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lang w:val="en-US" w:eastAsia="zh-CN"/>
              </w:rPr>
              <w:t>生产设备噪声</w:t>
            </w:r>
          </w:p>
        </w:tc>
        <w:tc>
          <w:tcPr>
            <w:tcW w:w="1230" w:type="dxa"/>
            <w:noWrap w:val="0"/>
            <w:vAlign w:val="center"/>
          </w:tcPr>
          <w:p w14:paraId="71659FA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vertAlign w:val="baseline"/>
                <w:lang w:val="en-US" w:eastAsia="zh-CN"/>
              </w:rPr>
              <w:t>Leq（A）</w:t>
            </w:r>
          </w:p>
        </w:tc>
        <w:tc>
          <w:tcPr>
            <w:tcW w:w="2492" w:type="dxa"/>
            <w:noWrap w:val="0"/>
            <w:vAlign w:val="center"/>
          </w:tcPr>
          <w:p w14:paraId="218CC39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优先选用先进低噪声设备；主要产噪设备安装减震垫；加强设备管理与维护等措施</w:t>
            </w:r>
          </w:p>
        </w:tc>
        <w:tc>
          <w:tcPr>
            <w:tcW w:w="2027" w:type="dxa"/>
            <w:noWrap w:val="0"/>
            <w:vAlign w:val="center"/>
          </w:tcPr>
          <w:p w14:paraId="5C588DB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《工业企业厂界环境噪声排放标准》（GB12348-2008）中的</w:t>
            </w:r>
            <w:r>
              <w:rPr>
                <w:rFonts w:hint="default"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rPr>
              <w:t>类</w:t>
            </w:r>
          </w:p>
        </w:tc>
      </w:tr>
      <w:tr w14:paraId="12D6F6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noWrap w:val="0"/>
            <w:vAlign w:val="center"/>
          </w:tcPr>
          <w:p w14:paraId="6FE300B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电磁辐射</w:t>
            </w:r>
          </w:p>
        </w:tc>
        <w:tc>
          <w:tcPr>
            <w:tcW w:w="2115" w:type="dxa"/>
            <w:noWrap w:val="0"/>
            <w:vAlign w:val="center"/>
          </w:tcPr>
          <w:p w14:paraId="4CD03E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1230" w:type="dxa"/>
            <w:noWrap w:val="0"/>
            <w:vAlign w:val="center"/>
          </w:tcPr>
          <w:p w14:paraId="572259A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w:t>
            </w:r>
          </w:p>
        </w:tc>
        <w:tc>
          <w:tcPr>
            <w:tcW w:w="2492" w:type="dxa"/>
            <w:noWrap w:val="0"/>
            <w:vAlign w:val="center"/>
          </w:tcPr>
          <w:p w14:paraId="4922C6B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w:t>
            </w:r>
          </w:p>
        </w:tc>
        <w:tc>
          <w:tcPr>
            <w:tcW w:w="2027" w:type="dxa"/>
            <w:noWrap w:val="0"/>
            <w:vAlign w:val="center"/>
          </w:tcPr>
          <w:p w14:paraId="40A21EC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w:t>
            </w:r>
          </w:p>
        </w:tc>
      </w:tr>
      <w:tr w14:paraId="2D31C7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noWrap w:val="0"/>
            <w:vAlign w:val="center"/>
          </w:tcPr>
          <w:p w14:paraId="05B279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固体废物</w:t>
            </w:r>
          </w:p>
        </w:tc>
        <w:tc>
          <w:tcPr>
            <w:tcW w:w="7864" w:type="dxa"/>
            <w:gridSpan w:val="4"/>
            <w:noWrap w:val="0"/>
            <w:vAlign w:val="center"/>
          </w:tcPr>
          <w:p w14:paraId="51316E4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 w:val="21"/>
                <w:szCs w:val="21"/>
                <w:lang w:val="en-US" w:eastAsia="zh-CN"/>
              </w:rPr>
              <w:t>项目运营过程中固体废弃物包括一般固体废物及危险固体废物。一般固体废物包括：水过滤材料，除尘器粉尘、废包装材料、污水处理系统污泥、生活垃圾、餐厨固废。其中水过滤材料经收集后外售废品回收站，除尘器粉尘收集后回用到生产，废包装材料收集后外售废品回收站、污水处理系统污泥委托</w:t>
            </w:r>
            <w:r>
              <w:rPr>
                <w:rFonts w:hint="eastAsia" w:cs="Times New Roman"/>
                <w:color w:val="auto"/>
                <w:sz w:val="21"/>
                <w:szCs w:val="21"/>
                <w:lang w:val="en-US" w:eastAsia="zh-CN"/>
              </w:rPr>
              <w:t>富名翔盛废物旧资收购点</w:t>
            </w:r>
            <w:r>
              <w:rPr>
                <w:rFonts w:hint="default" w:ascii="Times New Roman" w:hAnsi="Times New Roman" w:eastAsia="宋体" w:cs="Times New Roman"/>
                <w:color w:val="auto"/>
                <w:sz w:val="21"/>
                <w:szCs w:val="21"/>
                <w:lang w:val="en-US" w:eastAsia="zh-CN"/>
              </w:rPr>
              <w:t>清运处置，生活垃圾经垃圾桶收集后委托环卫部门清运处置，餐厨固废收集后委托有资质单位清运处置</w:t>
            </w:r>
            <w:r>
              <w:rPr>
                <w:rFonts w:hint="eastAsia" w:cs="Times New Roman"/>
                <w:color w:val="auto"/>
                <w:sz w:val="21"/>
                <w:szCs w:val="21"/>
                <w:lang w:val="en-US" w:eastAsia="zh-CN"/>
              </w:rPr>
              <w:t>；危险废物主要包含废活性炭、废UV灯管、废矿物油、沾染有机溶剂的废包装材料等，均收集到危废暂存间内，委托有资质单位清运处置</w:t>
            </w:r>
            <w:r>
              <w:rPr>
                <w:rFonts w:hint="default" w:ascii="Times New Roman" w:hAnsi="Times New Roman" w:eastAsia="宋体" w:cs="Times New Roman"/>
                <w:color w:val="auto"/>
                <w:sz w:val="21"/>
                <w:szCs w:val="21"/>
                <w:lang w:val="en-US" w:eastAsia="zh-CN"/>
              </w:rPr>
              <w:t>。</w:t>
            </w:r>
          </w:p>
        </w:tc>
      </w:tr>
      <w:tr w14:paraId="37BFA2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noWrap w:val="0"/>
            <w:vAlign w:val="center"/>
          </w:tcPr>
          <w:p w14:paraId="0981C26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土壤及地下水</w:t>
            </w:r>
          </w:p>
          <w:p w14:paraId="17EC97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污染防治措施</w:t>
            </w:r>
          </w:p>
        </w:tc>
        <w:tc>
          <w:tcPr>
            <w:tcW w:w="7864" w:type="dxa"/>
            <w:gridSpan w:val="4"/>
            <w:noWrap w:val="0"/>
            <w:vAlign w:val="center"/>
          </w:tcPr>
          <w:p w14:paraId="36EF6907">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1"/>
                <w:szCs w:val="21"/>
                <w:lang w:val="en-US" w:eastAsia="zh-CN"/>
              </w:rPr>
              <w:t>①危险废物暂存间</w:t>
            </w:r>
            <w:r>
              <w:rPr>
                <w:rFonts w:hint="eastAsia" w:cs="Times New Roman"/>
                <w:color w:val="auto"/>
                <w:sz w:val="21"/>
                <w:szCs w:val="21"/>
                <w:lang w:val="en-US" w:eastAsia="zh-CN"/>
              </w:rPr>
              <w:t>、甲类仓库</w:t>
            </w:r>
            <w:r>
              <w:rPr>
                <w:rFonts w:hint="default" w:ascii="Times New Roman" w:hAnsi="Times New Roman" w:eastAsia="宋体" w:cs="Times New Roman"/>
                <w:color w:val="auto"/>
                <w:sz w:val="21"/>
                <w:szCs w:val="21"/>
                <w:lang w:val="en-US" w:eastAsia="zh-CN"/>
              </w:rPr>
              <w:t>按照《危险废物贮存污染控制标准》（GB18597-2001）的相关要求，进行重点防渗，危废暂存间采用抗渗混凝土+3mm环氧树脂等进行防渗，渗透系数K≤1.0×10</w:t>
            </w:r>
            <w:r>
              <w:rPr>
                <w:rFonts w:hint="default" w:ascii="Times New Roman" w:hAnsi="Times New Roman" w:eastAsia="宋体" w:cs="Times New Roman"/>
                <w:color w:val="auto"/>
                <w:sz w:val="21"/>
                <w:szCs w:val="21"/>
                <w:vertAlign w:val="superscript"/>
                <w:lang w:val="en-US" w:eastAsia="zh-CN"/>
              </w:rPr>
              <w:t>-10</w:t>
            </w:r>
            <w:r>
              <w:rPr>
                <w:rFonts w:hint="default" w:ascii="Times New Roman" w:hAnsi="Times New Roman" w:eastAsia="宋体" w:cs="Times New Roman"/>
                <w:color w:val="auto"/>
                <w:sz w:val="21"/>
                <w:szCs w:val="21"/>
                <w:lang w:val="en-US" w:eastAsia="zh-CN"/>
              </w:rPr>
              <w:t>cm/s的要求。生活污水处理设施区域、生产区域、原辅料库区、产品库区等一般防渗区采取铺设2.0mm树脂膜进行防渗，K≤1.0×10</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lang w:val="en-US" w:eastAsia="zh-CN"/>
              </w:rPr>
              <w:t>cm/s的要求。简单防渗区采取一般地面硬化措施。</w:t>
            </w:r>
          </w:p>
        </w:tc>
      </w:tr>
      <w:tr w14:paraId="28F1C8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noWrap w:val="0"/>
            <w:vAlign w:val="center"/>
          </w:tcPr>
          <w:p w14:paraId="1A39356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生态保护措施</w:t>
            </w:r>
          </w:p>
        </w:tc>
        <w:tc>
          <w:tcPr>
            <w:tcW w:w="7864" w:type="dxa"/>
            <w:gridSpan w:val="4"/>
            <w:noWrap w:val="0"/>
            <w:vAlign w:val="center"/>
          </w:tcPr>
          <w:p w14:paraId="61F0DA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14:paraId="75EF18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noWrap w:val="0"/>
            <w:vAlign w:val="center"/>
          </w:tcPr>
          <w:p w14:paraId="6182D0B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8"/>
                <w:szCs w:val="21"/>
              </w:rPr>
            </w:pPr>
            <w:r>
              <w:rPr>
                <w:rFonts w:hint="default" w:ascii="Times New Roman" w:hAnsi="Times New Roman" w:eastAsia="宋体" w:cs="Times New Roman"/>
                <w:color w:val="auto"/>
                <w:spacing w:val="-8"/>
                <w:szCs w:val="21"/>
              </w:rPr>
              <w:t>环境风险防范措施</w:t>
            </w:r>
          </w:p>
        </w:tc>
        <w:tc>
          <w:tcPr>
            <w:tcW w:w="7864" w:type="dxa"/>
            <w:gridSpan w:val="4"/>
            <w:noWrap w:val="0"/>
            <w:vAlign w:val="center"/>
          </w:tcPr>
          <w:p w14:paraId="6BEB288E">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企业在严格按照有关规范标准的监控和管理的基础下，严格按照原环评及已备案的突发环境事件应急预案要求，认真落实各项环保设施及应急处置措施，加强风险隐患排查，加强应急演练及培训，项目的环境风险可在接受范围内。</w:t>
            </w:r>
          </w:p>
        </w:tc>
      </w:tr>
      <w:tr w14:paraId="646D6C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noWrap w:val="0"/>
            <w:vAlign w:val="center"/>
          </w:tcPr>
          <w:p w14:paraId="6AFDE59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8"/>
                <w:szCs w:val="21"/>
              </w:rPr>
            </w:pPr>
            <w:r>
              <w:rPr>
                <w:rFonts w:hint="default" w:ascii="Times New Roman" w:hAnsi="Times New Roman" w:eastAsia="宋体" w:cs="Times New Roman"/>
                <w:color w:val="auto"/>
                <w:spacing w:val="-8"/>
                <w:szCs w:val="21"/>
              </w:rPr>
              <w:t>其他环境</w:t>
            </w:r>
          </w:p>
          <w:p w14:paraId="568EF12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8"/>
                <w:szCs w:val="21"/>
              </w:rPr>
            </w:pPr>
            <w:r>
              <w:rPr>
                <w:rFonts w:hint="default" w:ascii="Times New Roman" w:hAnsi="Times New Roman" w:eastAsia="宋体" w:cs="Times New Roman"/>
                <w:color w:val="auto"/>
                <w:spacing w:val="-8"/>
                <w:szCs w:val="21"/>
              </w:rPr>
              <w:t>管理要求</w:t>
            </w:r>
          </w:p>
        </w:tc>
        <w:tc>
          <w:tcPr>
            <w:tcW w:w="7864" w:type="dxa"/>
            <w:gridSpan w:val="4"/>
            <w:noWrap w:val="0"/>
            <w:vAlign w:val="center"/>
          </w:tcPr>
          <w:p w14:paraId="2093FF8D">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①项目的环保设施必须和主体工程同时设计、同时施工、同时投产。</w:t>
            </w:r>
          </w:p>
          <w:p w14:paraId="662E4071">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②为了加强项目设置的各种环保设施的运行，项目必须制订相关的环保设施管理制度，设置一到两名专、兼职环保人员对各种环保设施的日常管理及维护工作。</w:t>
            </w:r>
          </w:p>
          <w:p w14:paraId="5C7E6789">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③项目应加环保设施的管理，定期对环保设施进行维护、检修，确保各项环保设施的正常运行，以保证处理效果，使各项污染物能达标排放。</w:t>
            </w:r>
          </w:p>
          <w:p w14:paraId="5570C3CB">
            <w:pPr>
              <w:pStyle w:val="39"/>
              <w:spacing w:line="240" w:lineRule="auto"/>
              <w:ind w:firstLine="0"/>
              <w:jc w:val="both"/>
              <w:rPr>
                <w:rFonts w:hint="default" w:ascii="Times New Roman" w:hAnsi="Times New Roman" w:eastAsia="宋体" w:cs="Times New Roman"/>
                <w:color w:val="auto"/>
                <w:lang w:val="en-US"/>
              </w:rPr>
            </w:pPr>
            <w:r>
              <w:rPr>
                <w:rFonts w:hint="default" w:ascii="Times New Roman" w:hAnsi="Times New Roman" w:eastAsia="宋体" w:cs="Times New Roman"/>
                <w:color w:val="auto"/>
              </w:rPr>
              <w:t>④</w:t>
            </w:r>
            <w:r>
              <w:rPr>
                <w:rFonts w:hint="default" w:ascii="Times New Roman" w:hAnsi="Times New Roman" w:eastAsia="宋体" w:cs="Times New Roman"/>
                <w:color w:val="auto"/>
                <w:lang w:val="en-US"/>
              </w:rPr>
              <w:t>建设单位应在各排污口处设置较明显的排污口标志牌，其上应注明主要排污污染物的名称。建设单位应如实填写《中华人民共和国规范化排污口标志登记证》的有关内容，由环保主管部门签发等级证。建设单位应将有关排污口的情况如：排污口的性质、编号、排污口的位置；主要排放的污染物种类、数量、浓度、排放规律、排放去向；污染治理措施的运行情况等进行建档管理，并报送环保主管部门备案。</w:t>
            </w:r>
          </w:p>
          <w:p w14:paraId="2C65F4A1">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rPr>
              <w:t>⑤</w:t>
            </w:r>
            <w:r>
              <w:rPr>
                <w:rFonts w:hint="eastAsia" w:cs="Times New Roman"/>
                <w:color w:val="auto"/>
                <w:lang w:val="en-US" w:eastAsia="zh-CN"/>
              </w:rPr>
              <w:t>定期对</w:t>
            </w:r>
            <w:r>
              <w:rPr>
                <w:rFonts w:hint="default" w:ascii="Times New Roman" w:hAnsi="Times New Roman" w:eastAsia="宋体" w:cs="Times New Roman"/>
                <w:color w:val="auto"/>
                <w:lang w:val="en-US"/>
              </w:rPr>
              <w:t>《突发环境事件应急预案》</w:t>
            </w:r>
            <w:r>
              <w:rPr>
                <w:rFonts w:hint="eastAsia" w:cs="Times New Roman"/>
                <w:color w:val="auto"/>
                <w:lang w:val="en-US" w:eastAsia="zh-CN"/>
              </w:rPr>
              <w:t>进行修编</w:t>
            </w:r>
            <w:r>
              <w:rPr>
                <w:rFonts w:hint="default" w:ascii="Times New Roman" w:hAnsi="Times New Roman" w:eastAsia="宋体" w:cs="Times New Roman"/>
                <w:color w:val="auto"/>
                <w:lang w:val="en-US"/>
              </w:rPr>
              <w:t>，并报送环保主管部门备案。</w:t>
            </w:r>
          </w:p>
        </w:tc>
      </w:tr>
    </w:tbl>
    <w:p w14:paraId="15556B71">
      <w:pPr>
        <w:pStyle w:val="26"/>
        <w:keepNext w:val="0"/>
        <w:keepLines w:val="0"/>
        <w:pageBreakBefore w:val="0"/>
        <w:widowControl/>
        <w:kinsoku/>
        <w:wordWrap/>
        <w:overflowPunct/>
        <w:topLinePunct w:val="0"/>
        <w:autoSpaceDE/>
        <w:autoSpaceDN/>
        <w:bidi w:val="0"/>
        <w:adjustRightInd/>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rPr>
        <w:br w:type="page"/>
      </w:r>
      <w:bookmarkStart w:id="16" w:name="_Toc8062"/>
      <w:r>
        <w:rPr>
          <w:rFonts w:hint="default" w:ascii="Times New Roman" w:hAnsi="Times New Roman" w:eastAsia="宋体" w:cs="Times New Roman"/>
          <w:b/>
          <w:bCs/>
          <w:snapToGrid w:val="0"/>
          <w:color w:val="auto"/>
          <w:sz w:val="30"/>
          <w:szCs w:val="30"/>
        </w:rPr>
        <w:t>六、结论</w:t>
      </w:r>
      <w:bookmarkEnd w:id="16"/>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38677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7F4AFB24">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本项目符合国家产业政策，</w:t>
            </w:r>
            <w:r>
              <w:rPr>
                <w:rFonts w:hint="default" w:ascii="Times New Roman" w:hAnsi="Times New Roman" w:eastAsia="宋体" w:cs="Times New Roman"/>
                <w:color w:val="auto"/>
                <w:sz w:val="24"/>
                <w:szCs w:val="24"/>
                <w:lang w:val="en-US" w:eastAsia="zh-CN"/>
              </w:rPr>
              <w:t>符合相关规划、在采取相关环保措施后，废气、噪</w:t>
            </w:r>
            <w:r>
              <w:rPr>
                <w:rFonts w:hint="default" w:ascii="Times New Roman" w:hAnsi="Times New Roman" w:eastAsia="宋体" w:cs="Times New Roman"/>
                <w:color w:val="auto"/>
                <w:sz w:val="24"/>
                <w:szCs w:val="24"/>
              </w:rPr>
              <w:t>声</w:t>
            </w:r>
            <w:r>
              <w:rPr>
                <w:rFonts w:hint="default" w:ascii="Times New Roman" w:hAnsi="Times New Roman" w:eastAsia="宋体" w:cs="Times New Roman"/>
                <w:color w:val="auto"/>
                <w:sz w:val="24"/>
                <w:szCs w:val="24"/>
                <w:lang w:eastAsia="zh-CN"/>
              </w:rPr>
              <w:t>能</w:t>
            </w:r>
            <w:r>
              <w:rPr>
                <w:rFonts w:hint="default" w:ascii="Times New Roman" w:hAnsi="Times New Roman" w:eastAsia="宋体" w:cs="Times New Roman"/>
                <w:color w:val="auto"/>
                <w:sz w:val="24"/>
                <w:szCs w:val="24"/>
                <w:lang w:val="en-US" w:eastAsia="zh-CN"/>
              </w:rPr>
              <w:t>达标排放，废水不外排，固废得到妥善处置。</w:t>
            </w:r>
            <w:r>
              <w:rPr>
                <w:rFonts w:hint="default" w:ascii="Times New Roman" w:hAnsi="Times New Roman" w:eastAsia="宋体" w:cs="Times New Roman"/>
                <w:color w:val="auto"/>
                <w:sz w:val="24"/>
                <w:szCs w:val="24"/>
              </w:rPr>
              <w:t>项目运营过程中对所在区域的环境质量影响较小，不改变所在区域的环境功能</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建设单位</w:t>
            </w:r>
            <w:r>
              <w:rPr>
                <w:rFonts w:hint="default" w:ascii="Times New Roman" w:hAnsi="Times New Roman" w:eastAsia="宋体" w:cs="Times New Roman"/>
                <w:color w:val="auto"/>
                <w:sz w:val="24"/>
                <w:szCs w:val="24"/>
                <w:lang w:val="en-US" w:eastAsia="zh-CN"/>
              </w:rPr>
              <w:t>需</w:t>
            </w:r>
            <w:r>
              <w:rPr>
                <w:rFonts w:hint="default" w:ascii="Times New Roman" w:hAnsi="Times New Roman" w:eastAsia="宋体" w:cs="Times New Roman"/>
                <w:color w:val="auto"/>
                <w:sz w:val="24"/>
                <w:szCs w:val="24"/>
              </w:rPr>
              <w:t>在今后的运营过程中严格按本环境影响报告表中提出的对策措施</w:t>
            </w:r>
            <w:r>
              <w:rPr>
                <w:rFonts w:hint="default" w:ascii="Times New Roman" w:hAnsi="Times New Roman" w:eastAsia="宋体" w:cs="Times New Roman"/>
                <w:color w:val="auto"/>
                <w:sz w:val="24"/>
                <w:szCs w:val="24"/>
                <w:lang w:eastAsia="zh-CN"/>
              </w:rPr>
              <w:t>执行</w:t>
            </w:r>
            <w:r>
              <w:rPr>
                <w:rFonts w:hint="default" w:ascii="Times New Roman" w:hAnsi="Times New Roman" w:eastAsia="宋体" w:cs="Times New Roman"/>
                <w:color w:val="auto"/>
                <w:sz w:val="24"/>
                <w:szCs w:val="24"/>
              </w:rPr>
              <w:t>，严格执行“三同时”制度，加强企业的环境管理，确保污染物的达标排放。</w:t>
            </w:r>
          </w:p>
          <w:p w14:paraId="2DFAAD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从环境影响角度分析，项目建设在环境上可行。</w:t>
            </w:r>
          </w:p>
          <w:p w14:paraId="1FB6389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p>
        </w:tc>
      </w:tr>
    </w:tbl>
    <w:p w14:paraId="373EE81F">
      <w:pPr>
        <w:pStyle w:val="20"/>
        <w:ind w:left="0" w:leftChars="0" w:firstLine="0" w:firstLineChars="0"/>
        <w:rPr>
          <w:rFonts w:hint="default" w:ascii="Times New Roman" w:hAnsi="Times New Roman" w:eastAsia="宋体" w:cs="Times New Roman"/>
          <w:color w:val="auto"/>
          <w:lang w:val="en-US" w:eastAsia="zh-CN"/>
        </w:rPr>
        <w:sectPr>
          <w:footerReference r:id="rId8" w:type="default"/>
          <w:pgSz w:w="11906" w:h="16838"/>
          <w:pgMar w:top="1701" w:right="1531" w:bottom="1701" w:left="1531" w:header="851" w:footer="851" w:gutter="0"/>
          <w:pgNumType w:fmt="decimal"/>
          <w:cols w:space="720" w:num="1"/>
          <w:docGrid w:linePitch="312" w:charSpace="0"/>
        </w:sectPr>
      </w:pPr>
    </w:p>
    <w:p w14:paraId="5B9A6AC2">
      <w:pPr>
        <w:pStyle w:val="26"/>
        <w:adjustRightInd w:val="0"/>
        <w:snapToGrid w:val="0"/>
        <w:spacing w:before="0" w:beforeAutospacing="0" w:after="0" w:afterAutospacing="0" w:line="240" w:lineRule="auto"/>
        <w:outlineLvl w:val="9"/>
        <w:rPr>
          <w:rFonts w:hint="default" w:ascii="Times New Roman" w:hAnsi="Times New Roman" w:eastAsia="宋体" w:cs="Times New Roman"/>
          <w:snapToGrid w:val="0"/>
          <w:color w:val="auto"/>
          <w:sz w:val="32"/>
          <w:szCs w:val="32"/>
        </w:rPr>
      </w:pPr>
      <w:r>
        <w:rPr>
          <w:rFonts w:hint="default" w:ascii="Times New Roman" w:hAnsi="Times New Roman" w:eastAsia="宋体" w:cs="Times New Roman"/>
          <w:snapToGrid w:val="0"/>
          <w:color w:val="auto"/>
          <w:sz w:val="32"/>
          <w:szCs w:val="32"/>
        </w:rPr>
        <w:t>附表</w:t>
      </w:r>
    </w:p>
    <w:p w14:paraId="59718B5F">
      <w:pPr>
        <w:pStyle w:val="26"/>
        <w:adjustRightInd w:val="0"/>
        <w:snapToGrid w:val="0"/>
        <w:spacing w:before="0" w:beforeAutospacing="0" w:after="0" w:afterAutospacing="0" w:line="240" w:lineRule="auto"/>
        <w:jc w:val="center"/>
        <w:outlineLvl w:val="0"/>
        <w:rPr>
          <w:rFonts w:hint="default" w:ascii="Times New Roman" w:hAnsi="Times New Roman" w:eastAsia="宋体" w:cs="Times New Roman"/>
          <w:snapToGrid w:val="0"/>
          <w:color w:val="auto"/>
          <w:sz w:val="38"/>
          <w:szCs w:val="38"/>
        </w:rPr>
      </w:pPr>
      <w:bookmarkStart w:id="17" w:name="_Toc32073"/>
      <w:bookmarkStart w:id="18" w:name="_Toc4700"/>
      <w:r>
        <w:rPr>
          <w:rFonts w:hint="default" w:ascii="Times New Roman" w:hAnsi="Times New Roman" w:eastAsia="宋体" w:cs="Times New Roman"/>
          <w:snapToGrid w:val="0"/>
          <w:color w:val="auto"/>
          <w:sz w:val="38"/>
          <w:szCs w:val="38"/>
        </w:rPr>
        <w:t>建设项目污染物排放量汇总表</w:t>
      </w:r>
      <w:bookmarkEnd w:id="17"/>
      <w:bookmarkEnd w:id="18"/>
    </w:p>
    <w:tbl>
      <w:tblPr>
        <w:tblStyle w:val="28"/>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826"/>
      </w:tblGrid>
      <w:tr w14:paraId="24B74E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14:paraId="107D795C">
            <w:pPr>
              <w:pStyle w:val="44"/>
              <w:keepNext w:val="0"/>
              <w:keepLines w:val="0"/>
              <w:suppressLineNumbers w:val="0"/>
              <w:spacing w:before="0" w:beforeLines="0" w:beforeAutospacing="0" w:after="0" w:afterLines="0" w:afterAutospacing="0" w:line="240" w:lineRule="auto"/>
              <w:ind w:left="0" w:right="0"/>
              <w:jc w:val="right"/>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项目</w:t>
            </w:r>
          </w:p>
          <w:p w14:paraId="5DB96DE1">
            <w:pPr>
              <w:pStyle w:val="44"/>
              <w:keepNext w:val="0"/>
              <w:keepLines w:val="0"/>
              <w:suppressLineNumbers w:val="0"/>
              <w:spacing w:before="0" w:beforeLines="0" w:beforeAutospacing="0" w:after="0" w:afterLines="0" w:afterAutospacing="0" w:line="240" w:lineRule="auto"/>
              <w:ind w:left="0" w:right="0"/>
              <w:jc w:val="left"/>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分类</w:t>
            </w:r>
          </w:p>
        </w:tc>
        <w:tc>
          <w:tcPr>
            <w:tcW w:w="1417" w:type="dxa"/>
            <w:noWrap w:val="0"/>
            <w:tcMar>
              <w:left w:w="28" w:type="dxa"/>
              <w:right w:w="28" w:type="dxa"/>
            </w:tcMar>
            <w:vAlign w:val="center"/>
          </w:tcPr>
          <w:p w14:paraId="3135F6B3">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污染物名称</w:t>
            </w:r>
          </w:p>
        </w:tc>
        <w:tc>
          <w:tcPr>
            <w:tcW w:w="1701" w:type="dxa"/>
            <w:noWrap w:val="0"/>
            <w:tcMar>
              <w:left w:w="28" w:type="dxa"/>
              <w:right w:w="28" w:type="dxa"/>
            </w:tcMar>
            <w:vAlign w:val="center"/>
          </w:tcPr>
          <w:p w14:paraId="115C07E2">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现有工程</w:t>
            </w:r>
          </w:p>
          <w:p w14:paraId="741B702D">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排放量（固体废物产生量）</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kern w:val="2"/>
                <w:szCs w:val="21"/>
              </w:rPr>
              <w:t>①</w:t>
            </w:r>
            <w:r>
              <w:rPr>
                <w:rFonts w:hint="default" w:ascii="Times New Roman" w:hAnsi="Times New Roman" w:eastAsia="宋体" w:cs="Times New Roman"/>
                <w:snapToGrid w:val="0"/>
                <w:color w:val="auto"/>
                <w:spacing w:val="-6"/>
                <w:kern w:val="21"/>
                <w:szCs w:val="21"/>
              </w:rPr>
              <w:fldChar w:fldCharType="end"/>
            </w:r>
          </w:p>
        </w:tc>
        <w:tc>
          <w:tcPr>
            <w:tcW w:w="1276" w:type="dxa"/>
            <w:noWrap w:val="0"/>
            <w:tcMar>
              <w:left w:w="28" w:type="dxa"/>
              <w:right w:w="28" w:type="dxa"/>
            </w:tcMar>
            <w:vAlign w:val="center"/>
          </w:tcPr>
          <w:p w14:paraId="5CDC749F">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现有工程</w:t>
            </w:r>
          </w:p>
          <w:p w14:paraId="53C4923F">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许可排放量</w:t>
            </w:r>
          </w:p>
          <w:p w14:paraId="79765788">
            <w:pPr>
              <w:pStyle w:val="44"/>
              <w:keepNext w:val="0"/>
              <w:keepLines w:val="0"/>
              <w:suppressLineNumbers w:val="0"/>
              <w:spacing w:before="0" w:beforeLines="0" w:beforeAutospacing="0" w:after="0" w:afterLines="0" w:afterAutospacing="0"/>
              <w:ind w:left="0" w:right="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2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snapToGrid w:val="0"/>
                <w:color w:val="auto"/>
                <w:spacing w:val="-6"/>
                <w:kern w:val="21"/>
                <w:szCs w:val="21"/>
              </w:rPr>
              <w:t>②</w:t>
            </w:r>
            <w:r>
              <w:rPr>
                <w:rFonts w:hint="default" w:ascii="Times New Roman" w:hAnsi="Times New Roman" w:eastAsia="宋体" w:cs="Times New Roman"/>
                <w:snapToGrid w:val="0"/>
                <w:color w:val="auto"/>
                <w:spacing w:val="-6"/>
                <w:kern w:val="21"/>
                <w:szCs w:val="21"/>
              </w:rPr>
              <w:fldChar w:fldCharType="end"/>
            </w:r>
          </w:p>
        </w:tc>
        <w:tc>
          <w:tcPr>
            <w:tcW w:w="1701" w:type="dxa"/>
            <w:noWrap w:val="0"/>
            <w:tcMar>
              <w:left w:w="28" w:type="dxa"/>
              <w:right w:w="28" w:type="dxa"/>
            </w:tcMar>
            <w:vAlign w:val="center"/>
          </w:tcPr>
          <w:p w14:paraId="34B6AD88">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在建工程</w:t>
            </w:r>
          </w:p>
          <w:p w14:paraId="1834D300">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排放量（固体废物产生量）</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3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kern w:val="2"/>
                <w:szCs w:val="21"/>
              </w:rPr>
              <w:t>③</w:t>
            </w:r>
            <w:r>
              <w:rPr>
                <w:rFonts w:hint="default" w:ascii="Times New Roman" w:hAnsi="Times New Roman" w:eastAsia="宋体" w:cs="Times New Roman"/>
                <w:snapToGrid w:val="0"/>
                <w:color w:val="auto"/>
                <w:spacing w:val="-6"/>
                <w:kern w:val="21"/>
                <w:szCs w:val="21"/>
              </w:rPr>
              <w:fldChar w:fldCharType="end"/>
            </w:r>
          </w:p>
        </w:tc>
        <w:tc>
          <w:tcPr>
            <w:tcW w:w="1559" w:type="dxa"/>
            <w:noWrap w:val="0"/>
            <w:tcMar>
              <w:left w:w="28" w:type="dxa"/>
              <w:right w:w="28" w:type="dxa"/>
            </w:tcMar>
            <w:vAlign w:val="center"/>
          </w:tcPr>
          <w:p w14:paraId="539B9141">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本项目</w:t>
            </w:r>
          </w:p>
          <w:p w14:paraId="2E369976">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排放量（固体废物产生量）</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4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kern w:val="2"/>
                <w:szCs w:val="21"/>
              </w:rPr>
              <w:t>④</w:t>
            </w:r>
            <w:r>
              <w:rPr>
                <w:rFonts w:hint="default" w:ascii="Times New Roman" w:hAnsi="Times New Roman" w:eastAsia="宋体" w:cs="Times New Roman"/>
                <w:snapToGrid w:val="0"/>
                <w:color w:val="auto"/>
                <w:spacing w:val="-6"/>
                <w:kern w:val="21"/>
                <w:szCs w:val="21"/>
              </w:rPr>
              <w:fldChar w:fldCharType="end"/>
            </w:r>
          </w:p>
        </w:tc>
        <w:tc>
          <w:tcPr>
            <w:tcW w:w="1761" w:type="dxa"/>
            <w:noWrap w:val="0"/>
            <w:tcMar>
              <w:left w:w="28" w:type="dxa"/>
              <w:right w:w="28" w:type="dxa"/>
            </w:tcMar>
            <w:vAlign w:val="center"/>
          </w:tcPr>
          <w:p w14:paraId="23A715EC">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16"/>
                <w:kern w:val="21"/>
                <w:szCs w:val="21"/>
              </w:rPr>
            </w:pPr>
            <w:r>
              <w:rPr>
                <w:rFonts w:hint="default" w:ascii="Times New Roman" w:hAnsi="Times New Roman" w:eastAsia="宋体" w:cs="Times New Roman"/>
                <w:snapToGrid w:val="0"/>
                <w:color w:val="auto"/>
                <w:spacing w:val="-16"/>
                <w:kern w:val="21"/>
                <w:szCs w:val="21"/>
              </w:rPr>
              <w:t>以新带老削减量</w:t>
            </w:r>
          </w:p>
          <w:p w14:paraId="12963BDA">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16"/>
                <w:kern w:val="21"/>
                <w:szCs w:val="21"/>
              </w:rPr>
            </w:pPr>
            <w:r>
              <w:rPr>
                <w:rFonts w:hint="default" w:ascii="Times New Roman" w:hAnsi="Times New Roman" w:eastAsia="宋体" w:cs="Times New Roman"/>
                <w:snapToGrid w:val="0"/>
                <w:color w:val="auto"/>
                <w:spacing w:val="-16"/>
                <w:kern w:val="21"/>
                <w:szCs w:val="21"/>
              </w:rPr>
              <w:t>（新建项目不填）</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5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kern w:val="2"/>
                <w:szCs w:val="21"/>
              </w:rPr>
              <w:t>⑤</w:t>
            </w:r>
            <w:r>
              <w:rPr>
                <w:rFonts w:hint="default" w:ascii="Times New Roman" w:hAnsi="Times New Roman" w:eastAsia="宋体" w:cs="Times New Roman"/>
                <w:snapToGrid w:val="0"/>
                <w:color w:val="auto"/>
                <w:spacing w:val="-16"/>
                <w:kern w:val="21"/>
                <w:szCs w:val="21"/>
              </w:rPr>
              <w:fldChar w:fldCharType="end"/>
            </w:r>
          </w:p>
        </w:tc>
        <w:tc>
          <w:tcPr>
            <w:tcW w:w="1959" w:type="dxa"/>
            <w:noWrap w:val="0"/>
            <w:tcMar>
              <w:left w:w="28" w:type="dxa"/>
              <w:right w:w="28" w:type="dxa"/>
            </w:tcMar>
            <w:vAlign w:val="center"/>
          </w:tcPr>
          <w:p w14:paraId="7CEC1F1E">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16"/>
                <w:kern w:val="21"/>
                <w:szCs w:val="21"/>
              </w:rPr>
            </w:pPr>
            <w:r>
              <w:rPr>
                <w:rFonts w:hint="default" w:ascii="Times New Roman" w:hAnsi="Times New Roman" w:eastAsia="宋体" w:cs="Times New Roman"/>
                <w:snapToGrid w:val="0"/>
                <w:color w:val="auto"/>
                <w:spacing w:val="-16"/>
                <w:kern w:val="21"/>
                <w:szCs w:val="21"/>
              </w:rPr>
              <w:t>本项目建成后</w:t>
            </w:r>
          </w:p>
          <w:p w14:paraId="041D44A2">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16"/>
                <w:kern w:val="21"/>
                <w:szCs w:val="21"/>
              </w:rPr>
            </w:pPr>
            <w:r>
              <w:rPr>
                <w:rFonts w:hint="default" w:ascii="Times New Roman" w:hAnsi="Times New Roman" w:eastAsia="宋体" w:cs="Times New Roman"/>
                <w:snapToGrid w:val="0"/>
                <w:color w:val="auto"/>
                <w:spacing w:val="-16"/>
                <w:kern w:val="21"/>
                <w:szCs w:val="21"/>
              </w:rPr>
              <w:t>全厂排放量（固体废物产生量）</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kern w:val="2"/>
                <w:szCs w:val="21"/>
              </w:rPr>
              <w:t>⑥</w:t>
            </w:r>
            <w:r>
              <w:rPr>
                <w:rFonts w:hint="default" w:ascii="Times New Roman" w:hAnsi="Times New Roman" w:eastAsia="宋体" w:cs="Times New Roman"/>
                <w:snapToGrid w:val="0"/>
                <w:color w:val="auto"/>
                <w:spacing w:val="-16"/>
                <w:kern w:val="21"/>
                <w:szCs w:val="21"/>
              </w:rPr>
              <w:fldChar w:fldCharType="end"/>
            </w:r>
          </w:p>
        </w:tc>
        <w:tc>
          <w:tcPr>
            <w:tcW w:w="826" w:type="dxa"/>
            <w:noWrap w:val="0"/>
            <w:tcMar>
              <w:left w:w="28" w:type="dxa"/>
              <w:right w:w="28" w:type="dxa"/>
            </w:tcMar>
            <w:vAlign w:val="center"/>
          </w:tcPr>
          <w:p w14:paraId="4C9F0088">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变化量</w:t>
            </w:r>
          </w:p>
          <w:p w14:paraId="0F81DE5A">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7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kern w:val="2"/>
                <w:szCs w:val="21"/>
              </w:rPr>
              <w:t>⑦</w:t>
            </w:r>
            <w:r>
              <w:rPr>
                <w:rFonts w:hint="default" w:ascii="Times New Roman" w:hAnsi="Times New Roman" w:eastAsia="宋体" w:cs="Times New Roman"/>
                <w:snapToGrid w:val="0"/>
                <w:color w:val="auto"/>
                <w:spacing w:val="-6"/>
                <w:kern w:val="21"/>
                <w:szCs w:val="21"/>
              </w:rPr>
              <w:fldChar w:fldCharType="end"/>
            </w:r>
          </w:p>
        </w:tc>
      </w:tr>
      <w:tr w14:paraId="2F9AEA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2C36B9BE">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废气</w:t>
            </w:r>
          </w:p>
        </w:tc>
        <w:tc>
          <w:tcPr>
            <w:tcW w:w="1417" w:type="dxa"/>
            <w:noWrap w:val="0"/>
            <w:vAlign w:val="center"/>
          </w:tcPr>
          <w:p w14:paraId="5ACAF587">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lang w:eastAsia="zh-CN"/>
              </w:rPr>
            </w:pPr>
            <w:r>
              <w:rPr>
                <w:rFonts w:hint="default" w:ascii="Times New Roman" w:hAnsi="Times New Roman" w:eastAsia="宋体" w:cs="Times New Roman"/>
                <w:snapToGrid w:val="0"/>
                <w:color w:val="auto"/>
                <w:kern w:val="21"/>
                <w:szCs w:val="21"/>
                <w:lang w:eastAsia="zh-CN"/>
              </w:rPr>
              <w:t>颗粒物</w:t>
            </w:r>
          </w:p>
        </w:tc>
        <w:tc>
          <w:tcPr>
            <w:tcW w:w="1701" w:type="dxa"/>
            <w:noWrap w:val="0"/>
            <w:vAlign w:val="center"/>
          </w:tcPr>
          <w:p w14:paraId="25C313AB">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0.71</w:t>
            </w:r>
          </w:p>
        </w:tc>
        <w:tc>
          <w:tcPr>
            <w:tcW w:w="1276" w:type="dxa"/>
            <w:noWrap w:val="0"/>
            <w:vAlign w:val="center"/>
          </w:tcPr>
          <w:p w14:paraId="0DD02544">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01" w:type="dxa"/>
            <w:noWrap w:val="0"/>
            <w:vAlign w:val="center"/>
          </w:tcPr>
          <w:p w14:paraId="3859D122">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559" w:type="dxa"/>
            <w:noWrap w:val="0"/>
            <w:vAlign w:val="center"/>
          </w:tcPr>
          <w:p w14:paraId="0DC8E693">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lang w:val="en-US"/>
              </w:rPr>
            </w:pPr>
            <w:r>
              <w:rPr>
                <w:rFonts w:hint="eastAsia" w:ascii="Times New Roman" w:cs="Times New Roman"/>
                <w:color w:val="auto"/>
                <w:lang w:val="en-US" w:eastAsia="zh-CN"/>
              </w:rPr>
              <w:t>6.851</w:t>
            </w:r>
          </w:p>
        </w:tc>
        <w:tc>
          <w:tcPr>
            <w:tcW w:w="1761" w:type="dxa"/>
            <w:noWrap w:val="0"/>
            <w:vAlign w:val="center"/>
          </w:tcPr>
          <w:p w14:paraId="2E972FA4">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959" w:type="dxa"/>
            <w:noWrap w:val="0"/>
            <w:vAlign w:val="center"/>
          </w:tcPr>
          <w:p w14:paraId="14EDA500">
            <w:pPr>
              <w:pStyle w:val="44"/>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3.9766</w:t>
            </w:r>
          </w:p>
        </w:tc>
        <w:tc>
          <w:tcPr>
            <w:tcW w:w="826" w:type="dxa"/>
            <w:noWrap w:val="0"/>
            <w:vAlign w:val="center"/>
          </w:tcPr>
          <w:p w14:paraId="5CEC5279">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r>
      <w:tr w14:paraId="7D2FBB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62B6509D">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p>
        </w:tc>
        <w:tc>
          <w:tcPr>
            <w:tcW w:w="1417" w:type="dxa"/>
            <w:noWrap w:val="0"/>
            <w:vAlign w:val="center"/>
          </w:tcPr>
          <w:p w14:paraId="18930A85">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bCs/>
                <w:color w:val="auto"/>
                <w:kern w:val="0"/>
                <w:sz w:val="18"/>
                <w:szCs w:val="18"/>
                <w:lang w:val="en-US" w:eastAsia="zh-CN"/>
              </w:rPr>
              <w:t>VOCs</w:t>
            </w:r>
          </w:p>
        </w:tc>
        <w:tc>
          <w:tcPr>
            <w:tcW w:w="1701" w:type="dxa"/>
            <w:noWrap w:val="0"/>
            <w:vAlign w:val="center"/>
          </w:tcPr>
          <w:p w14:paraId="007A393B">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0.024</w:t>
            </w:r>
          </w:p>
        </w:tc>
        <w:tc>
          <w:tcPr>
            <w:tcW w:w="1276" w:type="dxa"/>
            <w:noWrap w:val="0"/>
            <w:vAlign w:val="center"/>
          </w:tcPr>
          <w:p w14:paraId="7F6DEADE">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01" w:type="dxa"/>
            <w:noWrap w:val="0"/>
            <w:vAlign w:val="center"/>
          </w:tcPr>
          <w:p w14:paraId="600F1DA7">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559" w:type="dxa"/>
            <w:noWrap w:val="0"/>
            <w:vAlign w:val="center"/>
          </w:tcPr>
          <w:p w14:paraId="7979D928">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0.127</w:t>
            </w:r>
          </w:p>
        </w:tc>
        <w:tc>
          <w:tcPr>
            <w:tcW w:w="1761" w:type="dxa"/>
            <w:noWrap w:val="0"/>
            <w:vAlign w:val="center"/>
          </w:tcPr>
          <w:p w14:paraId="0C7A3B14">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959" w:type="dxa"/>
            <w:noWrap w:val="0"/>
            <w:vAlign w:val="center"/>
          </w:tcPr>
          <w:p w14:paraId="07E2504D">
            <w:pPr>
              <w:pStyle w:val="44"/>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0.168</w:t>
            </w:r>
          </w:p>
        </w:tc>
        <w:tc>
          <w:tcPr>
            <w:tcW w:w="826" w:type="dxa"/>
            <w:noWrap w:val="0"/>
            <w:vAlign w:val="center"/>
          </w:tcPr>
          <w:p w14:paraId="7154E204">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r>
      <w:tr w14:paraId="1B51F3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67F9A996">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p>
        </w:tc>
        <w:tc>
          <w:tcPr>
            <w:tcW w:w="1417" w:type="dxa"/>
            <w:noWrap w:val="0"/>
            <w:vAlign w:val="center"/>
          </w:tcPr>
          <w:p w14:paraId="37E3BCF9">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bCs/>
                <w:color w:val="auto"/>
                <w:kern w:val="0"/>
                <w:sz w:val="18"/>
                <w:szCs w:val="18"/>
                <w:lang w:val="en-US" w:eastAsia="zh-CN"/>
              </w:rPr>
            </w:pPr>
            <w:r>
              <w:rPr>
                <w:rFonts w:hint="eastAsia" w:ascii="Times New Roman" w:cs="Times New Roman"/>
                <w:bCs/>
                <w:color w:val="auto"/>
                <w:kern w:val="0"/>
                <w:sz w:val="18"/>
                <w:szCs w:val="18"/>
                <w:lang w:val="en-US" w:eastAsia="zh-CN"/>
              </w:rPr>
              <w:t>氨</w:t>
            </w:r>
          </w:p>
        </w:tc>
        <w:tc>
          <w:tcPr>
            <w:tcW w:w="1701" w:type="dxa"/>
            <w:noWrap w:val="0"/>
            <w:vAlign w:val="center"/>
          </w:tcPr>
          <w:p w14:paraId="453B489B">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0.14</w:t>
            </w:r>
          </w:p>
        </w:tc>
        <w:tc>
          <w:tcPr>
            <w:tcW w:w="1276" w:type="dxa"/>
            <w:noWrap w:val="0"/>
            <w:vAlign w:val="center"/>
          </w:tcPr>
          <w:p w14:paraId="7C5D9999">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p>
        </w:tc>
        <w:tc>
          <w:tcPr>
            <w:tcW w:w="1701" w:type="dxa"/>
            <w:noWrap w:val="0"/>
            <w:vAlign w:val="center"/>
          </w:tcPr>
          <w:p w14:paraId="684F3E8D">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p>
        </w:tc>
        <w:tc>
          <w:tcPr>
            <w:tcW w:w="1559" w:type="dxa"/>
            <w:noWrap w:val="0"/>
            <w:vAlign w:val="center"/>
          </w:tcPr>
          <w:p w14:paraId="4EEC978B">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0.175</w:t>
            </w:r>
          </w:p>
        </w:tc>
        <w:tc>
          <w:tcPr>
            <w:tcW w:w="1761" w:type="dxa"/>
            <w:noWrap w:val="0"/>
            <w:vAlign w:val="center"/>
          </w:tcPr>
          <w:p w14:paraId="2A6C82D7">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p>
        </w:tc>
        <w:tc>
          <w:tcPr>
            <w:tcW w:w="1959" w:type="dxa"/>
            <w:noWrap w:val="0"/>
            <w:vAlign w:val="center"/>
          </w:tcPr>
          <w:p w14:paraId="42BAAF7A">
            <w:pPr>
              <w:pStyle w:val="44"/>
              <w:keepNext w:val="0"/>
              <w:keepLines w:val="0"/>
              <w:suppressLineNumbers w:val="0"/>
              <w:spacing w:before="0" w:beforeLines="0" w:beforeAutospacing="0" w:after="0" w:afterLines="0" w:afterAutospacing="0" w:line="240" w:lineRule="auto"/>
              <w:ind w:left="0" w:leftChars="0" w:right="0" w:rightChars="0"/>
              <w:rPr>
                <w:rFonts w:hint="default" w:ascii="Times New Roman" w:hAnsi="Times New Roman" w:eastAsia="宋体" w:cs="Times New Roman"/>
                <w:color w:val="auto"/>
                <w:lang w:val="en-US" w:eastAsia="zh-CN"/>
              </w:rPr>
            </w:pPr>
            <w:r>
              <w:rPr>
                <w:rFonts w:hint="eastAsia" w:ascii="Times New Roman" w:cs="Times New Roman"/>
                <w:color w:val="auto"/>
                <w:lang w:val="en-US" w:eastAsia="zh-CN"/>
              </w:rPr>
              <w:t>0.175</w:t>
            </w:r>
          </w:p>
        </w:tc>
        <w:tc>
          <w:tcPr>
            <w:tcW w:w="826" w:type="dxa"/>
            <w:noWrap w:val="0"/>
            <w:vAlign w:val="center"/>
          </w:tcPr>
          <w:p w14:paraId="60E3BF1E">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r>
      <w:tr w14:paraId="597156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588" w:type="dxa"/>
            <w:vMerge w:val="restart"/>
            <w:noWrap w:val="0"/>
            <w:vAlign w:val="center"/>
          </w:tcPr>
          <w:p w14:paraId="4FBE03E9">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废水</w:t>
            </w:r>
          </w:p>
        </w:tc>
        <w:tc>
          <w:tcPr>
            <w:tcW w:w="1417" w:type="dxa"/>
            <w:noWrap w:val="0"/>
            <w:vAlign w:val="center"/>
          </w:tcPr>
          <w:p w14:paraId="5FF67E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color w:val="auto"/>
                <w:sz w:val="21"/>
                <w:szCs w:val="21"/>
                <w:highlight w:val="none"/>
                <w:lang w:val="en-US" w:eastAsia="zh-CN"/>
              </w:rPr>
              <w:t>COD</w:t>
            </w:r>
          </w:p>
        </w:tc>
        <w:tc>
          <w:tcPr>
            <w:tcW w:w="1701" w:type="dxa"/>
            <w:noWrap w:val="0"/>
            <w:vAlign w:val="center"/>
          </w:tcPr>
          <w:p w14:paraId="24F8066F">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276" w:type="dxa"/>
            <w:noWrap w:val="0"/>
            <w:vAlign w:val="center"/>
          </w:tcPr>
          <w:p w14:paraId="7E8408AE">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701" w:type="dxa"/>
            <w:noWrap w:val="0"/>
            <w:vAlign w:val="center"/>
          </w:tcPr>
          <w:p w14:paraId="51C7F185">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559" w:type="dxa"/>
            <w:noWrap w:val="0"/>
            <w:vAlign w:val="center"/>
          </w:tcPr>
          <w:p w14:paraId="358D76D0">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761" w:type="dxa"/>
            <w:noWrap w:val="0"/>
            <w:vAlign w:val="center"/>
          </w:tcPr>
          <w:p w14:paraId="57BF7555">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959" w:type="dxa"/>
            <w:noWrap w:val="0"/>
            <w:vAlign w:val="center"/>
          </w:tcPr>
          <w:p w14:paraId="2987BB7B">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826" w:type="dxa"/>
            <w:noWrap w:val="0"/>
            <w:vAlign w:val="center"/>
          </w:tcPr>
          <w:p w14:paraId="6F100B65">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r>
      <w:tr w14:paraId="34AE83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588" w:type="dxa"/>
            <w:vMerge w:val="continue"/>
            <w:noWrap w:val="0"/>
            <w:vAlign w:val="center"/>
          </w:tcPr>
          <w:p w14:paraId="7EBB16AD">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p>
        </w:tc>
        <w:tc>
          <w:tcPr>
            <w:tcW w:w="1417" w:type="dxa"/>
            <w:noWrap w:val="0"/>
            <w:vAlign w:val="center"/>
          </w:tcPr>
          <w:p w14:paraId="7D2FC8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color w:val="auto"/>
                <w:sz w:val="21"/>
                <w:szCs w:val="21"/>
                <w:highlight w:val="none"/>
                <w:lang w:val="en-US" w:eastAsia="zh-CN"/>
              </w:rPr>
              <w:t>氨氮</w:t>
            </w:r>
          </w:p>
        </w:tc>
        <w:tc>
          <w:tcPr>
            <w:tcW w:w="1701" w:type="dxa"/>
            <w:noWrap w:val="0"/>
            <w:vAlign w:val="center"/>
          </w:tcPr>
          <w:p w14:paraId="4EC94A90">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276" w:type="dxa"/>
            <w:noWrap w:val="0"/>
            <w:vAlign w:val="center"/>
          </w:tcPr>
          <w:p w14:paraId="31547FF3">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01" w:type="dxa"/>
            <w:noWrap w:val="0"/>
            <w:vAlign w:val="center"/>
          </w:tcPr>
          <w:p w14:paraId="75B8B6E2">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559" w:type="dxa"/>
            <w:noWrap w:val="0"/>
            <w:vAlign w:val="center"/>
          </w:tcPr>
          <w:p w14:paraId="3CCF26AA">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61" w:type="dxa"/>
            <w:noWrap w:val="0"/>
            <w:vAlign w:val="center"/>
          </w:tcPr>
          <w:p w14:paraId="590D36B0">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959" w:type="dxa"/>
            <w:noWrap w:val="0"/>
            <w:vAlign w:val="center"/>
          </w:tcPr>
          <w:p w14:paraId="7B563ADA">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826" w:type="dxa"/>
            <w:noWrap w:val="0"/>
            <w:vAlign w:val="center"/>
          </w:tcPr>
          <w:p w14:paraId="0AFEAC8E">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r>
      <w:tr w14:paraId="5F717A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7FAF3629">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一般工业</w:t>
            </w:r>
          </w:p>
          <w:p w14:paraId="13BB7DF7">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固体废物</w:t>
            </w:r>
          </w:p>
        </w:tc>
        <w:tc>
          <w:tcPr>
            <w:tcW w:w="1417" w:type="dxa"/>
            <w:noWrap w:val="0"/>
            <w:vAlign w:val="center"/>
          </w:tcPr>
          <w:p w14:paraId="0492B93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Cs w:val="21"/>
                <w:lang w:val="en-US" w:eastAsia="zh-CN"/>
              </w:rPr>
            </w:pPr>
            <w:r>
              <w:rPr>
                <w:rFonts w:hint="default"/>
                <w:color w:val="auto"/>
                <w:sz w:val="21"/>
              </w:rPr>
              <w:t>水过滤材料、废抹布</w:t>
            </w:r>
          </w:p>
        </w:tc>
        <w:tc>
          <w:tcPr>
            <w:tcW w:w="1701" w:type="dxa"/>
            <w:noWrap w:val="0"/>
            <w:vAlign w:val="center"/>
          </w:tcPr>
          <w:p w14:paraId="536D471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Cs w:val="21"/>
                <w:lang w:val="en-US" w:eastAsia="zh-CN"/>
              </w:rPr>
            </w:pPr>
            <w:r>
              <w:rPr>
                <w:rFonts w:hint="default" w:ascii="Times New Roman"/>
                <w:color w:val="auto"/>
                <w:sz w:val="21"/>
              </w:rPr>
              <w:t>2.2</w:t>
            </w:r>
          </w:p>
        </w:tc>
        <w:tc>
          <w:tcPr>
            <w:tcW w:w="1276" w:type="dxa"/>
            <w:noWrap w:val="0"/>
            <w:vAlign w:val="center"/>
          </w:tcPr>
          <w:p w14:paraId="178FB85D">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01" w:type="dxa"/>
            <w:noWrap w:val="0"/>
            <w:vAlign w:val="center"/>
          </w:tcPr>
          <w:p w14:paraId="59E617A9">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559" w:type="dxa"/>
            <w:noWrap w:val="0"/>
            <w:vAlign w:val="center"/>
          </w:tcPr>
          <w:p w14:paraId="49947ED9">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2.5</w:t>
            </w:r>
          </w:p>
        </w:tc>
        <w:tc>
          <w:tcPr>
            <w:tcW w:w="1761" w:type="dxa"/>
            <w:noWrap w:val="0"/>
            <w:vAlign w:val="center"/>
          </w:tcPr>
          <w:p w14:paraId="19C33DA8">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959" w:type="dxa"/>
            <w:noWrap w:val="0"/>
            <w:vAlign w:val="center"/>
          </w:tcPr>
          <w:p w14:paraId="57A73C27">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2.5</w:t>
            </w:r>
          </w:p>
        </w:tc>
        <w:tc>
          <w:tcPr>
            <w:tcW w:w="826" w:type="dxa"/>
            <w:noWrap w:val="0"/>
            <w:vAlign w:val="center"/>
          </w:tcPr>
          <w:p w14:paraId="600221DB">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r>
      <w:tr w14:paraId="5D918C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0967CB14">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p>
        </w:tc>
        <w:tc>
          <w:tcPr>
            <w:tcW w:w="1417" w:type="dxa"/>
            <w:noWrap w:val="0"/>
            <w:vAlign w:val="center"/>
          </w:tcPr>
          <w:p w14:paraId="74CD9BD5">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napToGrid w:val="0"/>
                <w:color w:val="auto"/>
                <w:kern w:val="21"/>
                <w:szCs w:val="21"/>
                <w:lang w:val="en-US" w:eastAsia="zh-CN"/>
              </w:rPr>
            </w:pPr>
            <w:r>
              <w:rPr>
                <w:rFonts w:hint="eastAsia"/>
                <w:color w:val="auto"/>
                <w:sz w:val="21"/>
                <w:lang w:eastAsia="zh-CN"/>
              </w:rPr>
              <w:t>除尘器粉尘</w:t>
            </w:r>
          </w:p>
        </w:tc>
        <w:tc>
          <w:tcPr>
            <w:tcW w:w="1701" w:type="dxa"/>
            <w:noWrap w:val="0"/>
            <w:vAlign w:val="center"/>
          </w:tcPr>
          <w:p w14:paraId="0F6AB147">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Cs w:val="21"/>
              </w:rPr>
            </w:pPr>
            <w:r>
              <w:rPr>
                <w:rFonts w:hint="eastAsia" w:ascii="Times New Roman"/>
                <w:color w:val="auto"/>
                <w:sz w:val="21"/>
                <w:lang w:val="en-US" w:eastAsia="zh-CN"/>
              </w:rPr>
              <w:t>4.6</w:t>
            </w:r>
            <w:r>
              <w:rPr>
                <w:rFonts w:hint="default" w:ascii="Times New Roman"/>
                <w:color w:val="auto"/>
                <w:sz w:val="21"/>
              </w:rPr>
              <w:t xml:space="preserve"> </w:t>
            </w:r>
          </w:p>
        </w:tc>
        <w:tc>
          <w:tcPr>
            <w:tcW w:w="1276" w:type="dxa"/>
            <w:noWrap w:val="0"/>
            <w:vAlign w:val="center"/>
          </w:tcPr>
          <w:p w14:paraId="7D7B66A9">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701" w:type="dxa"/>
            <w:noWrap w:val="0"/>
            <w:vAlign w:val="center"/>
          </w:tcPr>
          <w:p w14:paraId="39DAF460">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559" w:type="dxa"/>
            <w:noWrap w:val="0"/>
            <w:vAlign w:val="center"/>
          </w:tcPr>
          <w:p w14:paraId="347D848E">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rPr>
            </w:pPr>
            <w:r>
              <w:rPr>
                <w:rFonts w:hint="eastAsia" w:cs="Times New Roman"/>
                <w:snapToGrid w:val="0"/>
                <w:color w:val="auto"/>
                <w:kern w:val="21"/>
                <w:szCs w:val="21"/>
                <w:lang w:val="en-US" w:eastAsia="zh-CN"/>
              </w:rPr>
              <w:t>500.38</w:t>
            </w:r>
          </w:p>
        </w:tc>
        <w:tc>
          <w:tcPr>
            <w:tcW w:w="1761" w:type="dxa"/>
            <w:noWrap w:val="0"/>
            <w:vAlign w:val="center"/>
          </w:tcPr>
          <w:p w14:paraId="467A740A">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959" w:type="dxa"/>
            <w:noWrap w:val="0"/>
            <w:vAlign w:val="center"/>
          </w:tcPr>
          <w:p w14:paraId="7BF23DAF">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Cs w:val="21"/>
                <w:lang w:val="en-US"/>
              </w:rPr>
            </w:pPr>
            <w:r>
              <w:rPr>
                <w:rFonts w:hint="eastAsia" w:cs="Times New Roman"/>
                <w:snapToGrid w:val="0"/>
                <w:color w:val="auto"/>
                <w:kern w:val="21"/>
                <w:szCs w:val="21"/>
                <w:lang w:val="en-US" w:eastAsia="zh-CN"/>
              </w:rPr>
              <w:t>500.38</w:t>
            </w:r>
          </w:p>
        </w:tc>
        <w:tc>
          <w:tcPr>
            <w:tcW w:w="826" w:type="dxa"/>
            <w:noWrap w:val="0"/>
            <w:vAlign w:val="center"/>
          </w:tcPr>
          <w:p w14:paraId="47B44AAB">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rPr>
            </w:pPr>
            <w:r>
              <w:rPr>
                <w:rFonts w:hint="default" w:ascii="Times New Roman" w:hAnsi="Times New Roman" w:eastAsia="宋体" w:cs="Times New Roman"/>
                <w:snapToGrid w:val="0"/>
                <w:color w:val="auto"/>
                <w:kern w:val="21"/>
                <w:szCs w:val="21"/>
                <w:lang w:val="en-US" w:eastAsia="zh-CN"/>
              </w:rPr>
              <w:t>/</w:t>
            </w:r>
          </w:p>
        </w:tc>
      </w:tr>
      <w:tr w14:paraId="6B67A9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38481DB0">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p>
        </w:tc>
        <w:tc>
          <w:tcPr>
            <w:tcW w:w="1417" w:type="dxa"/>
            <w:noWrap w:val="0"/>
            <w:vAlign w:val="center"/>
          </w:tcPr>
          <w:p w14:paraId="55FDDF3F">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Cs w:val="21"/>
                <w:lang w:val="en-US" w:eastAsia="zh-CN"/>
              </w:rPr>
            </w:pPr>
            <w:r>
              <w:rPr>
                <w:rFonts w:hint="eastAsia"/>
                <w:color w:val="auto"/>
                <w:sz w:val="21"/>
                <w:lang w:eastAsia="zh-CN"/>
              </w:rPr>
              <w:t>废包装材料</w:t>
            </w:r>
          </w:p>
        </w:tc>
        <w:tc>
          <w:tcPr>
            <w:tcW w:w="1701" w:type="dxa"/>
            <w:noWrap w:val="0"/>
            <w:vAlign w:val="center"/>
          </w:tcPr>
          <w:p w14:paraId="1A14991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Cs w:val="21"/>
                <w:lang w:val="en-US" w:eastAsia="zh-CN"/>
              </w:rPr>
            </w:pPr>
            <w:r>
              <w:rPr>
                <w:rFonts w:hint="default" w:ascii="Times New Roman" w:eastAsia="Times New Roman"/>
                <w:color w:val="auto"/>
                <w:sz w:val="21"/>
              </w:rPr>
              <w:t xml:space="preserve">6000 </w:t>
            </w:r>
            <w:r>
              <w:rPr>
                <w:rFonts w:hint="default"/>
                <w:color w:val="auto"/>
                <w:sz w:val="21"/>
              </w:rPr>
              <w:t>条</w:t>
            </w:r>
            <w:r>
              <w:rPr>
                <w:rFonts w:hint="default" w:ascii="Times New Roman" w:eastAsia="Times New Roman"/>
                <w:color w:val="auto"/>
                <w:sz w:val="21"/>
              </w:rPr>
              <w:t>/a</w:t>
            </w:r>
          </w:p>
        </w:tc>
        <w:tc>
          <w:tcPr>
            <w:tcW w:w="1276" w:type="dxa"/>
            <w:noWrap w:val="0"/>
            <w:vAlign w:val="center"/>
          </w:tcPr>
          <w:p w14:paraId="679D6966">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01" w:type="dxa"/>
            <w:noWrap w:val="0"/>
            <w:vAlign w:val="center"/>
          </w:tcPr>
          <w:p w14:paraId="21265F2B">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559" w:type="dxa"/>
            <w:noWrap w:val="0"/>
            <w:vAlign w:val="center"/>
          </w:tcPr>
          <w:p w14:paraId="4A3C0B9E">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1</w:t>
            </w:r>
          </w:p>
        </w:tc>
        <w:tc>
          <w:tcPr>
            <w:tcW w:w="1761" w:type="dxa"/>
            <w:noWrap w:val="0"/>
            <w:vAlign w:val="center"/>
          </w:tcPr>
          <w:p w14:paraId="2994F6BE">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959" w:type="dxa"/>
            <w:noWrap w:val="0"/>
            <w:vAlign w:val="center"/>
          </w:tcPr>
          <w:p w14:paraId="168172C1">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1</w:t>
            </w:r>
          </w:p>
        </w:tc>
        <w:tc>
          <w:tcPr>
            <w:tcW w:w="826" w:type="dxa"/>
            <w:noWrap w:val="0"/>
            <w:vAlign w:val="center"/>
          </w:tcPr>
          <w:p w14:paraId="02BA5387">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r>
      <w:tr w14:paraId="7C53B3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78118F0D">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p>
        </w:tc>
        <w:tc>
          <w:tcPr>
            <w:tcW w:w="1417" w:type="dxa"/>
            <w:noWrap w:val="0"/>
            <w:vAlign w:val="center"/>
          </w:tcPr>
          <w:p w14:paraId="3E3553C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Cs w:val="21"/>
                <w:lang w:val="en-US" w:eastAsia="zh-CN"/>
              </w:rPr>
            </w:pPr>
            <w:r>
              <w:rPr>
                <w:rFonts w:hint="default"/>
                <w:color w:val="auto"/>
                <w:sz w:val="21"/>
              </w:rPr>
              <w:t>污水处理系统污</w:t>
            </w:r>
            <w:r>
              <w:rPr>
                <w:rFonts w:hint="default"/>
                <w:color w:val="auto"/>
                <w:w w:val="100"/>
                <w:sz w:val="21"/>
              </w:rPr>
              <w:t>泥</w:t>
            </w:r>
          </w:p>
        </w:tc>
        <w:tc>
          <w:tcPr>
            <w:tcW w:w="1701" w:type="dxa"/>
            <w:noWrap w:val="0"/>
            <w:vAlign w:val="center"/>
          </w:tcPr>
          <w:p w14:paraId="342D9E7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Cs w:val="21"/>
                <w:lang w:val="en-US" w:eastAsia="zh-CN"/>
              </w:rPr>
            </w:pPr>
            <w:r>
              <w:rPr>
                <w:rFonts w:hint="eastAsia"/>
                <w:color w:val="auto"/>
                <w:szCs w:val="21"/>
                <w:lang w:val="en-US" w:eastAsia="zh-CN"/>
              </w:rPr>
              <w:t>5.4</w:t>
            </w:r>
          </w:p>
        </w:tc>
        <w:tc>
          <w:tcPr>
            <w:tcW w:w="1276" w:type="dxa"/>
            <w:noWrap w:val="0"/>
            <w:vAlign w:val="center"/>
          </w:tcPr>
          <w:p w14:paraId="03533871">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01" w:type="dxa"/>
            <w:noWrap w:val="0"/>
            <w:vAlign w:val="center"/>
          </w:tcPr>
          <w:p w14:paraId="4BE4CE94">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559" w:type="dxa"/>
            <w:noWrap w:val="0"/>
            <w:vAlign w:val="center"/>
          </w:tcPr>
          <w:p w14:paraId="750BA2B2">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12</w:t>
            </w:r>
          </w:p>
        </w:tc>
        <w:tc>
          <w:tcPr>
            <w:tcW w:w="1761" w:type="dxa"/>
            <w:noWrap w:val="0"/>
            <w:vAlign w:val="center"/>
          </w:tcPr>
          <w:p w14:paraId="5C5E1EFA">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959" w:type="dxa"/>
            <w:noWrap w:val="0"/>
            <w:vAlign w:val="center"/>
          </w:tcPr>
          <w:p w14:paraId="6267877F">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12</w:t>
            </w:r>
          </w:p>
        </w:tc>
        <w:tc>
          <w:tcPr>
            <w:tcW w:w="826" w:type="dxa"/>
            <w:noWrap w:val="0"/>
            <w:vAlign w:val="center"/>
          </w:tcPr>
          <w:p w14:paraId="78D8EAFC">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r>
      <w:tr w14:paraId="61FDCE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588" w:type="dxa"/>
            <w:vMerge w:val="restart"/>
            <w:noWrap w:val="0"/>
            <w:vAlign w:val="center"/>
          </w:tcPr>
          <w:p w14:paraId="2AE28277">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危险废物</w:t>
            </w:r>
          </w:p>
        </w:tc>
        <w:tc>
          <w:tcPr>
            <w:tcW w:w="1417" w:type="dxa"/>
            <w:noWrap w:val="0"/>
            <w:vAlign w:val="center"/>
          </w:tcPr>
          <w:p w14:paraId="313584FC">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废</w:t>
            </w:r>
            <w:r>
              <w:rPr>
                <w:rFonts w:hint="eastAsia" w:cs="Times New Roman"/>
                <w:snapToGrid w:val="0"/>
                <w:color w:val="auto"/>
                <w:kern w:val="21"/>
                <w:szCs w:val="21"/>
                <w:lang w:val="en-US" w:eastAsia="zh-CN"/>
              </w:rPr>
              <w:t>矿物油</w:t>
            </w:r>
          </w:p>
        </w:tc>
        <w:tc>
          <w:tcPr>
            <w:tcW w:w="1701" w:type="dxa"/>
            <w:noWrap w:val="0"/>
            <w:vAlign w:val="center"/>
          </w:tcPr>
          <w:p w14:paraId="5187BAA4">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rPr>
            </w:pPr>
            <w:r>
              <w:rPr>
                <w:rFonts w:hint="eastAsia" w:cs="Times New Roman"/>
                <w:snapToGrid w:val="0"/>
                <w:color w:val="auto"/>
                <w:kern w:val="21"/>
                <w:szCs w:val="21"/>
                <w:lang w:val="en-US" w:eastAsia="zh-CN"/>
              </w:rPr>
              <w:t>0.5</w:t>
            </w:r>
          </w:p>
        </w:tc>
        <w:tc>
          <w:tcPr>
            <w:tcW w:w="1276" w:type="dxa"/>
            <w:noWrap w:val="0"/>
            <w:vAlign w:val="center"/>
          </w:tcPr>
          <w:p w14:paraId="0FC43E7D">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701" w:type="dxa"/>
            <w:noWrap w:val="0"/>
            <w:vAlign w:val="center"/>
          </w:tcPr>
          <w:p w14:paraId="73F46EAD">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559" w:type="dxa"/>
            <w:noWrap w:val="0"/>
            <w:vAlign w:val="center"/>
          </w:tcPr>
          <w:p w14:paraId="3D69C23F">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rPr>
            </w:pPr>
            <w:r>
              <w:rPr>
                <w:rFonts w:hint="default" w:ascii="Times New Roman" w:hAnsi="Times New Roman" w:eastAsia="宋体" w:cs="Times New Roman"/>
                <w:snapToGrid w:val="0"/>
                <w:color w:val="auto"/>
                <w:kern w:val="21"/>
                <w:szCs w:val="21"/>
                <w:lang w:val="en-US" w:eastAsia="zh-CN"/>
              </w:rPr>
              <w:t>0.5</w:t>
            </w:r>
          </w:p>
        </w:tc>
        <w:tc>
          <w:tcPr>
            <w:tcW w:w="1761" w:type="dxa"/>
            <w:noWrap w:val="0"/>
            <w:vAlign w:val="center"/>
          </w:tcPr>
          <w:p w14:paraId="0BA3E3AD">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959" w:type="dxa"/>
            <w:noWrap w:val="0"/>
            <w:vAlign w:val="center"/>
          </w:tcPr>
          <w:p w14:paraId="11F85B8D">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0.5</w:t>
            </w:r>
          </w:p>
        </w:tc>
        <w:tc>
          <w:tcPr>
            <w:tcW w:w="826" w:type="dxa"/>
            <w:noWrap w:val="0"/>
            <w:vAlign w:val="center"/>
          </w:tcPr>
          <w:p w14:paraId="7D1EC00C">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r>
      <w:tr w14:paraId="7B314A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588" w:type="dxa"/>
            <w:vMerge w:val="continue"/>
            <w:noWrap w:val="0"/>
            <w:vAlign w:val="center"/>
          </w:tcPr>
          <w:p w14:paraId="5E82B231">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p>
        </w:tc>
        <w:tc>
          <w:tcPr>
            <w:tcW w:w="1417" w:type="dxa"/>
            <w:noWrap w:val="0"/>
            <w:vAlign w:val="center"/>
          </w:tcPr>
          <w:p w14:paraId="654E2882">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废活性炭</w:t>
            </w:r>
          </w:p>
        </w:tc>
        <w:tc>
          <w:tcPr>
            <w:tcW w:w="1701" w:type="dxa"/>
            <w:noWrap w:val="0"/>
            <w:vAlign w:val="center"/>
          </w:tcPr>
          <w:p w14:paraId="206F0FE1">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276" w:type="dxa"/>
            <w:noWrap w:val="0"/>
            <w:vAlign w:val="center"/>
          </w:tcPr>
          <w:p w14:paraId="576E0D26">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01" w:type="dxa"/>
            <w:noWrap w:val="0"/>
            <w:vAlign w:val="center"/>
          </w:tcPr>
          <w:p w14:paraId="2AF9996C">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559" w:type="dxa"/>
            <w:noWrap w:val="0"/>
            <w:vAlign w:val="center"/>
          </w:tcPr>
          <w:p w14:paraId="6780A01E">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14.2</w:t>
            </w:r>
          </w:p>
        </w:tc>
        <w:tc>
          <w:tcPr>
            <w:tcW w:w="1761" w:type="dxa"/>
            <w:noWrap w:val="0"/>
            <w:vAlign w:val="center"/>
          </w:tcPr>
          <w:p w14:paraId="1A60661B">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959" w:type="dxa"/>
            <w:noWrap w:val="0"/>
            <w:vAlign w:val="center"/>
          </w:tcPr>
          <w:p w14:paraId="66A62D1C">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14.2</w:t>
            </w:r>
          </w:p>
        </w:tc>
        <w:tc>
          <w:tcPr>
            <w:tcW w:w="826" w:type="dxa"/>
            <w:noWrap w:val="0"/>
            <w:vAlign w:val="center"/>
          </w:tcPr>
          <w:p w14:paraId="228B58A4">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r>
      <w:tr w14:paraId="3B186E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588" w:type="dxa"/>
            <w:vMerge w:val="continue"/>
            <w:noWrap w:val="0"/>
            <w:vAlign w:val="center"/>
          </w:tcPr>
          <w:p w14:paraId="0D665952">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p>
        </w:tc>
        <w:tc>
          <w:tcPr>
            <w:tcW w:w="1417" w:type="dxa"/>
            <w:noWrap w:val="0"/>
            <w:vAlign w:val="center"/>
          </w:tcPr>
          <w:p w14:paraId="754EC737">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废UV灯管</w:t>
            </w:r>
          </w:p>
        </w:tc>
        <w:tc>
          <w:tcPr>
            <w:tcW w:w="1701" w:type="dxa"/>
            <w:noWrap w:val="0"/>
            <w:vAlign w:val="center"/>
          </w:tcPr>
          <w:p w14:paraId="177126F5">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w:t>
            </w:r>
          </w:p>
        </w:tc>
        <w:tc>
          <w:tcPr>
            <w:tcW w:w="1276" w:type="dxa"/>
            <w:noWrap w:val="0"/>
            <w:vAlign w:val="center"/>
          </w:tcPr>
          <w:p w14:paraId="3B376848">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01" w:type="dxa"/>
            <w:noWrap w:val="0"/>
            <w:vAlign w:val="center"/>
          </w:tcPr>
          <w:p w14:paraId="369B093A">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559" w:type="dxa"/>
            <w:noWrap w:val="0"/>
            <w:vAlign w:val="center"/>
          </w:tcPr>
          <w:p w14:paraId="0558D545">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0.08</w:t>
            </w:r>
          </w:p>
        </w:tc>
        <w:tc>
          <w:tcPr>
            <w:tcW w:w="1761" w:type="dxa"/>
            <w:noWrap w:val="0"/>
            <w:vAlign w:val="center"/>
          </w:tcPr>
          <w:p w14:paraId="3ACD13A1">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959" w:type="dxa"/>
            <w:noWrap w:val="0"/>
            <w:vAlign w:val="center"/>
          </w:tcPr>
          <w:p w14:paraId="2D1D2FBE">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0.08</w:t>
            </w:r>
          </w:p>
        </w:tc>
        <w:tc>
          <w:tcPr>
            <w:tcW w:w="826" w:type="dxa"/>
            <w:noWrap w:val="0"/>
            <w:vAlign w:val="center"/>
          </w:tcPr>
          <w:p w14:paraId="69F4C70D">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r>
      <w:tr w14:paraId="104122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588" w:type="dxa"/>
            <w:vMerge w:val="continue"/>
            <w:noWrap w:val="0"/>
            <w:vAlign w:val="center"/>
          </w:tcPr>
          <w:p w14:paraId="6F15EFD2">
            <w:pPr>
              <w:pStyle w:val="4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rPr>
            </w:pPr>
          </w:p>
        </w:tc>
        <w:tc>
          <w:tcPr>
            <w:tcW w:w="1417" w:type="dxa"/>
            <w:noWrap w:val="0"/>
            <w:vAlign w:val="center"/>
          </w:tcPr>
          <w:p w14:paraId="75F99DE5">
            <w:pPr>
              <w:keepNext w:val="0"/>
              <w:keepLines w:val="0"/>
              <w:suppressLineNumbers w:val="0"/>
              <w:spacing w:before="0" w:beforeLines="0" w:beforeAutospacing="0" w:after="0" w:afterLines="0" w:afterAutospacing="0" w:line="240" w:lineRule="auto"/>
              <w:ind w:left="0" w:right="0"/>
              <w:jc w:val="center"/>
              <w:rPr>
                <w:rFonts w:hint="eastAsia" w:cs="Times New Roman"/>
                <w:snapToGrid w:val="0"/>
                <w:color w:val="auto"/>
                <w:kern w:val="21"/>
                <w:szCs w:val="21"/>
                <w:lang w:val="en-US" w:eastAsia="zh-CN"/>
              </w:rPr>
            </w:pPr>
            <w:r>
              <w:rPr>
                <w:rFonts w:hint="eastAsia" w:cs="Times New Roman"/>
                <w:snapToGrid w:val="0"/>
                <w:color w:val="auto"/>
                <w:kern w:val="21"/>
                <w:szCs w:val="21"/>
                <w:lang w:val="en-US" w:eastAsia="zh-CN"/>
              </w:rPr>
              <w:t>沾染有机溶剂的废包装材料</w:t>
            </w:r>
          </w:p>
        </w:tc>
        <w:tc>
          <w:tcPr>
            <w:tcW w:w="1701" w:type="dxa"/>
            <w:noWrap w:val="0"/>
            <w:vAlign w:val="center"/>
          </w:tcPr>
          <w:p w14:paraId="4D8B8063">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0.1</w:t>
            </w:r>
          </w:p>
        </w:tc>
        <w:tc>
          <w:tcPr>
            <w:tcW w:w="1276" w:type="dxa"/>
            <w:noWrap w:val="0"/>
            <w:vAlign w:val="center"/>
          </w:tcPr>
          <w:p w14:paraId="03819A4F">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701" w:type="dxa"/>
            <w:noWrap w:val="0"/>
            <w:vAlign w:val="center"/>
          </w:tcPr>
          <w:p w14:paraId="2610A42D">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559" w:type="dxa"/>
            <w:noWrap w:val="0"/>
            <w:vAlign w:val="center"/>
          </w:tcPr>
          <w:p w14:paraId="7DFEDAA5">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0.2</w:t>
            </w:r>
          </w:p>
        </w:tc>
        <w:tc>
          <w:tcPr>
            <w:tcW w:w="1761" w:type="dxa"/>
            <w:noWrap w:val="0"/>
            <w:vAlign w:val="center"/>
          </w:tcPr>
          <w:p w14:paraId="5DDE6AF8">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959" w:type="dxa"/>
            <w:noWrap w:val="0"/>
            <w:vAlign w:val="center"/>
          </w:tcPr>
          <w:p w14:paraId="0EDE5F53">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0.2</w:t>
            </w:r>
          </w:p>
        </w:tc>
        <w:tc>
          <w:tcPr>
            <w:tcW w:w="826" w:type="dxa"/>
            <w:noWrap w:val="0"/>
            <w:vAlign w:val="center"/>
          </w:tcPr>
          <w:p w14:paraId="60538B7F">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r>
    </w:tbl>
    <w:p w14:paraId="16DFC85A">
      <w:pPr>
        <w:pStyle w:val="44"/>
        <w:spacing w:before="192" w:beforeLines="80" w:after="24"/>
        <w:jc w:val="left"/>
        <w:rPr>
          <w:rFonts w:hint="default" w:ascii="Times New Roman" w:hAnsi="Times New Roman" w:eastAsia="宋体" w:cs="Times New Roman"/>
          <w:color w:val="auto"/>
        </w:rPr>
      </w:pPr>
      <w:r>
        <w:rPr>
          <w:rFonts w:hint="default" w:ascii="Times New Roman" w:hAnsi="Times New Roman" w:eastAsia="宋体" w:cs="Times New Roman"/>
          <w:snapToGrid w:val="0"/>
          <w:color w:val="auto"/>
          <w:kern w:val="21"/>
          <w:szCs w:val="21"/>
        </w:rPr>
        <w:t>注：</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3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4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④</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5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⑤</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7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⑦</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p>
    <w:sectPr>
      <w:footerReference r:id="rId9" w:type="default"/>
      <w:pgSz w:w="16838" w:h="11906" w:orient="landscape"/>
      <w:pgMar w:top="1531" w:right="1701" w:bottom="1531" w:left="1701" w:header="851" w:footer="851"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Wingdings 2">
    <w:altName w:val="Wingdings"/>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CDDF7">
    <w:pPr>
      <w:pStyle w:val="2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33193">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923B4">
    <w:pPr>
      <w:pStyle w:val="22"/>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CB5E1">
    <w:pPr>
      <w:pStyle w:val="22"/>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8730E">
    <w:pPr>
      <w:pStyle w:val="22"/>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-68580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891D89">
                          <w:pPr>
                            <w:pStyle w:val="22"/>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9</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5.4pt;height:144pt;width:144pt;mso-position-horizontal:center;mso-position-horizontal-relative:margin;mso-wrap-style:none;z-index:251660288;mso-width-relative:page;mso-height-relative:page;" filled="f" stroked="f" coordsize="21600,21600" o:gfxdata="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XVUgZ1QAAAAgBAAAPAAAAAAAAAAEAIAAAACIAAABkcnMvZG93bnJldi54bWxQ&#10;SwECFAAUAAAACACHTuJABZb7ejMCAABjBAAADgAAAAAAAAABACAAAAAkAQAAZHJzL2Uyb0RvYy54&#10;bWxQSwUGAAAAAAYABgBZAQAAyQUAAAAA&#10;">
              <v:fill on="f" focussize="0,0"/>
              <v:stroke on="f" weight="0.5pt"/>
              <v:imagedata o:title=""/>
              <o:lock v:ext="edit" aspectratio="f"/>
              <v:textbox inset="0mm,0mm,0mm,0mm" style="mso-fit-shape-to-text:t;">
                <w:txbxContent>
                  <w:p w14:paraId="20891D89">
                    <w:pPr>
                      <w:pStyle w:val="22"/>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9</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BCB81">
    <w:pPr>
      <w:pStyle w:val="22"/>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-68580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C041F3">
                          <w:pPr>
                            <w:pStyle w:val="22"/>
                            <w:jc w:val="both"/>
                          </w:pPr>
                          <w:r>
                            <w:rPr>
                              <w:rFonts w:hint="eastAsia" w:ascii="宋体" w:hAnsi="宋体" w:eastAsia="宋体" w:cs="宋体"/>
                              <w:sz w:val="26"/>
                              <w:szCs w:val="26"/>
                            </w:rPr>
                            <w:t>—</w:t>
                          </w:r>
                          <w:r>
                            <w:rPr>
                              <w:rFonts w:hint="eastAsia" w:ascii="宋体" w:hAnsi="宋体" w:eastAsia="宋体" w:cs="宋体"/>
                              <w:sz w:val="26"/>
                              <w:szCs w:val="26"/>
                              <w:lang w:val="en-US" w:eastAsia="zh-CN"/>
                            </w:rPr>
                            <w:t xml:space="preserve"> </w:t>
                          </w:r>
                          <w:r>
                            <w:rPr>
                              <w:rFonts w:hint="eastAsia" w:ascii="宋体" w:hAnsi="宋体" w:eastAsia="宋体" w:cs="宋体"/>
                              <w:sz w:val="26"/>
                              <w:szCs w:val="26"/>
                            </w:rPr>
                            <w:t xml:space="preserve"> </w:t>
                          </w:r>
                          <w:r>
                            <w:rPr>
                              <w:rFonts w:hint="eastAsia" w:ascii="宋体" w:hAnsi="宋体" w:eastAsia="宋体" w:cs="宋体"/>
                              <w:sz w:val="26"/>
                              <w:szCs w:val="26"/>
                            </w:rPr>
                            <w:fldChar w:fldCharType="begin"/>
                          </w:r>
                          <w:r>
                            <w:rPr>
                              <w:rFonts w:hint="eastAsia" w:ascii="宋体" w:hAnsi="宋体" w:eastAsia="宋体" w:cs="宋体"/>
                              <w:sz w:val="26"/>
                              <w:szCs w:val="26"/>
                            </w:rPr>
                            <w:instrText xml:space="preserve"> PAGE  \* MERGEFORMAT </w:instrText>
                          </w:r>
                          <w:r>
                            <w:rPr>
                              <w:rFonts w:hint="eastAsia" w:ascii="宋体" w:hAnsi="宋体" w:eastAsia="宋体" w:cs="宋体"/>
                              <w:sz w:val="26"/>
                              <w:szCs w:val="26"/>
                            </w:rPr>
                            <w:fldChar w:fldCharType="separate"/>
                          </w:r>
                          <w:r>
                            <w:rPr>
                              <w:rFonts w:hint="eastAsia" w:ascii="宋体" w:hAnsi="宋体" w:eastAsia="宋体" w:cs="宋体"/>
                              <w:sz w:val="26"/>
                              <w:szCs w:val="26"/>
                            </w:rPr>
                            <w:t>84</w:t>
                          </w:r>
                          <w:r>
                            <w:rPr>
                              <w:rFonts w:hint="eastAsia" w:ascii="宋体" w:hAnsi="宋体" w:eastAsia="宋体" w:cs="宋体"/>
                              <w:sz w:val="26"/>
                              <w:szCs w:val="26"/>
                            </w:rPr>
                            <w:fldChar w:fldCharType="end"/>
                          </w:r>
                          <w:r>
                            <w:rPr>
                              <w:rFonts w:hint="eastAsia" w:ascii="宋体" w:hAnsi="宋体" w:eastAsia="宋体" w:cs="宋体"/>
                              <w:sz w:val="26"/>
                              <w:szCs w:val="26"/>
                              <w:lang w:val="en-US" w:eastAsia="zh-CN"/>
                            </w:rPr>
                            <w:t xml:space="preserve"> </w:t>
                          </w:r>
                          <w:r>
                            <w:rPr>
                              <w:rFonts w:hint="eastAsia" w:ascii="宋体" w:hAnsi="宋体" w:eastAsia="宋体" w:cs="宋体"/>
                              <w:sz w:val="26"/>
                              <w:szCs w:val="26"/>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5.4pt;height:144pt;width:144pt;mso-position-horizontal:center;mso-position-horizontal-relative:margin;mso-wrap-style:none;z-index:251659264;mso-width-relative:page;mso-height-relative:page;" filled="f" stroked="f" coordsize="21600,21600" o:gfxdata="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1VIGdUAAAAIAQAADwAAAAAAAAABACAAAAAiAAAAZHJzL2Rvd25yZXYueG1sUEsB&#10;AhQAFAAAAAgAh07iQGz+8ZExAgAAYwQAAA4AAAAAAAAAAQAgAAAAJAEAAGRycy9lMm9Eb2MueG1s&#10;UEsFBgAAAAAGAAYAWQEAAMcFAAAAAA==&#10;">
              <v:fill on="f" focussize="0,0"/>
              <v:stroke on="f" weight="0.5pt"/>
              <v:imagedata o:title=""/>
              <o:lock v:ext="edit" aspectratio="f"/>
              <v:textbox inset="0mm,0mm,0mm,0mm" style="mso-fit-shape-to-text:t;">
                <w:txbxContent>
                  <w:p w14:paraId="1FC041F3">
                    <w:pPr>
                      <w:pStyle w:val="22"/>
                      <w:jc w:val="both"/>
                    </w:pPr>
                    <w:r>
                      <w:rPr>
                        <w:rFonts w:hint="eastAsia" w:ascii="宋体" w:hAnsi="宋体" w:eastAsia="宋体" w:cs="宋体"/>
                        <w:sz w:val="26"/>
                        <w:szCs w:val="26"/>
                      </w:rPr>
                      <w:t>—</w:t>
                    </w:r>
                    <w:r>
                      <w:rPr>
                        <w:rFonts w:hint="eastAsia" w:ascii="宋体" w:hAnsi="宋体" w:eastAsia="宋体" w:cs="宋体"/>
                        <w:sz w:val="26"/>
                        <w:szCs w:val="26"/>
                        <w:lang w:val="en-US" w:eastAsia="zh-CN"/>
                      </w:rPr>
                      <w:t xml:space="preserve"> </w:t>
                    </w:r>
                    <w:r>
                      <w:rPr>
                        <w:rFonts w:hint="eastAsia" w:ascii="宋体" w:hAnsi="宋体" w:eastAsia="宋体" w:cs="宋体"/>
                        <w:sz w:val="26"/>
                        <w:szCs w:val="26"/>
                      </w:rPr>
                      <w:t xml:space="preserve"> </w:t>
                    </w:r>
                    <w:r>
                      <w:rPr>
                        <w:rFonts w:hint="eastAsia" w:ascii="宋体" w:hAnsi="宋体" w:eastAsia="宋体" w:cs="宋体"/>
                        <w:sz w:val="26"/>
                        <w:szCs w:val="26"/>
                      </w:rPr>
                      <w:fldChar w:fldCharType="begin"/>
                    </w:r>
                    <w:r>
                      <w:rPr>
                        <w:rFonts w:hint="eastAsia" w:ascii="宋体" w:hAnsi="宋体" w:eastAsia="宋体" w:cs="宋体"/>
                        <w:sz w:val="26"/>
                        <w:szCs w:val="26"/>
                      </w:rPr>
                      <w:instrText xml:space="preserve"> PAGE  \* MERGEFORMAT </w:instrText>
                    </w:r>
                    <w:r>
                      <w:rPr>
                        <w:rFonts w:hint="eastAsia" w:ascii="宋体" w:hAnsi="宋体" w:eastAsia="宋体" w:cs="宋体"/>
                        <w:sz w:val="26"/>
                        <w:szCs w:val="26"/>
                      </w:rPr>
                      <w:fldChar w:fldCharType="separate"/>
                    </w:r>
                    <w:r>
                      <w:rPr>
                        <w:rFonts w:hint="eastAsia" w:ascii="宋体" w:hAnsi="宋体" w:eastAsia="宋体" w:cs="宋体"/>
                        <w:sz w:val="26"/>
                        <w:szCs w:val="26"/>
                      </w:rPr>
                      <w:t>84</w:t>
                    </w:r>
                    <w:r>
                      <w:rPr>
                        <w:rFonts w:hint="eastAsia" w:ascii="宋体" w:hAnsi="宋体" w:eastAsia="宋体" w:cs="宋体"/>
                        <w:sz w:val="26"/>
                        <w:szCs w:val="26"/>
                      </w:rPr>
                      <w:fldChar w:fldCharType="end"/>
                    </w:r>
                    <w:r>
                      <w:rPr>
                        <w:rFonts w:hint="eastAsia" w:ascii="宋体" w:hAnsi="宋体" w:eastAsia="宋体" w:cs="宋体"/>
                        <w:sz w:val="26"/>
                        <w:szCs w:val="26"/>
                        <w:lang w:val="en-US" w:eastAsia="zh-CN"/>
                      </w:rPr>
                      <w:t xml:space="preserve"> </w:t>
                    </w:r>
                    <w:r>
                      <w:rPr>
                        <w:rFonts w:hint="eastAsia" w:ascii="宋体" w:hAnsi="宋体" w:eastAsia="宋体" w:cs="宋体"/>
                        <w:sz w:val="26"/>
                        <w:szCs w:val="26"/>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E1166">
    <w:pPr>
      <w:pStyle w:val="22"/>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B75CBA"/>
    <w:multiLevelType w:val="singleLevel"/>
    <w:tmpl w:val="91B75CBA"/>
    <w:lvl w:ilvl="0" w:tentative="0">
      <w:start w:val="1"/>
      <w:numFmt w:val="upperLetter"/>
      <w:suff w:val="nothing"/>
      <w:lvlText w:val="%1、"/>
      <w:lvlJc w:val="left"/>
    </w:lvl>
  </w:abstractNum>
  <w:abstractNum w:abstractNumId="1">
    <w:nsid w:val="B376A7BF"/>
    <w:multiLevelType w:val="singleLevel"/>
    <w:tmpl w:val="B376A7BF"/>
    <w:lvl w:ilvl="0" w:tentative="0">
      <w:start w:val="1"/>
      <w:numFmt w:val="upperLetter"/>
      <w:suff w:val="nothing"/>
      <w:lvlText w:val="%1、"/>
      <w:lvlJc w:val="left"/>
    </w:lvl>
  </w:abstractNum>
  <w:abstractNum w:abstractNumId="2">
    <w:nsid w:val="BA4492E2"/>
    <w:multiLevelType w:val="singleLevel"/>
    <w:tmpl w:val="BA4492E2"/>
    <w:lvl w:ilvl="0" w:tentative="0">
      <w:start w:val="7"/>
      <w:numFmt w:val="chineseCounting"/>
      <w:suff w:val="nothing"/>
      <w:lvlText w:val="%1、"/>
      <w:lvlJc w:val="left"/>
      <w:rPr>
        <w:rFonts w:hint="eastAsia"/>
      </w:rPr>
    </w:lvl>
  </w:abstractNum>
  <w:abstractNum w:abstractNumId="3">
    <w:nsid w:val="01203B59"/>
    <w:multiLevelType w:val="singleLevel"/>
    <w:tmpl w:val="01203B59"/>
    <w:lvl w:ilvl="0" w:tentative="0">
      <w:start w:val="1"/>
      <w:numFmt w:val="decimal"/>
      <w:suff w:val="nothing"/>
      <w:lvlText w:val="%1、"/>
      <w:lvlJc w:val="left"/>
    </w:lvl>
  </w:abstractNum>
  <w:abstractNum w:abstractNumId="4">
    <w:nsid w:val="1CEAAF18"/>
    <w:multiLevelType w:val="singleLevel"/>
    <w:tmpl w:val="1CEAAF18"/>
    <w:lvl w:ilvl="0" w:tentative="0">
      <w:start w:val="1"/>
      <w:numFmt w:val="bullet"/>
      <w:pStyle w:val="16"/>
      <w:lvlText w:val=""/>
      <w:lvlJc w:val="left"/>
      <w:pPr>
        <w:tabs>
          <w:tab w:val="left" w:pos="2040"/>
        </w:tabs>
        <w:ind w:left="2040" w:hanging="360"/>
      </w:pPr>
      <w:rPr>
        <w:rFonts w:hint="default" w:ascii="Wingdings" w:hAnsi="Wingdings"/>
      </w:rPr>
    </w:lvl>
  </w:abstractNum>
  <w:abstractNum w:abstractNumId="5">
    <w:nsid w:val="7693F017"/>
    <w:multiLevelType w:val="singleLevel"/>
    <w:tmpl w:val="7693F017"/>
    <w:lvl w:ilvl="0" w:tentative="0">
      <w:start w:val="2"/>
      <w:numFmt w:val="decimal"/>
      <w:suff w:val="nothing"/>
      <w:lvlText w:val="%1、"/>
      <w:lvlJc w:val="left"/>
    </w:lvl>
  </w:abstractNum>
  <w:num w:numId="1">
    <w:abstractNumId w:val="4"/>
  </w:num>
  <w:num w:numId="2">
    <w:abstractNumId w:val="3"/>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RkNTg4ODcxN2QzMDNkNzE5ZWVlOWI0ZjgzZjkwNGEifQ=="/>
  </w:docVars>
  <w:rsids>
    <w:rsidRoot w:val="00172A27"/>
    <w:rsid w:val="000060B3"/>
    <w:rsid w:val="0004364B"/>
    <w:rsid w:val="00061B1F"/>
    <w:rsid w:val="000733C4"/>
    <w:rsid w:val="00074783"/>
    <w:rsid w:val="0008070B"/>
    <w:rsid w:val="000810AC"/>
    <w:rsid w:val="00081A02"/>
    <w:rsid w:val="00082136"/>
    <w:rsid w:val="00082231"/>
    <w:rsid w:val="00092D38"/>
    <w:rsid w:val="0009377B"/>
    <w:rsid w:val="000A20C9"/>
    <w:rsid w:val="000B058F"/>
    <w:rsid w:val="000B4467"/>
    <w:rsid w:val="000B4DB9"/>
    <w:rsid w:val="000C09AC"/>
    <w:rsid w:val="000C3DA7"/>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4F264C"/>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D0D61"/>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049D8"/>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0AC0"/>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1302"/>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C67D8"/>
    <w:rsid w:val="00BD1B51"/>
    <w:rsid w:val="00BD4596"/>
    <w:rsid w:val="00BE1405"/>
    <w:rsid w:val="00BE312D"/>
    <w:rsid w:val="00BF1C20"/>
    <w:rsid w:val="00C01D55"/>
    <w:rsid w:val="00C10578"/>
    <w:rsid w:val="00C135BC"/>
    <w:rsid w:val="00C15C95"/>
    <w:rsid w:val="00C237AB"/>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B09"/>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75660"/>
    <w:rsid w:val="00F80A0A"/>
    <w:rsid w:val="00F82B19"/>
    <w:rsid w:val="00F9212D"/>
    <w:rsid w:val="00F965DA"/>
    <w:rsid w:val="00FA406A"/>
    <w:rsid w:val="00FB503A"/>
    <w:rsid w:val="00FB516C"/>
    <w:rsid w:val="00FD0236"/>
    <w:rsid w:val="00FD18F4"/>
    <w:rsid w:val="00FD54DB"/>
    <w:rsid w:val="00FD619F"/>
    <w:rsid w:val="01152DCD"/>
    <w:rsid w:val="011B18A3"/>
    <w:rsid w:val="01290F7E"/>
    <w:rsid w:val="015D1E09"/>
    <w:rsid w:val="018207C5"/>
    <w:rsid w:val="019E4F6A"/>
    <w:rsid w:val="01C0189D"/>
    <w:rsid w:val="01CC28D2"/>
    <w:rsid w:val="01D57C29"/>
    <w:rsid w:val="01FA2421"/>
    <w:rsid w:val="01FD609D"/>
    <w:rsid w:val="02697903"/>
    <w:rsid w:val="026C1900"/>
    <w:rsid w:val="02890C75"/>
    <w:rsid w:val="02BF18C9"/>
    <w:rsid w:val="02D323B7"/>
    <w:rsid w:val="02F96569"/>
    <w:rsid w:val="03411FB9"/>
    <w:rsid w:val="0359385C"/>
    <w:rsid w:val="036A7762"/>
    <w:rsid w:val="037458C4"/>
    <w:rsid w:val="0375377F"/>
    <w:rsid w:val="038729D0"/>
    <w:rsid w:val="03A10CAA"/>
    <w:rsid w:val="03C54999"/>
    <w:rsid w:val="03EA7B21"/>
    <w:rsid w:val="03F373F2"/>
    <w:rsid w:val="040A3D96"/>
    <w:rsid w:val="0469018F"/>
    <w:rsid w:val="0469030D"/>
    <w:rsid w:val="046B78CB"/>
    <w:rsid w:val="048C54B6"/>
    <w:rsid w:val="04AD6C91"/>
    <w:rsid w:val="04CA6664"/>
    <w:rsid w:val="04FE47B4"/>
    <w:rsid w:val="05091FB9"/>
    <w:rsid w:val="05342089"/>
    <w:rsid w:val="05393113"/>
    <w:rsid w:val="059874F0"/>
    <w:rsid w:val="059C7B8C"/>
    <w:rsid w:val="05C869C2"/>
    <w:rsid w:val="05F83EAE"/>
    <w:rsid w:val="063E7D85"/>
    <w:rsid w:val="06450847"/>
    <w:rsid w:val="06767035"/>
    <w:rsid w:val="06D33870"/>
    <w:rsid w:val="07293586"/>
    <w:rsid w:val="07295285"/>
    <w:rsid w:val="075404D0"/>
    <w:rsid w:val="07551D1D"/>
    <w:rsid w:val="075D20E3"/>
    <w:rsid w:val="07636392"/>
    <w:rsid w:val="07770C56"/>
    <w:rsid w:val="077E7B9E"/>
    <w:rsid w:val="07CD7519"/>
    <w:rsid w:val="07D3254F"/>
    <w:rsid w:val="07D37407"/>
    <w:rsid w:val="07F5285C"/>
    <w:rsid w:val="08333F1C"/>
    <w:rsid w:val="083E7781"/>
    <w:rsid w:val="083F44CE"/>
    <w:rsid w:val="0843388F"/>
    <w:rsid w:val="08434BFA"/>
    <w:rsid w:val="0874551F"/>
    <w:rsid w:val="087E51AC"/>
    <w:rsid w:val="08920519"/>
    <w:rsid w:val="089D4B92"/>
    <w:rsid w:val="08A76D63"/>
    <w:rsid w:val="08C43471"/>
    <w:rsid w:val="08D07B88"/>
    <w:rsid w:val="08DA6337"/>
    <w:rsid w:val="090D4716"/>
    <w:rsid w:val="092217DD"/>
    <w:rsid w:val="093A7294"/>
    <w:rsid w:val="098201B1"/>
    <w:rsid w:val="09940F07"/>
    <w:rsid w:val="09B47989"/>
    <w:rsid w:val="09C50C51"/>
    <w:rsid w:val="09D82BC8"/>
    <w:rsid w:val="09E632F5"/>
    <w:rsid w:val="0A0F3C2B"/>
    <w:rsid w:val="0A263993"/>
    <w:rsid w:val="0A2D3AC2"/>
    <w:rsid w:val="0A511613"/>
    <w:rsid w:val="0A76377C"/>
    <w:rsid w:val="0AA755DF"/>
    <w:rsid w:val="0AC7476A"/>
    <w:rsid w:val="0B120D44"/>
    <w:rsid w:val="0B3F14D4"/>
    <w:rsid w:val="0B462863"/>
    <w:rsid w:val="0B6F3894"/>
    <w:rsid w:val="0B901D30"/>
    <w:rsid w:val="0B9064F5"/>
    <w:rsid w:val="0B9F7216"/>
    <w:rsid w:val="0BBC0D77"/>
    <w:rsid w:val="0BC67500"/>
    <w:rsid w:val="0BD27BF6"/>
    <w:rsid w:val="0BDA4333"/>
    <w:rsid w:val="0C1369A8"/>
    <w:rsid w:val="0C3B3C7D"/>
    <w:rsid w:val="0C601702"/>
    <w:rsid w:val="0C6B5778"/>
    <w:rsid w:val="0C855539"/>
    <w:rsid w:val="0CAB2EAE"/>
    <w:rsid w:val="0CB6274B"/>
    <w:rsid w:val="0CBF6192"/>
    <w:rsid w:val="0CDB7556"/>
    <w:rsid w:val="0D0C2A31"/>
    <w:rsid w:val="0D621C7D"/>
    <w:rsid w:val="0D676DE1"/>
    <w:rsid w:val="0DD63418"/>
    <w:rsid w:val="0DDB09CA"/>
    <w:rsid w:val="0E2C3CE0"/>
    <w:rsid w:val="0E6E46B5"/>
    <w:rsid w:val="0E72396F"/>
    <w:rsid w:val="0E73034D"/>
    <w:rsid w:val="0E9E5721"/>
    <w:rsid w:val="0EAE7EF9"/>
    <w:rsid w:val="0EB63C6A"/>
    <w:rsid w:val="0EC03894"/>
    <w:rsid w:val="0EDF6E15"/>
    <w:rsid w:val="0EE72A6E"/>
    <w:rsid w:val="0EEF4F23"/>
    <w:rsid w:val="0EFB14DD"/>
    <w:rsid w:val="0EFD1B4C"/>
    <w:rsid w:val="0F0A63FE"/>
    <w:rsid w:val="0F13775A"/>
    <w:rsid w:val="0F1869D9"/>
    <w:rsid w:val="0F206065"/>
    <w:rsid w:val="0F367CD4"/>
    <w:rsid w:val="0F386966"/>
    <w:rsid w:val="0F414AFC"/>
    <w:rsid w:val="0F5F45FE"/>
    <w:rsid w:val="0F6C64AC"/>
    <w:rsid w:val="0F7134C9"/>
    <w:rsid w:val="0F73174D"/>
    <w:rsid w:val="0F756358"/>
    <w:rsid w:val="0F7A6D8E"/>
    <w:rsid w:val="0F9A112B"/>
    <w:rsid w:val="0FC75A7C"/>
    <w:rsid w:val="0FD34244"/>
    <w:rsid w:val="0FDF56EB"/>
    <w:rsid w:val="0FEB39D9"/>
    <w:rsid w:val="1021389E"/>
    <w:rsid w:val="10314B4E"/>
    <w:rsid w:val="106D2F64"/>
    <w:rsid w:val="10772943"/>
    <w:rsid w:val="10A342B4"/>
    <w:rsid w:val="10A51DDA"/>
    <w:rsid w:val="10B63710"/>
    <w:rsid w:val="10E0675E"/>
    <w:rsid w:val="10F10820"/>
    <w:rsid w:val="10F82A02"/>
    <w:rsid w:val="111A5394"/>
    <w:rsid w:val="111C2F7A"/>
    <w:rsid w:val="1122167C"/>
    <w:rsid w:val="11447845"/>
    <w:rsid w:val="11535CDA"/>
    <w:rsid w:val="115B220C"/>
    <w:rsid w:val="115F642C"/>
    <w:rsid w:val="11665CA1"/>
    <w:rsid w:val="116D39C1"/>
    <w:rsid w:val="11955AFF"/>
    <w:rsid w:val="11E62AA2"/>
    <w:rsid w:val="11EF3A11"/>
    <w:rsid w:val="11F77C2F"/>
    <w:rsid w:val="123244C2"/>
    <w:rsid w:val="126350DB"/>
    <w:rsid w:val="128A7F55"/>
    <w:rsid w:val="12F65FF1"/>
    <w:rsid w:val="133259FB"/>
    <w:rsid w:val="133C0C35"/>
    <w:rsid w:val="13420EB1"/>
    <w:rsid w:val="13951726"/>
    <w:rsid w:val="13F0456A"/>
    <w:rsid w:val="13FC4322"/>
    <w:rsid w:val="14396509"/>
    <w:rsid w:val="143D6E71"/>
    <w:rsid w:val="144709B0"/>
    <w:rsid w:val="14535839"/>
    <w:rsid w:val="1466322F"/>
    <w:rsid w:val="14AA3E63"/>
    <w:rsid w:val="14D326C8"/>
    <w:rsid w:val="14DD2C3C"/>
    <w:rsid w:val="14F84448"/>
    <w:rsid w:val="151B1BCE"/>
    <w:rsid w:val="15242CEF"/>
    <w:rsid w:val="15592293"/>
    <w:rsid w:val="15785654"/>
    <w:rsid w:val="158A3C94"/>
    <w:rsid w:val="15CE424C"/>
    <w:rsid w:val="16087E1D"/>
    <w:rsid w:val="160908F8"/>
    <w:rsid w:val="161D511E"/>
    <w:rsid w:val="167D0D9F"/>
    <w:rsid w:val="1684106C"/>
    <w:rsid w:val="16B7102A"/>
    <w:rsid w:val="16BF7F6E"/>
    <w:rsid w:val="16CC325A"/>
    <w:rsid w:val="16EE7FBC"/>
    <w:rsid w:val="1745386C"/>
    <w:rsid w:val="177003D2"/>
    <w:rsid w:val="17701D14"/>
    <w:rsid w:val="17735226"/>
    <w:rsid w:val="17CA0378"/>
    <w:rsid w:val="180E1725"/>
    <w:rsid w:val="1817101A"/>
    <w:rsid w:val="183D22B3"/>
    <w:rsid w:val="187E2EF8"/>
    <w:rsid w:val="189F624C"/>
    <w:rsid w:val="18B0756E"/>
    <w:rsid w:val="18C1787A"/>
    <w:rsid w:val="18D535EC"/>
    <w:rsid w:val="18EB5E8A"/>
    <w:rsid w:val="18F53659"/>
    <w:rsid w:val="190231C7"/>
    <w:rsid w:val="19142ADF"/>
    <w:rsid w:val="19641052"/>
    <w:rsid w:val="196925EF"/>
    <w:rsid w:val="1974125A"/>
    <w:rsid w:val="197F30DF"/>
    <w:rsid w:val="19832705"/>
    <w:rsid w:val="198A76AD"/>
    <w:rsid w:val="19907789"/>
    <w:rsid w:val="199A53BF"/>
    <w:rsid w:val="199A7B5B"/>
    <w:rsid w:val="19C164A7"/>
    <w:rsid w:val="19CA115C"/>
    <w:rsid w:val="19DC245C"/>
    <w:rsid w:val="1A12732B"/>
    <w:rsid w:val="1A1C66C0"/>
    <w:rsid w:val="1A2F0966"/>
    <w:rsid w:val="1A3516BA"/>
    <w:rsid w:val="1A3A4CED"/>
    <w:rsid w:val="1A42393B"/>
    <w:rsid w:val="1A546D47"/>
    <w:rsid w:val="1A6A56CA"/>
    <w:rsid w:val="1A866E39"/>
    <w:rsid w:val="1A8E0638"/>
    <w:rsid w:val="1A9359BC"/>
    <w:rsid w:val="1AAD45DE"/>
    <w:rsid w:val="1AD57393"/>
    <w:rsid w:val="1B046F80"/>
    <w:rsid w:val="1B0C7CFF"/>
    <w:rsid w:val="1B163388"/>
    <w:rsid w:val="1B1B6455"/>
    <w:rsid w:val="1B3267B5"/>
    <w:rsid w:val="1B40161D"/>
    <w:rsid w:val="1B441859"/>
    <w:rsid w:val="1B601BEE"/>
    <w:rsid w:val="1B6606B1"/>
    <w:rsid w:val="1BA2771D"/>
    <w:rsid w:val="1BE30DA3"/>
    <w:rsid w:val="1C1E778E"/>
    <w:rsid w:val="1C2954CF"/>
    <w:rsid w:val="1C392150"/>
    <w:rsid w:val="1C5E7925"/>
    <w:rsid w:val="1C8A7D9A"/>
    <w:rsid w:val="1C906331"/>
    <w:rsid w:val="1C98639D"/>
    <w:rsid w:val="1CA74427"/>
    <w:rsid w:val="1CF52996"/>
    <w:rsid w:val="1CFD070F"/>
    <w:rsid w:val="1D07320F"/>
    <w:rsid w:val="1D323F5F"/>
    <w:rsid w:val="1D486934"/>
    <w:rsid w:val="1D554F18"/>
    <w:rsid w:val="1D5F6196"/>
    <w:rsid w:val="1D6132A5"/>
    <w:rsid w:val="1D645410"/>
    <w:rsid w:val="1D8E56D5"/>
    <w:rsid w:val="1D931860"/>
    <w:rsid w:val="1DD66C03"/>
    <w:rsid w:val="1E1B5D56"/>
    <w:rsid w:val="1E1D46AD"/>
    <w:rsid w:val="1E311EC1"/>
    <w:rsid w:val="1E393709"/>
    <w:rsid w:val="1E6F1C79"/>
    <w:rsid w:val="1E731FD5"/>
    <w:rsid w:val="1E7A43DA"/>
    <w:rsid w:val="1ED463D3"/>
    <w:rsid w:val="1EDA5344"/>
    <w:rsid w:val="1EDB7B17"/>
    <w:rsid w:val="1EF25047"/>
    <w:rsid w:val="1F170346"/>
    <w:rsid w:val="1F454293"/>
    <w:rsid w:val="1F4C10C3"/>
    <w:rsid w:val="1F960AA1"/>
    <w:rsid w:val="1FC16504"/>
    <w:rsid w:val="1FC74DA1"/>
    <w:rsid w:val="1FD2426D"/>
    <w:rsid w:val="1FE7539E"/>
    <w:rsid w:val="204B2381"/>
    <w:rsid w:val="205F36DB"/>
    <w:rsid w:val="20620D45"/>
    <w:rsid w:val="20671BE0"/>
    <w:rsid w:val="207B2B57"/>
    <w:rsid w:val="20963CB8"/>
    <w:rsid w:val="20A81A1B"/>
    <w:rsid w:val="20AC65B4"/>
    <w:rsid w:val="20B07FB6"/>
    <w:rsid w:val="20B646FB"/>
    <w:rsid w:val="20B67613"/>
    <w:rsid w:val="20C311EB"/>
    <w:rsid w:val="20C71E58"/>
    <w:rsid w:val="20D66A29"/>
    <w:rsid w:val="20E331C9"/>
    <w:rsid w:val="20E73D48"/>
    <w:rsid w:val="20F17AFC"/>
    <w:rsid w:val="20F4410C"/>
    <w:rsid w:val="21046956"/>
    <w:rsid w:val="21115D6E"/>
    <w:rsid w:val="21132180"/>
    <w:rsid w:val="213450F3"/>
    <w:rsid w:val="213B74B1"/>
    <w:rsid w:val="213D7E0C"/>
    <w:rsid w:val="21537B98"/>
    <w:rsid w:val="215A2310"/>
    <w:rsid w:val="21622C54"/>
    <w:rsid w:val="216E6E30"/>
    <w:rsid w:val="217F7C02"/>
    <w:rsid w:val="21C877CC"/>
    <w:rsid w:val="21CB71C6"/>
    <w:rsid w:val="21D238B9"/>
    <w:rsid w:val="21DE318A"/>
    <w:rsid w:val="21EF5B80"/>
    <w:rsid w:val="220637A5"/>
    <w:rsid w:val="22576990"/>
    <w:rsid w:val="22721D38"/>
    <w:rsid w:val="227E5F58"/>
    <w:rsid w:val="228D0FA2"/>
    <w:rsid w:val="229B38CB"/>
    <w:rsid w:val="22B1460E"/>
    <w:rsid w:val="22BD5DB2"/>
    <w:rsid w:val="22C150BE"/>
    <w:rsid w:val="22F47480"/>
    <w:rsid w:val="22FC082E"/>
    <w:rsid w:val="233A3E74"/>
    <w:rsid w:val="23591002"/>
    <w:rsid w:val="23661941"/>
    <w:rsid w:val="23826D22"/>
    <w:rsid w:val="23AB0346"/>
    <w:rsid w:val="23AD3B76"/>
    <w:rsid w:val="23D85073"/>
    <w:rsid w:val="23DE1C48"/>
    <w:rsid w:val="23E805EC"/>
    <w:rsid w:val="240210CD"/>
    <w:rsid w:val="24161B64"/>
    <w:rsid w:val="24273BF0"/>
    <w:rsid w:val="24660846"/>
    <w:rsid w:val="247B6558"/>
    <w:rsid w:val="248C41C4"/>
    <w:rsid w:val="24BF09F7"/>
    <w:rsid w:val="24CC1AF0"/>
    <w:rsid w:val="24CC23AE"/>
    <w:rsid w:val="24E94533"/>
    <w:rsid w:val="24EA6324"/>
    <w:rsid w:val="24FD784D"/>
    <w:rsid w:val="250776EC"/>
    <w:rsid w:val="2521167B"/>
    <w:rsid w:val="252D53FE"/>
    <w:rsid w:val="25386BF9"/>
    <w:rsid w:val="255142BF"/>
    <w:rsid w:val="25870AC2"/>
    <w:rsid w:val="25940D3D"/>
    <w:rsid w:val="25A41F3C"/>
    <w:rsid w:val="25B91AB0"/>
    <w:rsid w:val="25C94C6F"/>
    <w:rsid w:val="25EC2D81"/>
    <w:rsid w:val="26061115"/>
    <w:rsid w:val="261B2AFA"/>
    <w:rsid w:val="26211F57"/>
    <w:rsid w:val="263001D5"/>
    <w:rsid w:val="26337C31"/>
    <w:rsid w:val="263E0BC9"/>
    <w:rsid w:val="26433B70"/>
    <w:rsid w:val="26B81856"/>
    <w:rsid w:val="26BB70E8"/>
    <w:rsid w:val="26E67B9A"/>
    <w:rsid w:val="26F45A61"/>
    <w:rsid w:val="2745516B"/>
    <w:rsid w:val="275F6280"/>
    <w:rsid w:val="27687154"/>
    <w:rsid w:val="27693709"/>
    <w:rsid w:val="277057A2"/>
    <w:rsid w:val="27BF4BEE"/>
    <w:rsid w:val="27EB002E"/>
    <w:rsid w:val="27F26324"/>
    <w:rsid w:val="27F72B4F"/>
    <w:rsid w:val="281124B5"/>
    <w:rsid w:val="283B2F3D"/>
    <w:rsid w:val="283F5F78"/>
    <w:rsid w:val="28723935"/>
    <w:rsid w:val="28A6451F"/>
    <w:rsid w:val="28EB0A2F"/>
    <w:rsid w:val="28EF1766"/>
    <w:rsid w:val="290F79A5"/>
    <w:rsid w:val="29171F21"/>
    <w:rsid w:val="29206EB8"/>
    <w:rsid w:val="292C49EE"/>
    <w:rsid w:val="293521DB"/>
    <w:rsid w:val="29595666"/>
    <w:rsid w:val="295F1A74"/>
    <w:rsid w:val="2979531C"/>
    <w:rsid w:val="29874881"/>
    <w:rsid w:val="299A402F"/>
    <w:rsid w:val="29E325E0"/>
    <w:rsid w:val="29E37B59"/>
    <w:rsid w:val="2A006359"/>
    <w:rsid w:val="2A1674DF"/>
    <w:rsid w:val="2A1E1E90"/>
    <w:rsid w:val="2A327838"/>
    <w:rsid w:val="2A377665"/>
    <w:rsid w:val="2A452503"/>
    <w:rsid w:val="2AA13343"/>
    <w:rsid w:val="2ABB0091"/>
    <w:rsid w:val="2ACF43C2"/>
    <w:rsid w:val="2AD3333F"/>
    <w:rsid w:val="2AF56E08"/>
    <w:rsid w:val="2B1E10A9"/>
    <w:rsid w:val="2B225228"/>
    <w:rsid w:val="2B6657EE"/>
    <w:rsid w:val="2B74267D"/>
    <w:rsid w:val="2B8F302C"/>
    <w:rsid w:val="2B914A51"/>
    <w:rsid w:val="2BA936A8"/>
    <w:rsid w:val="2C097269"/>
    <w:rsid w:val="2C315A5A"/>
    <w:rsid w:val="2C4B1C25"/>
    <w:rsid w:val="2C4B64D3"/>
    <w:rsid w:val="2C7A289A"/>
    <w:rsid w:val="2C962819"/>
    <w:rsid w:val="2CA845BC"/>
    <w:rsid w:val="2CBB2565"/>
    <w:rsid w:val="2CCC7DB3"/>
    <w:rsid w:val="2CFC6DCE"/>
    <w:rsid w:val="2D0629F6"/>
    <w:rsid w:val="2D067C3E"/>
    <w:rsid w:val="2D117479"/>
    <w:rsid w:val="2D26209C"/>
    <w:rsid w:val="2D312E05"/>
    <w:rsid w:val="2D7A456E"/>
    <w:rsid w:val="2D9E56F5"/>
    <w:rsid w:val="2DD0689B"/>
    <w:rsid w:val="2E050FA5"/>
    <w:rsid w:val="2E21483B"/>
    <w:rsid w:val="2E292154"/>
    <w:rsid w:val="2E2E745B"/>
    <w:rsid w:val="2E464FAA"/>
    <w:rsid w:val="2E667F96"/>
    <w:rsid w:val="2E6B4F3E"/>
    <w:rsid w:val="2E8226AB"/>
    <w:rsid w:val="2EB80461"/>
    <w:rsid w:val="2EB93B48"/>
    <w:rsid w:val="2ED64E95"/>
    <w:rsid w:val="2EE404E5"/>
    <w:rsid w:val="2EED458F"/>
    <w:rsid w:val="2F0668C6"/>
    <w:rsid w:val="2F0F2DE8"/>
    <w:rsid w:val="2F171FA3"/>
    <w:rsid w:val="2F185C20"/>
    <w:rsid w:val="2F19349B"/>
    <w:rsid w:val="2F1B6036"/>
    <w:rsid w:val="2F2919D0"/>
    <w:rsid w:val="2F52544D"/>
    <w:rsid w:val="2F664804"/>
    <w:rsid w:val="2F697837"/>
    <w:rsid w:val="2F8F55BB"/>
    <w:rsid w:val="2FD065E6"/>
    <w:rsid w:val="2FD96870"/>
    <w:rsid w:val="2FDD33E1"/>
    <w:rsid w:val="301009EA"/>
    <w:rsid w:val="30580BC9"/>
    <w:rsid w:val="307D7A4F"/>
    <w:rsid w:val="30910313"/>
    <w:rsid w:val="30DF4A3C"/>
    <w:rsid w:val="30F21B89"/>
    <w:rsid w:val="310F23AD"/>
    <w:rsid w:val="311E2ED7"/>
    <w:rsid w:val="313A4B14"/>
    <w:rsid w:val="315619EE"/>
    <w:rsid w:val="315C449C"/>
    <w:rsid w:val="3168771B"/>
    <w:rsid w:val="31923517"/>
    <w:rsid w:val="31A33B6F"/>
    <w:rsid w:val="31A57048"/>
    <w:rsid w:val="31B82709"/>
    <w:rsid w:val="31BF1404"/>
    <w:rsid w:val="31D05482"/>
    <w:rsid w:val="31DC623E"/>
    <w:rsid w:val="31F6193A"/>
    <w:rsid w:val="32400B34"/>
    <w:rsid w:val="327E5354"/>
    <w:rsid w:val="329E6876"/>
    <w:rsid w:val="32A60242"/>
    <w:rsid w:val="32AE7C54"/>
    <w:rsid w:val="32BC7CD8"/>
    <w:rsid w:val="32C84D0A"/>
    <w:rsid w:val="32EF3DFB"/>
    <w:rsid w:val="333015F2"/>
    <w:rsid w:val="334037E5"/>
    <w:rsid w:val="334B6320"/>
    <w:rsid w:val="33631954"/>
    <w:rsid w:val="337168F1"/>
    <w:rsid w:val="33AD0E22"/>
    <w:rsid w:val="33D934D4"/>
    <w:rsid w:val="33FE2F6A"/>
    <w:rsid w:val="340E07E5"/>
    <w:rsid w:val="34235BF7"/>
    <w:rsid w:val="34305317"/>
    <w:rsid w:val="34841BB3"/>
    <w:rsid w:val="349049EA"/>
    <w:rsid w:val="34980ECF"/>
    <w:rsid w:val="34A33AD6"/>
    <w:rsid w:val="35386E11"/>
    <w:rsid w:val="353F25D6"/>
    <w:rsid w:val="356C2617"/>
    <w:rsid w:val="358507C6"/>
    <w:rsid w:val="358C5FA8"/>
    <w:rsid w:val="35C15DF1"/>
    <w:rsid w:val="35DA0F8B"/>
    <w:rsid w:val="35ED4950"/>
    <w:rsid w:val="36040D92"/>
    <w:rsid w:val="36074A7F"/>
    <w:rsid w:val="363102B5"/>
    <w:rsid w:val="36923549"/>
    <w:rsid w:val="36B75FBF"/>
    <w:rsid w:val="36BD0C45"/>
    <w:rsid w:val="36CD163E"/>
    <w:rsid w:val="36EF2CA4"/>
    <w:rsid w:val="36F5269C"/>
    <w:rsid w:val="370901AA"/>
    <w:rsid w:val="370F7AB8"/>
    <w:rsid w:val="37452509"/>
    <w:rsid w:val="374B650A"/>
    <w:rsid w:val="37936580"/>
    <w:rsid w:val="37B00EE0"/>
    <w:rsid w:val="37E00298"/>
    <w:rsid w:val="380D7333"/>
    <w:rsid w:val="38155F02"/>
    <w:rsid w:val="381D6C95"/>
    <w:rsid w:val="384604A0"/>
    <w:rsid w:val="386C3ADB"/>
    <w:rsid w:val="38813290"/>
    <w:rsid w:val="38926D6D"/>
    <w:rsid w:val="38A004C0"/>
    <w:rsid w:val="38B302F9"/>
    <w:rsid w:val="38C65BD6"/>
    <w:rsid w:val="38E278D2"/>
    <w:rsid w:val="38F12CD3"/>
    <w:rsid w:val="38F94775"/>
    <w:rsid w:val="38FB17E8"/>
    <w:rsid w:val="392562D3"/>
    <w:rsid w:val="392971ED"/>
    <w:rsid w:val="392C12C7"/>
    <w:rsid w:val="39325651"/>
    <w:rsid w:val="39626A70"/>
    <w:rsid w:val="397B5283"/>
    <w:rsid w:val="39861EF9"/>
    <w:rsid w:val="398B34A7"/>
    <w:rsid w:val="39956713"/>
    <w:rsid w:val="39E972DA"/>
    <w:rsid w:val="39EC3135"/>
    <w:rsid w:val="3A245D26"/>
    <w:rsid w:val="3A772CF1"/>
    <w:rsid w:val="3A872856"/>
    <w:rsid w:val="3AB306D5"/>
    <w:rsid w:val="3AE25855"/>
    <w:rsid w:val="3AEA2693"/>
    <w:rsid w:val="3B014914"/>
    <w:rsid w:val="3B043A1D"/>
    <w:rsid w:val="3B3763D1"/>
    <w:rsid w:val="3B8638BD"/>
    <w:rsid w:val="3B9740B8"/>
    <w:rsid w:val="3BA54E53"/>
    <w:rsid w:val="3BD67E40"/>
    <w:rsid w:val="3C2F6E1E"/>
    <w:rsid w:val="3C335C3C"/>
    <w:rsid w:val="3C3B356A"/>
    <w:rsid w:val="3C3C6F58"/>
    <w:rsid w:val="3C3F7F2E"/>
    <w:rsid w:val="3C4F64BA"/>
    <w:rsid w:val="3C6E3CD0"/>
    <w:rsid w:val="3C9A6CB2"/>
    <w:rsid w:val="3C9C4D89"/>
    <w:rsid w:val="3C9F1D8F"/>
    <w:rsid w:val="3CA20063"/>
    <w:rsid w:val="3CDA245A"/>
    <w:rsid w:val="3CDD63A8"/>
    <w:rsid w:val="3CE468F1"/>
    <w:rsid w:val="3D1E06B7"/>
    <w:rsid w:val="3D3C0771"/>
    <w:rsid w:val="3D4930D0"/>
    <w:rsid w:val="3D6E288F"/>
    <w:rsid w:val="3D9B1CEB"/>
    <w:rsid w:val="3DAB098B"/>
    <w:rsid w:val="3DE46669"/>
    <w:rsid w:val="3DF31F00"/>
    <w:rsid w:val="3E0246F2"/>
    <w:rsid w:val="3E18333B"/>
    <w:rsid w:val="3E261EFC"/>
    <w:rsid w:val="3E355907"/>
    <w:rsid w:val="3E9B4698"/>
    <w:rsid w:val="3EDA0523"/>
    <w:rsid w:val="3EF23B8C"/>
    <w:rsid w:val="3F157EE7"/>
    <w:rsid w:val="3F2523AA"/>
    <w:rsid w:val="3F4965E2"/>
    <w:rsid w:val="3F5C22C8"/>
    <w:rsid w:val="3F663CE1"/>
    <w:rsid w:val="3F7D4827"/>
    <w:rsid w:val="3F9F5AD7"/>
    <w:rsid w:val="3FAC53E4"/>
    <w:rsid w:val="3FEF754B"/>
    <w:rsid w:val="402E0D3E"/>
    <w:rsid w:val="403C5521"/>
    <w:rsid w:val="40571702"/>
    <w:rsid w:val="407A6407"/>
    <w:rsid w:val="40B816C8"/>
    <w:rsid w:val="40BE641C"/>
    <w:rsid w:val="40C645D8"/>
    <w:rsid w:val="40C840EC"/>
    <w:rsid w:val="411B6C88"/>
    <w:rsid w:val="41217B45"/>
    <w:rsid w:val="415134A6"/>
    <w:rsid w:val="415649C7"/>
    <w:rsid w:val="41926B13"/>
    <w:rsid w:val="41D61543"/>
    <w:rsid w:val="41E10EF1"/>
    <w:rsid w:val="4200449D"/>
    <w:rsid w:val="421C2970"/>
    <w:rsid w:val="423A3BCC"/>
    <w:rsid w:val="42424E2B"/>
    <w:rsid w:val="42477C62"/>
    <w:rsid w:val="424E57D2"/>
    <w:rsid w:val="427C4401"/>
    <w:rsid w:val="42B26C49"/>
    <w:rsid w:val="42F53870"/>
    <w:rsid w:val="433A6FE6"/>
    <w:rsid w:val="43466528"/>
    <w:rsid w:val="43480868"/>
    <w:rsid w:val="4350713C"/>
    <w:rsid w:val="436653E0"/>
    <w:rsid w:val="438A3B4B"/>
    <w:rsid w:val="43A4731F"/>
    <w:rsid w:val="43B0717E"/>
    <w:rsid w:val="43B753A5"/>
    <w:rsid w:val="43C4431A"/>
    <w:rsid w:val="43D12710"/>
    <w:rsid w:val="4416031D"/>
    <w:rsid w:val="441D5B50"/>
    <w:rsid w:val="44226CBD"/>
    <w:rsid w:val="4450482F"/>
    <w:rsid w:val="446D1FD1"/>
    <w:rsid w:val="44AC5767"/>
    <w:rsid w:val="44B951CC"/>
    <w:rsid w:val="44CD14E0"/>
    <w:rsid w:val="44CE6390"/>
    <w:rsid w:val="44F20B0B"/>
    <w:rsid w:val="45171DA2"/>
    <w:rsid w:val="452E5F4C"/>
    <w:rsid w:val="45400FF5"/>
    <w:rsid w:val="4543346A"/>
    <w:rsid w:val="454D082E"/>
    <w:rsid w:val="454E486A"/>
    <w:rsid w:val="45612018"/>
    <w:rsid w:val="45633A36"/>
    <w:rsid w:val="458946E9"/>
    <w:rsid w:val="459104C8"/>
    <w:rsid w:val="45A47C0E"/>
    <w:rsid w:val="45BF2E72"/>
    <w:rsid w:val="461229C6"/>
    <w:rsid w:val="463A2B86"/>
    <w:rsid w:val="46577FD6"/>
    <w:rsid w:val="46771AF7"/>
    <w:rsid w:val="468C5C25"/>
    <w:rsid w:val="46A3401E"/>
    <w:rsid w:val="46AB7FA3"/>
    <w:rsid w:val="46BE6AA6"/>
    <w:rsid w:val="46C87FF5"/>
    <w:rsid w:val="46D955A7"/>
    <w:rsid w:val="46DD105A"/>
    <w:rsid w:val="46F4619E"/>
    <w:rsid w:val="46F779AA"/>
    <w:rsid w:val="4701608D"/>
    <w:rsid w:val="47133957"/>
    <w:rsid w:val="4724681E"/>
    <w:rsid w:val="47475B50"/>
    <w:rsid w:val="477470D5"/>
    <w:rsid w:val="47A07E0C"/>
    <w:rsid w:val="47A1028B"/>
    <w:rsid w:val="47AF5B80"/>
    <w:rsid w:val="47BC7823"/>
    <w:rsid w:val="47C00CCC"/>
    <w:rsid w:val="47D31F3E"/>
    <w:rsid w:val="47D652E2"/>
    <w:rsid w:val="47F95160"/>
    <w:rsid w:val="47F97A1E"/>
    <w:rsid w:val="48016002"/>
    <w:rsid w:val="480C2163"/>
    <w:rsid w:val="481903DC"/>
    <w:rsid w:val="48433D7A"/>
    <w:rsid w:val="486378A9"/>
    <w:rsid w:val="4870272E"/>
    <w:rsid w:val="487F467C"/>
    <w:rsid w:val="488B30E5"/>
    <w:rsid w:val="488E2EC4"/>
    <w:rsid w:val="48AC469F"/>
    <w:rsid w:val="48AF0961"/>
    <w:rsid w:val="48B57394"/>
    <w:rsid w:val="48D52867"/>
    <w:rsid w:val="48DC1F02"/>
    <w:rsid w:val="48E51464"/>
    <w:rsid w:val="49155F87"/>
    <w:rsid w:val="493917A1"/>
    <w:rsid w:val="49427509"/>
    <w:rsid w:val="49433DAD"/>
    <w:rsid w:val="4946455F"/>
    <w:rsid w:val="49696660"/>
    <w:rsid w:val="497004D0"/>
    <w:rsid w:val="497C4B51"/>
    <w:rsid w:val="499441BE"/>
    <w:rsid w:val="49C56A6D"/>
    <w:rsid w:val="49DC7715"/>
    <w:rsid w:val="4A023139"/>
    <w:rsid w:val="4A0E1A30"/>
    <w:rsid w:val="4A192722"/>
    <w:rsid w:val="4A1C2405"/>
    <w:rsid w:val="4A6F3355"/>
    <w:rsid w:val="4A747DC9"/>
    <w:rsid w:val="4A7B576F"/>
    <w:rsid w:val="4A9221B7"/>
    <w:rsid w:val="4AB16D7A"/>
    <w:rsid w:val="4AC14A37"/>
    <w:rsid w:val="4AC15F41"/>
    <w:rsid w:val="4ACE4542"/>
    <w:rsid w:val="4ADC3C3A"/>
    <w:rsid w:val="4ADE66C8"/>
    <w:rsid w:val="4AF561A9"/>
    <w:rsid w:val="4B156818"/>
    <w:rsid w:val="4B2D0A81"/>
    <w:rsid w:val="4B311597"/>
    <w:rsid w:val="4B3A7520"/>
    <w:rsid w:val="4B514962"/>
    <w:rsid w:val="4BCD4A3C"/>
    <w:rsid w:val="4BEE0130"/>
    <w:rsid w:val="4BF829F1"/>
    <w:rsid w:val="4C142292"/>
    <w:rsid w:val="4C4A0649"/>
    <w:rsid w:val="4C547172"/>
    <w:rsid w:val="4C7E5ECA"/>
    <w:rsid w:val="4C854DA4"/>
    <w:rsid w:val="4C876AA5"/>
    <w:rsid w:val="4CC7552F"/>
    <w:rsid w:val="4CF46FE9"/>
    <w:rsid w:val="4CFB58CD"/>
    <w:rsid w:val="4D0E00FB"/>
    <w:rsid w:val="4D176606"/>
    <w:rsid w:val="4D262ACE"/>
    <w:rsid w:val="4D5C0B12"/>
    <w:rsid w:val="4D645B24"/>
    <w:rsid w:val="4D880E9F"/>
    <w:rsid w:val="4DB218B5"/>
    <w:rsid w:val="4DBA372C"/>
    <w:rsid w:val="4DC67A98"/>
    <w:rsid w:val="4DD50D75"/>
    <w:rsid w:val="4DD7334A"/>
    <w:rsid w:val="4DEC4FB0"/>
    <w:rsid w:val="4E020FA2"/>
    <w:rsid w:val="4E075D8A"/>
    <w:rsid w:val="4E265601"/>
    <w:rsid w:val="4E385882"/>
    <w:rsid w:val="4E6D3230"/>
    <w:rsid w:val="4E7F092B"/>
    <w:rsid w:val="4EAF5973"/>
    <w:rsid w:val="4EC00FAD"/>
    <w:rsid w:val="4EDD654F"/>
    <w:rsid w:val="4EF34E17"/>
    <w:rsid w:val="4F0114FC"/>
    <w:rsid w:val="4F1F29D1"/>
    <w:rsid w:val="4F383404"/>
    <w:rsid w:val="4F3C3011"/>
    <w:rsid w:val="4F4D1638"/>
    <w:rsid w:val="4F6665FD"/>
    <w:rsid w:val="4F930E3F"/>
    <w:rsid w:val="4F9843DC"/>
    <w:rsid w:val="4FAD5FDA"/>
    <w:rsid w:val="4FB024FD"/>
    <w:rsid w:val="4FC62A8C"/>
    <w:rsid w:val="4FD24FE7"/>
    <w:rsid w:val="4FDE3F1C"/>
    <w:rsid w:val="4FE20F0D"/>
    <w:rsid w:val="4FE269A3"/>
    <w:rsid w:val="4FE51552"/>
    <w:rsid w:val="501025C1"/>
    <w:rsid w:val="501732F3"/>
    <w:rsid w:val="50265F82"/>
    <w:rsid w:val="502E5346"/>
    <w:rsid w:val="503D5B05"/>
    <w:rsid w:val="5041027E"/>
    <w:rsid w:val="504946D5"/>
    <w:rsid w:val="50504C4B"/>
    <w:rsid w:val="508A5A1E"/>
    <w:rsid w:val="509C6E7C"/>
    <w:rsid w:val="509D6D9C"/>
    <w:rsid w:val="509F7B93"/>
    <w:rsid w:val="50F067EF"/>
    <w:rsid w:val="51167E56"/>
    <w:rsid w:val="51242673"/>
    <w:rsid w:val="5162104E"/>
    <w:rsid w:val="51654086"/>
    <w:rsid w:val="51753765"/>
    <w:rsid w:val="51767B7B"/>
    <w:rsid w:val="517B58DE"/>
    <w:rsid w:val="519817F0"/>
    <w:rsid w:val="51DC15B9"/>
    <w:rsid w:val="520E6AD8"/>
    <w:rsid w:val="52FA1E17"/>
    <w:rsid w:val="531E2D4A"/>
    <w:rsid w:val="532F3B45"/>
    <w:rsid w:val="53397B84"/>
    <w:rsid w:val="534B11BA"/>
    <w:rsid w:val="534B6376"/>
    <w:rsid w:val="53511B0B"/>
    <w:rsid w:val="535D3EBD"/>
    <w:rsid w:val="536A41E2"/>
    <w:rsid w:val="536E626B"/>
    <w:rsid w:val="537F1832"/>
    <w:rsid w:val="53A039CC"/>
    <w:rsid w:val="53A1505A"/>
    <w:rsid w:val="53B844C3"/>
    <w:rsid w:val="53E70B54"/>
    <w:rsid w:val="53F6284F"/>
    <w:rsid w:val="54063E08"/>
    <w:rsid w:val="540A7284"/>
    <w:rsid w:val="542025C4"/>
    <w:rsid w:val="543437E8"/>
    <w:rsid w:val="54410961"/>
    <w:rsid w:val="544628F9"/>
    <w:rsid w:val="54771CAF"/>
    <w:rsid w:val="549B3710"/>
    <w:rsid w:val="54A55572"/>
    <w:rsid w:val="54A9657C"/>
    <w:rsid w:val="54B020C8"/>
    <w:rsid w:val="54BC5BCA"/>
    <w:rsid w:val="54F73313"/>
    <w:rsid w:val="54F80955"/>
    <w:rsid w:val="55206FE8"/>
    <w:rsid w:val="55305EED"/>
    <w:rsid w:val="555170A7"/>
    <w:rsid w:val="55570796"/>
    <w:rsid w:val="556C0CBB"/>
    <w:rsid w:val="5587536D"/>
    <w:rsid w:val="559B174B"/>
    <w:rsid w:val="55AC5374"/>
    <w:rsid w:val="55B61694"/>
    <w:rsid w:val="55C04758"/>
    <w:rsid w:val="55C40DE3"/>
    <w:rsid w:val="55CE0CF4"/>
    <w:rsid w:val="55D75CC7"/>
    <w:rsid w:val="55DC7082"/>
    <w:rsid w:val="55E529F2"/>
    <w:rsid w:val="56175BFF"/>
    <w:rsid w:val="56321D83"/>
    <w:rsid w:val="56567928"/>
    <w:rsid w:val="5684664B"/>
    <w:rsid w:val="56A07D17"/>
    <w:rsid w:val="56B22A9C"/>
    <w:rsid w:val="56BF5061"/>
    <w:rsid w:val="56C1236A"/>
    <w:rsid w:val="571A0AAE"/>
    <w:rsid w:val="57201009"/>
    <w:rsid w:val="57391942"/>
    <w:rsid w:val="57802226"/>
    <w:rsid w:val="57B72A76"/>
    <w:rsid w:val="57BD1EC5"/>
    <w:rsid w:val="57C3426C"/>
    <w:rsid w:val="57CE1F93"/>
    <w:rsid w:val="580F562A"/>
    <w:rsid w:val="58120373"/>
    <w:rsid w:val="58321187"/>
    <w:rsid w:val="58337298"/>
    <w:rsid w:val="58453315"/>
    <w:rsid w:val="5868458A"/>
    <w:rsid w:val="58805767"/>
    <w:rsid w:val="58851DAD"/>
    <w:rsid w:val="588743D1"/>
    <w:rsid w:val="5887701A"/>
    <w:rsid w:val="58ED666D"/>
    <w:rsid w:val="59313EA0"/>
    <w:rsid w:val="59575208"/>
    <w:rsid w:val="59594CD1"/>
    <w:rsid w:val="596B480F"/>
    <w:rsid w:val="59731CC6"/>
    <w:rsid w:val="597933D0"/>
    <w:rsid w:val="59C0439F"/>
    <w:rsid w:val="59CC622E"/>
    <w:rsid w:val="59D12EFB"/>
    <w:rsid w:val="59D536C8"/>
    <w:rsid w:val="5A2244EE"/>
    <w:rsid w:val="5A3D4334"/>
    <w:rsid w:val="5A863D67"/>
    <w:rsid w:val="5A8C4FCA"/>
    <w:rsid w:val="5A8F493E"/>
    <w:rsid w:val="5ABE2233"/>
    <w:rsid w:val="5AC63DC3"/>
    <w:rsid w:val="5AED64E5"/>
    <w:rsid w:val="5AFE3CEE"/>
    <w:rsid w:val="5B03007A"/>
    <w:rsid w:val="5B091034"/>
    <w:rsid w:val="5B1E112E"/>
    <w:rsid w:val="5B1F58B2"/>
    <w:rsid w:val="5B345801"/>
    <w:rsid w:val="5B35300C"/>
    <w:rsid w:val="5B6432F7"/>
    <w:rsid w:val="5B7662A3"/>
    <w:rsid w:val="5B914A01"/>
    <w:rsid w:val="5B9804DA"/>
    <w:rsid w:val="5BDF5D95"/>
    <w:rsid w:val="5BFE7528"/>
    <w:rsid w:val="5C095DBB"/>
    <w:rsid w:val="5C0E026E"/>
    <w:rsid w:val="5C4C74DD"/>
    <w:rsid w:val="5C503520"/>
    <w:rsid w:val="5C7378EC"/>
    <w:rsid w:val="5CB32E76"/>
    <w:rsid w:val="5CB724C6"/>
    <w:rsid w:val="5D1B0EFB"/>
    <w:rsid w:val="5D3529AA"/>
    <w:rsid w:val="5D4E06D0"/>
    <w:rsid w:val="5DAB656A"/>
    <w:rsid w:val="5DBB6437"/>
    <w:rsid w:val="5DBD43CC"/>
    <w:rsid w:val="5DE62E60"/>
    <w:rsid w:val="5E056619"/>
    <w:rsid w:val="5E1B1359"/>
    <w:rsid w:val="5E1B15B1"/>
    <w:rsid w:val="5E2467F1"/>
    <w:rsid w:val="5E4E09DC"/>
    <w:rsid w:val="5E622E3B"/>
    <w:rsid w:val="5E851CC4"/>
    <w:rsid w:val="5E943373"/>
    <w:rsid w:val="5EA30287"/>
    <w:rsid w:val="5F1172E6"/>
    <w:rsid w:val="5F1A2B43"/>
    <w:rsid w:val="5F345DE8"/>
    <w:rsid w:val="5F677827"/>
    <w:rsid w:val="5F6B5F9C"/>
    <w:rsid w:val="5FB837BB"/>
    <w:rsid w:val="600A1AD5"/>
    <w:rsid w:val="601B68C0"/>
    <w:rsid w:val="601E2F80"/>
    <w:rsid w:val="60220256"/>
    <w:rsid w:val="602A7D19"/>
    <w:rsid w:val="602C3155"/>
    <w:rsid w:val="603E4A2C"/>
    <w:rsid w:val="60713EB7"/>
    <w:rsid w:val="609868B8"/>
    <w:rsid w:val="60A46F85"/>
    <w:rsid w:val="60B70E63"/>
    <w:rsid w:val="60BC3104"/>
    <w:rsid w:val="60C17E20"/>
    <w:rsid w:val="60C4154B"/>
    <w:rsid w:val="60C72C73"/>
    <w:rsid w:val="60CC405A"/>
    <w:rsid w:val="60D55390"/>
    <w:rsid w:val="60EA46C8"/>
    <w:rsid w:val="611F33FF"/>
    <w:rsid w:val="613608D5"/>
    <w:rsid w:val="614C6207"/>
    <w:rsid w:val="614E3223"/>
    <w:rsid w:val="61670238"/>
    <w:rsid w:val="61940C13"/>
    <w:rsid w:val="619723D9"/>
    <w:rsid w:val="61A469E9"/>
    <w:rsid w:val="61E0223F"/>
    <w:rsid w:val="61E215D8"/>
    <w:rsid w:val="620D2F09"/>
    <w:rsid w:val="62111717"/>
    <w:rsid w:val="621B3775"/>
    <w:rsid w:val="62265778"/>
    <w:rsid w:val="62364782"/>
    <w:rsid w:val="624D71A8"/>
    <w:rsid w:val="62B35947"/>
    <w:rsid w:val="62B94155"/>
    <w:rsid w:val="62BB614A"/>
    <w:rsid w:val="62BD1A6B"/>
    <w:rsid w:val="62C330EE"/>
    <w:rsid w:val="62EE2885"/>
    <w:rsid w:val="63154AB4"/>
    <w:rsid w:val="632745D0"/>
    <w:rsid w:val="633D02D8"/>
    <w:rsid w:val="633E440D"/>
    <w:rsid w:val="6370227B"/>
    <w:rsid w:val="637D216D"/>
    <w:rsid w:val="63851327"/>
    <w:rsid w:val="638B0489"/>
    <w:rsid w:val="6394356A"/>
    <w:rsid w:val="63B81333"/>
    <w:rsid w:val="63C61B2C"/>
    <w:rsid w:val="63CC07EF"/>
    <w:rsid w:val="63CC0BBF"/>
    <w:rsid w:val="63D40BE9"/>
    <w:rsid w:val="64102431"/>
    <w:rsid w:val="648E0CA3"/>
    <w:rsid w:val="64A5243A"/>
    <w:rsid w:val="64DE2339"/>
    <w:rsid w:val="64F531DE"/>
    <w:rsid w:val="65373578"/>
    <w:rsid w:val="655403F9"/>
    <w:rsid w:val="65567306"/>
    <w:rsid w:val="656A5B57"/>
    <w:rsid w:val="65715360"/>
    <w:rsid w:val="65822B2F"/>
    <w:rsid w:val="65D45DC0"/>
    <w:rsid w:val="662A14E4"/>
    <w:rsid w:val="6635242D"/>
    <w:rsid w:val="663E6154"/>
    <w:rsid w:val="667411A7"/>
    <w:rsid w:val="66856847"/>
    <w:rsid w:val="66881357"/>
    <w:rsid w:val="668E4FFB"/>
    <w:rsid w:val="66A01F9C"/>
    <w:rsid w:val="66C27196"/>
    <w:rsid w:val="66C75CB3"/>
    <w:rsid w:val="66DC7598"/>
    <w:rsid w:val="66E81298"/>
    <w:rsid w:val="67185FD7"/>
    <w:rsid w:val="671F124A"/>
    <w:rsid w:val="672675EF"/>
    <w:rsid w:val="67581E6D"/>
    <w:rsid w:val="677A33C6"/>
    <w:rsid w:val="679D5123"/>
    <w:rsid w:val="681F6961"/>
    <w:rsid w:val="682664D1"/>
    <w:rsid w:val="68610A2F"/>
    <w:rsid w:val="68686D63"/>
    <w:rsid w:val="686A0EF5"/>
    <w:rsid w:val="68732DD5"/>
    <w:rsid w:val="68805514"/>
    <w:rsid w:val="68EB00A2"/>
    <w:rsid w:val="69203ED4"/>
    <w:rsid w:val="69236EB5"/>
    <w:rsid w:val="692B565B"/>
    <w:rsid w:val="69316E2F"/>
    <w:rsid w:val="69390E53"/>
    <w:rsid w:val="6942733B"/>
    <w:rsid w:val="694E2071"/>
    <w:rsid w:val="69586974"/>
    <w:rsid w:val="69766163"/>
    <w:rsid w:val="697A3B33"/>
    <w:rsid w:val="698379B0"/>
    <w:rsid w:val="698A4D40"/>
    <w:rsid w:val="698B23FE"/>
    <w:rsid w:val="69D24B82"/>
    <w:rsid w:val="69D44760"/>
    <w:rsid w:val="69E91EAC"/>
    <w:rsid w:val="6A0F5A49"/>
    <w:rsid w:val="6A140B08"/>
    <w:rsid w:val="6A283D6D"/>
    <w:rsid w:val="6A3C6480"/>
    <w:rsid w:val="6A4158BE"/>
    <w:rsid w:val="6A4E5D95"/>
    <w:rsid w:val="6A520EC7"/>
    <w:rsid w:val="6A545FB4"/>
    <w:rsid w:val="6AF775FB"/>
    <w:rsid w:val="6AF87E20"/>
    <w:rsid w:val="6B3158B9"/>
    <w:rsid w:val="6B322639"/>
    <w:rsid w:val="6B415740"/>
    <w:rsid w:val="6B4F4FBE"/>
    <w:rsid w:val="6B587E5E"/>
    <w:rsid w:val="6B751E54"/>
    <w:rsid w:val="6C011E9C"/>
    <w:rsid w:val="6C613F7C"/>
    <w:rsid w:val="6C636C38"/>
    <w:rsid w:val="6C7E36C6"/>
    <w:rsid w:val="6CA9458B"/>
    <w:rsid w:val="6CAB127E"/>
    <w:rsid w:val="6CC83D72"/>
    <w:rsid w:val="6CE84A5B"/>
    <w:rsid w:val="6CED474B"/>
    <w:rsid w:val="6D1B65FB"/>
    <w:rsid w:val="6D4F0E98"/>
    <w:rsid w:val="6D57537F"/>
    <w:rsid w:val="6DB34098"/>
    <w:rsid w:val="6DB545B6"/>
    <w:rsid w:val="6DC36570"/>
    <w:rsid w:val="6DE02FB4"/>
    <w:rsid w:val="6E3B0B85"/>
    <w:rsid w:val="6E422ED1"/>
    <w:rsid w:val="6E514CED"/>
    <w:rsid w:val="6E59572E"/>
    <w:rsid w:val="6E7B67C3"/>
    <w:rsid w:val="6E827EED"/>
    <w:rsid w:val="6E8774BD"/>
    <w:rsid w:val="6E882FEE"/>
    <w:rsid w:val="6E965CFE"/>
    <w:rsid w:val="6E9D7CA8"/>
    <w:rsid w:val="6EB563D5"/>
    <w:rsid w:val="6EBB4ABD"/>
    <w:rsid w:val="6ED11CE8"/>
    <w:rsid w:val="6ED92677"/>
    <w:rsid w:val="6F157954"/>
    <w:rsid w:val="6F225983"/>
    <w:rsid w:val="6F7234D1"/>
    <w:rsid w:val="6FAD6731"/>
    <w:rsid w:val="6FDF1F9F"/>
    <w:rsid w:val="6FFC5590"/>
    <w:rsid w:val="703B7137"/>
    <w:rsid w:val="706D1DD0"/>
    <w:rsid w:val="707D18A2"/>
    <w:rsid w:val="70856B87"/>
    <w:rsid w:val="709A7A5C"/>
    <w:rsid w:val="70D311C0"/>
    <w:rsid w:val="70D527EE"/>
    <w:rsid w:val="7100422F"/>
    <w:rsid w:val="712A7918"/>
    <w:rsid w:val="713E3024"/>
    <w:rsid w:val="71417227"/>
    <w:rsid w:val="715B5300"/>
    <w:rsid w:val="71704C61"/>
    <w:rsid w:val="71A14E1B"/>
    <w:rsid w:val="71AD37BF"/>
    <w:rsid w:val="71CC25AC"/>
    <w:rsid w:val="71D27F8A"/>
    <w:rsid w:val="71DB20DB"/>
    <w:rsid w:val="71E62E61"/>
    <w:rsid w:val="71FC02A3"/>
    <w:rsid w:val="720640AE"/>
    <w:rsid w:val="72357E7A"/>
    <w:rsid w:val="723839D1"/>
    <w:rsid w:val="72553024"/>
    <w:rsid w:val="72822E9E"/>
    <w:rsid w:val="72996137"/>
    <w:rsid w:val="72E8794E"/>
    <w:rsid w:val="72EE6C55"/>
    <w:rsid w:val="73122968"/>
    <w:rsid w:val="73161C4E"/>
    <w:rsid w:val="731F5D5E"/>
    <w:rsid w:val="73550DD3"/>
    <w:rsid w:val="736305DA"/>
    <w:rsid w:val="738576A8"/>
    <w:rsid w:val="73966568"/>
    <w:rsid w:val="73C51AD5"/>
    <w:rsid w:val="73C67BAF"/>
    <w:rsid w:val="73D30BA9"/>
    <w:rsid w:val="741E793C"/>
    <w:rsid w:val="741E79F2"/>
    <w:rsid w:val="742B5E8C"/>
    <w:rsid w:val="74391FC0"/>
    <w:rsid w:val="743F2553"/>
    <w:rsid w:val="74427B8C"/>
    <w:rsid w:val="745E3944"/>
    <w:rsid w:val="749A2EE6"/>
    <w:rsid w:val="74A23A6D"/>
    <w:rsid w:val="74BA61F9"/>
    <w:rsid w:val="74DA61D2"/>
    <w:rsid w:val="74E57499"/>
    <w:rsid w:val="74FC6F38"/>
    <w:rsid w:val="74FE3FE7"/>
    <w:rsid w:val="751468AE"/>
    <w:rsid w:val="75150673"/>
    <w:rsid w:val="7555388A"/>
    <w:rsid w:val="756401B5"/>
    <w:rsid w:val="75B92E0A"/>
    <w:rsid w:val="75D72DC6"/>
    <w:rsid w:val="760D6F22"/>
    <w:rsid w:val="76165A19"/>
    <w:rsid w:val="761C7166"/>
    <w:rsid w:val="7635099D"/>
    <w:rsid w:val="765756B0"/>
    <w:rsid w:val="76596926"/>
    <w:rsid w:val="765F4616"/>
    <w:rsid w:val="765F4872"/>
    <w:rsid w:val="76650BFD"/>
    <w:rsid w:val="76745F78"/>
    <w:rsid w:val="76970562"/>
    <w:rsid w:val="769F09AA"/>
    <w:rsid w:val="76AE3F0A"/>
    <w:rsid w:val="771F3F4E"/>
    <w:rsid w:val="77762421"/>
    <w:rsid w:val="77895CE2"/>
    <w:rsid w:val="77B506B7"/>
    <w:rsid w:val="77B56B1F"/>
    <w:rsid w:val="77C2228F"/>
    <w:rsid w:val="77CF0E43"/>
    <w:rsid w:val="780A06B6"/>
    <w:rsid w:val="780F09F4"/>
    <w:rsid w:val="781A6334"/>
    <w:rsid w:val="78380B3E"/>
    <w:rsid w:val="78582336"/>
    <w:rsid w:val="78A90480"/>
    <w:rsid w:val="78F8494D"/>
    <w:rsid w:val="792828EC"/>
    <w:rsid w:val="793A1F57"/>
    <w:rsid w:val="793F4730"/>
    <w:rsid w:val="7950014D"/>
    <w:rsid w:val="7956298E"/>
    <w:rsid w:val="796E7CD8"/>
    <w:rsid w:val="7981328D"/>
    <w:rsid w:val="799368CC"/>
    <w:rsid w:val="799F60E4"/>
    <w:rsid w:val="79A25BD4"/>
    <w:rsid w:val="79B778D1"/>
    <w:rsid w:val="79B82B1F"/>
    <w:rsid w:val="79B853F7"/>
    <w:rsid w:val="7A0917AF"/>
    <w:rsid w:val="7A364017"/>
    <w:rsid w:val="7A3E07E7"/>
    <w:rsid w:val="7A431165"/>
    <w:rsid w:val="7A7C219B"/>
    <w:rsid w:val="7A8075F9"/>
    <w:rsid w:val="7A8265E1"/>
    <w:rsid w:val="7AB72BD4"/>
    <w:rsid w:val="7B033696"/>
    <w:rsid w:val="7B3F62EE"/>
    <w:rsid w:val="7B5B659A"/>
    <w:rsid w:val="7B686D42"/>
    <w:rsid w:val="7B6A6F46"/>
    <w:rsid w:val="7B77618C"/>
    <w:rsid w:val="7B7B492E"/>
    <w:rsid w:val="7B841746"/>
    <w:rsid w:val="7B957660"/>
    <w:rsid w:val="7B9A1258"/>
    <w:rsid w:val="7BAE2F2A"/>
    <w:rsid w:val="7C39681C"/>
    <w:rsid w:val="7C496329"/>
    <w:rsid w:val="7C4C3283"/>
    <w:rsid w:val="7C6C5AC7"/>
    <w:rsid w:val="7C7467CD"/>
    <w:rsid w:val="7C8543F1"/>
    <w:rsid w:val="7CA60C20"/>
    <w:rsid w:val="7CC6544B"/>
    <w:rsid w:val="7CCC3693"/>
    <w:rsid w:val="7CD5125C"/>
    <w:rsid w:val="7CEA3A9B"/>
    <w:rsid w:val="7D0239FF"/>
    <w:rsid w:val="7D2625A7"/>
    <w:rsid w:val="7D4F34FC"/>
    <w:rsid w:val="7D58029C"/>
    <w:rsid w:val="7D5E40CD"/>
    <w:rsid w:val="7D914697"/>
    <w:rsid w:val="7DA939D5"/>
    <w:rsid w:val="7DAB424E"/>
    <w:rsid w:val="7DAF1558"/>
    <w:rsid w:val="7DCC5338"/>
    <w:rsid w:val="7DCD56F2"/>
    <w:rsid w:val="7DD84604"/>
    <w:rsid w:val="7DEF3FAD"/>
    <w:rsid w:val="7DFB06AF"/>
    <w:rsid w:val="7E0B7CD6"/>
    <w:rsid w:val="7E3503B1"/>
    <w:rsid w:val="7E3E3071"/>
    <w:rsid w:val="7E4E074A"/>
    <w:rsid w:val="7E7062A0"/>
    <w:rsid w:val="7E7861C6"/>
    <w:rsid w:val="7E790DDD"/>
    <w:rsid w:val="7ED448B1"/>
    <w:rsid w:val="7F001CE7"/>
    <w:rsid w:val="7F590AE3"/>
    <w:rsid w:val="7F6A0F42"/>
    <w:rsid w:val="7F704689"/>
    <w:rsid w:val="7F790B12"/>
    <w:rsid w:val="7F7C0A32"/>
    <w:rsid w:val="7F927503"/>
    <w:rsid w:val="7F9D0B0A"/>
    <w:rsid w:val="7FA2581F"/>
    <w:rsid w:val="7FAD723D"/>
    <w:rsid w:val="7FC965A7"/>
    <w:rsid w:val="7FD011E7"/>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1" w:semiHidden="0" w:name="heading 3" w:locked="1"/>
    <w:lsdException w:qFormat="1" w:unhideWhenUsed="0" w:uiPriority="1"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7">
    <w:name w:val="heading 3"/>
    <w:basedOn w:val="1"/>
    <w:next w:val="1"/>
    <w:qFormat/>
    <w:locked/>
    <w:uiPriority w:val="1"/>
    <w:pPr>
      <w:ind w:left="240"/>
      <w:outlineLvl w:val="3"/>
    </w:pPr>
    <w:rPr>
      <w:rFonts w:ascii="宋体" w:hAnsi="宋体" w:eastAsia="宋体"/>
      <w:b/>
      <w:bCs/>
      <w:sz w:val="24"/>
      <w:szCs w:val="24"/>
    </w:rPr>
  </w:style>
  <w:style w:type="paragraph" w:styleId="8">
    <w:name w:val="heading 4"/>
    <w:basedOn w:val="1"/>
    <w:next w:val="1"/>
    <w:qFormat/>
    <w:locked/>
    <w:uiPriority w:val="1"/>
    <w:pPr>
      <w:ind w:left="1237" w:hanging="662"/>
      <w:outlineLvl w:val="4"/>
    </w:pPr>
    <w:rPr>
      <w:rFonts w:ascii="宋体" w:hAnsi="宋体" w:eastAsia="宋体" w:cs="宋体"/>
      <w:b/>
      <w:bCs/>
      <w:sz w:val="24"/>
      <w:szCs w:val="24"/>
    </w:rPr>
  </w:style>
  <w:style w:type="character" w:default="1" w:styleId="30">
    <w:name w:val="Default Paragraph Font"/>
    <w:semiHidden/>
    <w:qFormat/>
    <w:uiPriority w:val="0"/>
  </w:style>
  <w:style w:type="table" w:default="1" w:styleId="28">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Default"/>
    <w:basedOn w:val="3"/>
    <w:next w:val="4"/>
    <w:qFormat/>
    <w:uiPriority w:val="0"/>
    <w:pPr>
      <w:autoSpaceDE w:val="0"/>
      <w:autoSpaceDN w:val="0"/>
    </w:pPr>
    <w:rPr>
      <w:rFonts w:ascii="Times New Roman" w:hAnsi="Times New Roman"/>
      <w:color w:val="000000"/>
      <w:sz w:val="24"/>
      <w:szCs w:val="24"/>
    </w:rPr>
  </w:style>
  <w:style w:type="paragraph" w:customStyle="1" w:styleId="3">
    <w:name w:val="纯文本1"/>
    <w:basedOn w:val="1"/>
    <w:next w:val="1"/>
    <w:qFormat/>
    <w:uiPriority w:val="0"/>
    <w:pPr>
      <w:adjustRightInd w:val="0"/>
      <w:textAlignment w:val="baseline"/>
    </w:pPr>
    <w:rPr>
      <w:rFonts w:ascii="宋体" w:hAnsi="Courier New"/>
      <w:szCs w:val="20"/>
    </w:rPr>
  </w:style>
  <w:style w:type="paragraph" w:customStyle="1" w:styleId="4">
    <w:name w:val="样式 样式 首行缩进:  2 字符 + 首行缩进:  2 字符"/>
    <w:next w:val="5"/>
    <w:qFormat/>
    <w:uiPriority w:val="0"/>
    <w:pPr>
      <w:widowControl w:val="0"/>
      <w:snapToGrid w:val="0"/>
      <w:spacing w:line="360" w:lineRule="auto"/>
      <w:ind w:firstLine="560" w:firstLineChars="200"/>
      <w:jc w:val="both"/>
    </w:pPr>
    <w:rPr>
      <w:rFonts w:ascii="Times New Roman" w:hAnsi="Times New Roman" w:eastAsia="宋体" w:cs="Times New Roman"/>
      <w:kern w:val="2"/>
      <w:sz w:val="28"/>
      <w:szCs w:val="28"/>
      <w:lang w:val="en-US" w:eastAsia="zh-CN" w:bidi="ar-SA"/>
    </w:rPr>
  </w:style>
  <w:style w:type="paragraph" w:styleId="5">
    <w:name w:val="toc 1"/>
    <w:basedOn w:val="1"/>
    <w:next w:val="1"/>
    <w:qFormat/>
    <w:locked/>
    <w:uiPriority w:val="0"/>
  </w:style>
  <w:style w:type="paragraph" w:styleId="9">
    <w:name w:val="Normal Indent"/>
    <w:basedOn w:val="1"/>
    <w:next w:val="1"/>
    <w:qFormat/>
    <w:locked/>
    <w:uiPriority w:val="0"/>
    <w:pPr>
      <w:spacing w:before="120" w:line="312" w:lineRule="auto"/>
      <w:ind w:firstLine="420" w:firstLineChars="200"/>
    </w:pPr>
    <w:rPr>
      <w:rFonts w:ascii="Times New Roman" w:hAnsi="Times New Roman"/>
      <w:kern w:val="24"/>
      <w:sz w:val="28"/>
      <w:szCs w:val="20"/>
    </w:rPr>
  </w:style>
  <w:style w:type="paragraph" w:styleId="10">
    <w:name w:val="annotation text"/>
    <w:basedOn w:val="1"/>
    <w:link w:val="50"/>
    <w:semiHidden/>
    <w:qFormat/>
    <w:uiPriority w:val="0"/>
    <w:pPr>
      <w:jc w:val="left"/>
    </w:pPr>
    <w:rPr>
      <w:kern w:val="0"/>
      <w:sz w:val="24"/>
      <w:szCs w:val="20"/>
    </w:rPr>
  </w:style>
  <w:style w:type="paragraph" w:styleId="11">
    <w:name w:val="Salutation"/>
    <w:basedOn w:val="1"/>
    <w:next w:val="1"/>
    <w:qFormat/>
    <w:locked/>
    <w:uiPriority w:val="0"/>
  </w:style>
  <w:style w:type="paragraph" w:styleId="12">
    <w:name w:val="Body Text"/>
    <w:basedOn w:val="1"/>
    <w:next w:val="1"/>
    <w:link w:val="51"/>
    <w:qFormat/>
    <w:uiPriority w:val="0"/>
    <w:pPr>
      <w:widowControl/>
      <w:snapToGrid w:val="0"/>
      <w:spacing w:before="60" w:after="160" w:line="259" w:lineRule="auto"/>
      <w:ind w:right="113"/>
    </w:pPr>
    <w:rPr>
      <w:kern w:val="0"/>
      <w:sz w:val="18"/>
      <w:szCs w:val="20"/>
    </w:rPr>
  </w:style>
  <w:style w:type="paragraph" w:styleId="13">
    <w:name w:val="Body Text Indent"/>
    <w:basedOn w:val="1"/>
    <w:next w:val="14"/>
    <w:link w:val="47"/>
    <w:qFormat/>
    <w:uiPriority w:val="0"/>
    <w:pPr>
      <w:spacing w:after="120"/>
      <w:ind w:left="420" w:leftChars="200"/>
    </w:pPr>
    <w:rPr>
      <w:kern w:val="0"/>
      <w:sz w:val="24"/>
      <w:szCs w:val="20"/>
    </w:rPr>
  </w:style>
  <w:style w:type="paragraph" w:styleId="14">
    <w:name w:val="header"/>
    <w:basedOn w:val="1"/>
    <w:next w:val="1"/>
    <w:link w:val="56"/>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Plain Text"/>
    <w:basedOn w:val="1"/>
    <w:next w:val="1"/>
    <w:qFormat/>
    <w:locked/>
    <w:uiPriority w:val="99"/>
    <w:rPr>
      <w:rFonts w:ascii="宋体" w:hAnsi="Courier New"/>
      <w:kern w:val="0"/>
      <w:szCs w:val="21"/>
    </w:rPr>
  </w:style>
  <w:style w:type="paragraph" w:styleId="16">
    <w:name w:val="List Bullet 5"/>
    <w:basedOn w:val="1"/>
    <w:qFormat/>
    <w:locked/>
    <w:uiPriority w:val="0"/>
    <w:pPr>
      <w:numPr>
        <w:ilvl w:val="0"/>
        <w:numId w:val="1"/>
      </w:numPr>
    </w:pPr>
  </w:style>
  <w:style w:type="paragraph" w:styleId="17">
    <w:name w:val="Date"/>
    <w:basedOn w:val="1"/>
    <w:next w:val="1"/>
    <w:link w:val="53"/>
    <w:qFormat/>
    <w:uiPriority w:val="0"/>
    <w:pPr>
      <w:ind w:left="100" w:leftChars="2500"/>
    </w:pPr>
    <w:rPr>
      <w:kern w:val="0"/>
      <w:sz w:val="24"/>
      <w:szCs w:val="20"/>
    </w:rPr>
  </w:style>
  <w:style w:type="paragraph" w:styleId="18">
    <w:name w:val="Body Text Indent 2"/>
    <w:basedOn w:val="1"/>
    <w:next w:val="19"/>
    <w:qFormat/>
    <w:locked/>
    <w:uiPriority w:val="0"/>
    <w:pPr>
      <w:spacing w:after="120" w:afterLines="0" w:line="480" w:lineRule="auto"/>
      <w:ind w:leftChars="200"/>
    </w:pPr>
    <w:rPr>
      <w:sz w:val="24"/>
    </w:rPr>
  </w:style>
  <w:style w:type="paragraph" w:styleId="19">
    <w:name w:val="Body Text First Indent 2"/>
    <w:basedOn w:val="13"/>
    <w:next w:val="20"/>
    <w:qFormat/>
    <w:locked/>
    <w:uiPriority w:val="0"/>
    <w:pPr>
      <w:ind w:firstLine="420" w:firstLineChars="200"/>
    </w:pPr>
  </w:style>
  <w:style w:type="paragraph" w:styleId="20">
    <w:name w:val="Body Text First Indent"/>
    <w:basedOn w:val="12"/>
    <w:next w:val="1"/>
    <w:qFormat/>
    <w:locked/>
    <w:uiPriority w:val="0"/>
    <w:pPr>
      <w:ind w:firstLine="420" w:firstLineChars="100"/>
    </w:pPr>
    <w:rPr>
      <w:sz w:val="24"/>
    </w:rPr>
  </w:style>
  <w:style w:type="paragraph" w:styleId="21">
    <w:name w:val="Balloon Text"/>
    <w:basedOn w:val="1"/>
    <w:link w:val="54"/>
    <w:semiHidden/>
    <w:qFormat/>
    <w:uiPriority w:val="0"/>
    <w:rPr>
      <w:kern w:val="0"/>
      <w:sz w:val="18"/>
      <w:szCs w:val="20"/>
    </w:rPr>
  </w:style>
  <w:style w:type="paragraph" w:styleId="22">
    <w:name w:val="footer"/>
    <w:basedOn w:val="1"/>
    <w:link w:val="48"/>
    <w:qFormat/>
    <w:uiPriority w:val="99"/>
    <w:pPr>
      <w:tabs>
        <w:tab w:val="center" w:pos="4153"/>
        <w:tab w:val="right" w:pos="8306"/>
      </w:tabs>
      <w:snapToGrid w:val="0"/>
      <w:jc w:val="left"/>
    </w:pPr>
    <w:rPr>
      <w:kern w:val="0"/>
      <w:sz w:val="18"/>
      <w:szCs w:val="20"/>
    </w:rPr>
  </w:style>
  <w:style w:type="paragraph" w:styleId="23">
    <w:name w:val="index heading"/>
    <w:basedOn w:val="1"/>
    <w:next w:val="24"/>
    <w:qFormat/>
    <w:locked/>
    <w:uiPriority w:val="0"/>
    <w:rPr>
      <w:rFonts w:ascii="Arial" w:hAnsi="Arial"/>
      <w:b/>
    </w:rPr>
  </w:style>
  <w:style w:type="paragraph" w:styleId="24">
    <w:name w:val="index 1"/>
    <w:basedOn w:val="1"/>
    <w:next w:val="1"/>
    <w:semiHidden/>
    <w:qFormat/>
    <w:locked/>
    <w:uiPriority w:val="0"/>
    <w:pPr>
      <w:adjustRightInd w:val="0"/>
      <w:snapToGrid w:val="0"/>
      <w:ind w:firstLine="823" w:firstLineChars="358"/>
      <w:jc w:val="left"/>
    </w:pPr>
    <w:rPr>
      <w:rFonts w:ascii="宋体" w:hAnsi="宋体"/>
      <w:spacing w:val="10"/>
    </w:rPr>
  </w:style>
  <w:style w:type="paragraph" w:styleId="25">
    <w:name w:val="toc 2"/>
    <w:basedOn w:val="1"/>
    <w:next w:val="1"/>
    <w:qFormat/>
    <w:locked/>
    <w:uiPriority w:val="39"/>
    <w:pPr>
      <w:ind w:left="420" w:leftChars="200"/>
    </w:pPr>
  </w:style>
  <w:style w:type="paragraph" w:styleId="26">
    <w:name w:val="Normal (Web)"/>
    <w:basedOn w:val="1"/>
    <w:link w:val="52"/>
    <w:qFormat/>
    <w:uiPriority w:val="0"/>
    <w:pPr>
      <w:widowControl/>
      <w:spacing w:before="100" w:beforeAutospacing="1" w:after="100" w:afterAutospacing="1"/>
      <w:jc w:val="left"/>
    </w:pPr>
    <w:rPr>
      <w:rFonts w:ascii="宋体" w:hAnsi="宋体"/>
      <w:kern w:val="0"/>
      <w:sz w:val="24"/>
      <w:szCs w:val="20"/>
    </w:rPr>
  </w:style>
  <w:style w:type="paragraph" w:styleId="27">
    <w:name w:val="annotation subject"/>
    <w:basedOn w:val="10"/>
    <w:next w:val="10"/>
    <w:link w:val="45"/>
    <w:semiHidden/>
    <w:qFormat/>
    <w:uiPriority w:val="0"/>
    <w:rPr>
      <w:b/>
      <w:sz w:val="24"/>
      <w:szCs w:val="20"/>
    </w:rPr>
  </w:style>
  <w:style w:type="table" w:styleId="29">
    <w:name w:val="Table Grid"/>
    <w:basedOn w:val="28"/>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locked/>
    <w:uiPriority w:val="0"/>
    <w:rPr>
      <w:b/>
    </w:rPr>
  </w:style>
  <w:style w:type="character" w:styleId="32">
    <w:name w:val="page number"/>
    <w:basedOn w:val="30"/>
    <w:qFormat/>
    <w:locked/>
    <w:uiPriority w:val="0"/>
  </w:style>
  <w:style w:type="character" w:styleId="33">
    <w:name w:val="Hyperlink"/>
    <w:basedOn w:val="30"/>
    <w:qFormat/>
    <w:locked/>
    <w:uiPriority w:val="0"/>
    <w:rPr>
      <w:color w:val="0000FF"/>
      <w:u w:val="single"/>
    </w:rPr>
  </w:style>
  <w:style w:type="character" w:styleId="34">
    <w:name w:val="annotation reference"/>
    <w:basedOn w:val="30"/>
    <w:semiHidden/>
    <w:qFormat/>
    <w:uiPriority w:val="0"/>
    <w:rPr>
      <w:sz w:val="21"/>
    </w:rPr>
  </w:style>
  <w:style w:type="paragraph" w:customStyle="1" w:styleId="35">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36">
    <w:name w:val="表头"/>
    <w:basedOn w:val="25"/>
    <w:next w:val="15"/>
    <w:qFormat/>
    <w:uiPriority w:val="0"/>
    <w:pPr>
      <w:spacing w:before="156" w:beforeLines="50"/>
      <w:jc w:val="center"/>
    </w:pPr>
    <w:rPr>
      <w:rFonts w:ascii="宋体" w:hAnsi="宋体"/>
      <w:kern w:val="0"/>
      <w:sz w:val="24"/>
    </w:rPr>
  </w:style>
  <w:style w:type="paragraph" w:customStyle="1" w:styleId="37">
    <w:name w:val="样式 标题 1 + 四号 段前: 0 磅 段后: 0 磅 行距: 1.5 倍行距"/>
    <w:basedOn w:val="38"/>
    <w:next w:val="39"/>
    <w:qFormat/>
    <w:uiPriority w:val="0"/>
    <w:pPr>
      <w:spacing w:line="360" w:lineRule="auto"/>
      <w:jc w:val="center"/>
    </w:pPr>
    <w:rPr>
      <w:rFonts w:hAnsi="黑体" w:eastAsia="宋体"/>
      <w:sz w:val="21"/>
    </w:rPr>
  </w:style>
  <w:style w:type="paragraph" w:customStyle="1" w:styleId="38">
    <w:name w:val="1正文"/>
    <w:basedOn w:val="1"/>
    <w:qFormat/>
    <w:uiPriority w:val="0"/>
    <w:pPr>
      <w:spacing w:line="500" w:lineRule="exact"/>
      <w:ind w:firstLine="588" w:firstLineChars="196"/>
    </w:pPr>
    <w:rPr>
      <w:rFonts w:eastAsia="楷体_GB2312"/>
      <w:sz w:val="30"/>
      <w:szCs w:val="30"/>
    </w:rPr>
  </w:style>
  <w:style w:type="paragraph" w:customStyle="1" w:styleId="39">
    <w:name w:val="文本正文"/>
    <w:basedOn w:val="1"/>
    <w:qFormat/>
    <w:uiPriority w:val="0"/>
    <w:pPr>
      <w:keepNext w:val="0"/>
      <w:keepLines w:val="0"/>
      <w:widowControl w:val="0"/>
      <w:suppressLineNumbers w:val="0"/>
      <w:snapToGrid w:val="0"/>
      <w:spacing w:before="0" w:beforeAutospacing="0" w:after="0" w:afterAutospacing="0" w:line="360" w:lineRule="auto"/>
      <w:ind w:left="0" w:right="0" w:firstLine="510"/>
      <w:jc w:val="left"/>
    </w:pPr>
    <w:rPr>
      <w:rFonts w:hint="default" w:ascii="Calibri" w:hAnsi="Calibri" w:eastAsia="宋体" w:cs="Times New Roman"/>
      <w:spacing w:val="4"/>
      <w:kern w:val="24"/>
      <w:sz w:val="21"/>
      <w:szCs w:val="24"/>
      <w:lang w:val="en-US" w:eastAsia="zh-CN" w:bidi="ar"/>
    </w:rPr>
  </w:style>
  <w:style w:type="paragraph" w:customStyle="1" w:styleId="40">
    <w:name w:val="自定义正文"/>
    <w:basedOn w:val="1"/>
    <w:qFormat/>
    <w:uiPriority w:val="0"/>
    <w:pPr>
      <w:adjustRightInd w:val="0"/>
      <w:spacing w:line="360" w:lineRule="auto"/>
      <w:ind w:firstLine="560"/>
    </w:pPr>
    <w:rPr>
      <w:kern w:val="0"/>
      <w:sz w:val="28"/>
      <w:szCs w:val="20"/>
    </w:rPr>
  </w:style>
  <w:style w:type="paragraph" w:customStyle="1" w:styleId="41">
    <w:name w:val="Table Paragraph"/>
    <w:basedOn w:val="1"/>
    <w:qFormat/>
    <w:uiPriority w:val="1"/>
  </w:style>
  <w:style w:type="paragraph" w:customStyle="1" w:styleId="4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4">
    <w:name w:val="表格"/>
    <w:basedOn w:val="1"/>
    <w:next w:val="1"/>
    <w:link w:val="46"/>
    <w:qFormat/>
    <w:uiPriority w:val="0"/>
    <w:pPr>
      <w:adjustRightInd w:val="0"/>
      <w:snapToGrid w:val="0"/>
      <w:spacing w:beforeLines="10" w:afterLines="10" w:line="259" w:lineRule="auto"/>
      <w:jc w:val="center"/>
    </w:pPr>
    <w:rPr>
      <w:rFonts w:ascii="宋体"/>
      <w:kern w:val="0"/>
      <w:szCs w:val="20"/>
    </w:rPr>
  </w:style>
  <w:style w:type="character" w:customStyle="1" w:styleId="45">
    <w:name w:val="批注主题 Char"/>
    <w:link w:val="27"/>
    <w:semiHidden/>
    <w:qFormat/>
    <w:locked/>
    <w:uiPriority w:val="0"/>
    <w:rPr>
      <w:rFonts w:ascii="Times New Roman" w:hAnsi="Times New Roman" w:eastAsia="宋体"/>
      <w:b/>
      <w:kern w:val="2"/>
      <w:sz w:val="24"/>
    </w:rPr>
  </w:style>
  <w:style w:type="character" w:customStyle="1" w:styleId="46">
    <w:name w:val="表格 Char"/>
    <w:link w:val="44"/>
    <w:qFormat/>
    <w:locked/>
    <w:uiPriority w:val="0"/>
    <w:rPr>
      <w:rFonts w:ascii="宋体"/>
      <w:sz w:val="21"/>
    </w:rPr>
  </w:style>
  <w:style w:type="character" w:customStyle="1" w:styleId="47">
    <w:name w:val="正文文本缩进 Char"/>
    <w:link w:val="13"/>
    <w:semiHidden/>
    <w:qFormat/>
    <w:locked/>
    <w:uiPriority w:val="0"/>
    <w:rPr>
      <w:rFonts w:ascii="Times New Roman" w:hAnsi="Times New Roman" w:eastAsia="宋体"/>
      <w:sz w:val="24"/>
    </w:rPr>
  </w:style>
  <w:style w:type="character" w:customStyle="1" w:styleId="48">
    <w:name w:val="页脚 Char"/>
    <w:link w:val="22"/>
    <w:qFormat/>
    <w:locked/>
    <w:uiPriority w:val="99"/>
    <w:rPr>
      <w:sz w:val="18"/>
    </w:rPr>
  </w:style>
  <w:style w:type="character" w:customStyle="1" w:styleId="49">
    <w:name w:val="批注文字 字符1"/>
    <w:semiHidden/>
    <w:qFormat/>
    <w:uiPriority w:val="0"/>
    <w:rPr>
      <w:rFonts w:ascii="Times New Roman" w:hAnsi="Times New Roman" w:eastAsia="宋体"/>
      <w:sz w:val="24"/>
    </w:rPr>
  </w:style>
  <w:style w:type="character" w:customStyle="1" w:styleId="50">
    <w:name w:val="批注文字 Char"/>
    <w:link w:val="10"/>
    <w:qFormat/>
    <w:locked/>
    <w:uiPriority w:val="0"/>
    <w:rPr>
      <w:rFonts w:ascii="Times New Roman" w:hAnsi="Times New Roman" w:eastAsia="宋体"/>
      <w:sz w:val="24"/>
    </w:rPr>
  </w:style>
  <w:style w:type="character" w:customStyle="1" w:styleId="51">
    <w:name w:val="正文文本 Char"/>
    <w:basedOn w:val="30"/>
    <w:link w:val="12"/>
    <w:qFormat/>
    <w:locked/>
    <w:uiPriority w:val="0"/>
    <w:rPr>
      <w:sz w:val="18"/>
    </w:rPr>
  </w:style>
  <w:style w:type="character" w:customStyle="1" w:styleId="52">
    <w:name w:val="普通(网站) Char"/>
    <w:link w:val="26"/>
    <w:qFormat/>
    <w:locked/>
    <w:uiPriority w:val="0"/>
    <w:rPr>
      <w:rFonts w:ascii="宋体" w:hAnsi="宋体" w:eastAsia="宋体"/>
      <w:sz w:val="24"/>
    </w:rPr>
  </w:style>
  <w:style w:type="character" w:customStyle="1" w:styleId="53">
    <w:name w:val="日期 Char"/>
    <w:link w:val="17"/>
    <w:qFormat/>
    <w:locked/>
    <w:uiPriority w:val="0"/>
    <w:rPr>
      <w:rFonts w:ascii="Times New Roman" w:hAnsi="Times New Roman" w:eastAsia="宋体"/>
      <w:sz w:val="24"/>
    </w:rPr>
  </w:style>
  <w:style w:type="character" w:customStyle="1" w:styleId="54">
    <w:name w:val="批注框文本 Char"/>
    <w:link w:val="21"/>
    <w:semiHidden/>
    <w:qFormat/>
    <w:locked/>
    <w:uiPriority w:val="0"/>
    <w:rPr>
      <w:rFonts w:ascii="Times New Roman" w:hAnsi="Times New Roman" w:eastAsia="宋体"/>
      <w:sz w:val="18"/>
    </w:rPr>
  </w:style>
  <w:style w:type="character" w:customStyle="1" w:styleId="55">
    <w:name w:val="日期 字符"/>
    <w:semiHidden/>
    <w:qFormat/>
    <w:uiPriority w:val="0"/>
    <w:rPr>
      <w:rFonts w:ascii="Times New Roman" w:hAnsi="Times New Roman" w:eastAsia="宋体"/>
      <w:sz w:val="24"/>
    </w:rPr>
  </w:style>
  <w:style w:type="character" w:customStyle="1" w:styleId="56">
    <w:name w:val="页眉 Char"/>
    <w:link w:val="14"/>
    <w:qFormat/>
    <w:locked/>
    <w:uiPriority w:val="0"/>
    <w:rPr>
      <w:sz w:val="18"/>
    </w:rPr>
  </w:style>
  <w:style w:type="character" w:customStyle="1" w:styleId="57">
    <w:name w:val="页脚 字符"/>
    <w:basedOn w:val="30"/>
    <w:qFormat/>
    <w:uiPriority w:val="99"/>
  </w:style>
  <w:style w:type="character" w:customStyle="1" w:styleId="58">
    <w:name w:val="正文文本 字符1"/>
    <w:semiHidden/>
    <w:qFormat/>
    <w:uiPriority w:val="0"/>
    <w:rPr>
      <w:rFonts w:ascii="Times New Roman" w:hAnsi="Times New Roman" w:eastAsia="宋体"/>
      <w:sz w:val="24"/>
    </w:rPr>
  </w:style>
  <w:style w:type="paragraph" w:customStyle="1" w:styleId="59">
    <w:name w:val="11"/>
    <w:basedOn w:val="12"/>
    <w:qFormat/>
    <w:uiPriority w:val="0"/>
    <w:pPr>
      <w:autoSpaceDE w:val="0"/>
      <w:autoSpaceDN w:val="0"/>
      <w:adjustRightInd w:val="0"/>
      <w:spacing w:after="0"/>
      <w:ind w:firstLine="472" w:firstLineChars="196"/>
      <w:jc w:val="left"/>
    </w:pPr>
  </w:style>
  <w:style w:type="paragraph" w:customStyle="1" w:styleId="60">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61">
    <w:name w:val="正 文"/>
    <w:qFormat/>
    <w:uiPriority w:val="0"/>
    <w:pPr>
      <w:widowControl w:val="0"/>
      <w:spacing w:line="360" w:lineRule="auto"/>
      <w:ind w:firstLine="480" w:firstLineChars="200"/>
    </w:pPr>
    <w:rPr>
      <w:rFonts w:ascii="Times New Roman" w:hAnsi="Times New Roman" w:eastAsia="宋体" w:cs="宋体"/>
      <w:kern w:val="2"/>
      <w:sz w:val="24"/>
      <w:szCs w:val="24"/>
      <w:lang w:val="en-US" w:eastAsia="zh-CN" w:bidi="ar-SA"/>
    </w:rPr>
  </w:style>
  <w:style w:type="paragraph" w:customStyle="1" w:styleId="62">
    <w:name w:val="制表格"/>
    <w:basedOn w:val="1"/>
    <w:qFormat/>
    <w:uiPriority w:val="0"/>
    <w:pPr>
      <w:jc w:val="center"/>
    </w:pPr>
    <w:rPr>
      <w:rFonts w:ascii="Times New Roman" w:hAnsi="Times New Roman"/>
      <w:snapToGrid w:val="0"/>
      <w:kern w:val="0"/>
      <w:szCs w:val="28"/>
    </w:rPr>
  </w:style>
  <w:style w:type="character" w:customStyle="1" w:styleId="63">
    <w:name w:val="ggzbt011"/>
    <w:basedOn w:val="30"/>
    <w:qFormat/>
    <w:uiPriority w:val="0"/>
  </w:style>
  <w:style w:type="paragraph" w:customStyle="1" w:styleId="64">
    <w:name w:val="WPSOffice手动目录 1"/>
    <w:qFormat/>
    <w:uiPriority w:val="0"/>
    <w:pPr>
      <w:ind w:leftChars="0"/>
    </w:pPr>
    <w:rPr>
      <w:rFonts w:ascii="Times New Roman" w:hAnsi="Times New Roman" w:eastAsia="宋体" w:cs="Times New Roman"/>
      <w:sz w:val="20"/>
      <w:szCs w:val="20"/>
    </w:rPr>
  </w:style>
  <w:style w:type="character" w:customStyle="1" w:styleId="65">
    <w:name w:val="正文（首行缩进两字） Char"/>
    <w:qFormat/>
    <w:uiPriority w:val="0"/>
    <w:rPr>
      <w:rFonts w:eastAsia="宋体"/>
      <w:kern w:val="2"/>
      <w:sz w:val="24"/>
      <w:lang w:val="en-US" w:eastAsia="zh-CN"/>
    </w:rPr>
  </w:style>
  <w:style w:type="paragraph" w:customStyle="1" w:styleId="66">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67">
    <w:name w:val="三级标题"/>
    <w:basedOn w:val="68"/>
    <w:qFormat/>
    <w:uiPriority w:val="0"/>
    <w:rPr>
      <w:sz w:val="24"/>
    </w:rPr>
  </w:style>
  <w:style w:type="paragraph" w:customStyle="1" w:styleId="68">
    <w:name w:val="一级标题"/>
    <w:basedOn w:val="1"/>
    <w:qFormat/>
    <w:uiPriority w:val="0"/>
    <w:pPr>
      <w:ind w:firstLine="0" w:firstLineChars="0"/>
      <w:jc w:val="left"/>
    </w:pPr>
    <w:rPr>
      <w:b/>
      <w:sz w:val="30"/>
    </w:rPr>
  </w:style>
  <w:style w:type="paragraph" w:customStyle="1" w:styleId="69">
    <w:name w:val="文本22"/>
    <w:basedOn w:val="1"/>
    <w:qFormat/>
    <w:uiPriority w:val="0"/>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pPr>
    <w:rPr>
      <w:rFonts w:hint="default" w:ascii="Times New Roman" w:hAnsi="Times New Roman" w:eastAsia="宋体" w:cs="Times New Roman"/>
      <w:kern w:val="2"/>
      <w:sz w:val="24"/>
      <w:szCs w:val="24"/>
      <w:lang w:val="en-US" w:eastAsia="zh-CN" w:bidi="ar"/>
    </w:rPr>
  </w:style>
  <w:style w:type="paragraph" w:customStyle="1" w:styleId="70">
    <w:name w:val="正文内容"/>
    <w:qFormat/>
    <w:uiPriority w:val="0"/>
    <w:pPr>
      <w:widowControl w:val="0"/>
      <w:snapToGrid w:val="0"/>
      <w:spacing w:before="60" w:after="60" w:line="44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71">
    <w:name w:val="表格内文字"/>
    <w:semiHidden/>
    <w:qFormat/>
    <w:uiPriority w:val="0"/>
    <w:pPr>
      <w:keepNext/>
      <w:widowControl w:val="0"/>
      <w:spacing w:line="240" w:lineRule="atLeast"/>
      <w:jc w:val="center"/>
    </w:pPr>
    <w:rPr>
      <w:rFonts w:ascii="宋体" w:hAnsi="宋体" w:eastAsia="宋体" w:cs="Times New Roman"/>
      <w:w w:val="90"/>
      <w:sz w:val="21"/>
      <w:szCs w:val="22"/>
      <w:lang w:val="en-US" w:eastAsia="zh-CN" w:bidi="ar-SA"/>
    </w:rPr>
  </w:style>
  <w:style w:type="paragraph" w:customStyle="1" w:styleId="72">
    <w:name w:val=" Char Char Char Char"/>
    <w:basedOn w:val="1"/>
    <w:qFormat/>
    <w:uiPriority w:val="0"/>
    <w:pPr>
      <w:snapToGrid w:val="0"/>
      <w:spacing w:line="360" w:lineRule="auto"/>
      <w:ind w:firstLine="200" w:firstLineChars="200"/>
    </w:pPr>
    <w:rPr>
      <w:szCs w:val="20"/>
    </w:rPr>
  </w:style>
  <w:style w:type="paragraph" w:customStyle="1" w:styleId="73">
    <w:name w:val="标题5"/>
    <w:basedOn w:val="1"/>
    <w:qFormat/>
    <w:uiPriority w:val="0"/>
    <w:pPr>
      <w:adjustRightInd w:val="0"/>
      <w:spacing w:line="520" w:lineRule="atLeast"/>
      <w:ind w:firstLine="480" w:firstLineChars="200"/>
    </w:pPr>
    <w:rPr>
      <w:rFonts w:ascii="宋体" w:hAnsi="宋体"/>
      <w:color w:val="000000"/>
      <w:sz w:val="24"/>
      <w:szCs w:val="24"/>
    </w:rPr>
  </w:style>
  <w:style w:type="paragraph" w:customStyle="1" w:styleId="74">
    <w:name w:val="表内容"/>
    <w:basedOn w:val="1"/>
    <w:qFormat/>
    <w:uiPriority w:val="0"/>
    <w:pPr>
      <w:jc w:val="center"/>
    </w:pPr>
    <w:rPr>
      <w:rFonts w:ascii="Times New Roman" w:hAnsi="Times New Roman" w:eastAsia="仿宋" w:cstheme="minorBidi"/>
    </w:rPr>
  </w:style>
  <w:style w:type="paragraph" w:customStyle="1" w:styleId="75">
    <w:name w:val="样式 正文 行距: 固定值 25 磅"/>
    <w:basedOn w:val="1"/>
    <w:qFormat/>
    <w:uiPriority w:val="0"/>
    <w:pPr>
      <w:adjustRightInd w:val="0"/>
      <w:spacing w:line="500" w:lineRule="exact"/>
      <w:ind w:firstLine="200" w:firstLineChars="200"/>
      <w:jc w:val="left"/>
    </w:pPr>
    <w:rPr>
      <w:rFonts w:ascii="Times New Roman" w:hAnsi="Times New Roman" w:cs="宋体"/>
      <w:sz w:val="24"/>
      <w:szCs w:val="24"/>
    </w:rPr>
  </w:style>
  <w:style w:type="paragraph" w:customStyle="1" w:styleId="76">
    <w:name w:val="Char1"/>
    <w:basedOn w:val="1"/>
    <w:qFormat/>
    <w:uiPriority w:val="0"/>
    <w:rPr>
      <w:rFonts w:ascii="Times New Roman" w:hAnsi="Times New Roman"/>
      <w:szCs w:val="21"/>
    </w:rPr>
  </w:style>
  <w:style w:type="paragraph" w:customStyle="1" w:styleId="77">
    <w:name w:val="文本"/>
    <w:basedOn w:val="1"/>
    <w:qFormat/>
    <w:uiPriority w:val="0"/>
    <w:pPr>
      <w:spacing w:line="360" w:lineRule="auto"/>
      <w:ind w:firstLine="480" w:firstLineChars="200"/>
    </w:pPr>
    <w:rPr>
      <w:rFonts w:ascii="Times New Roman" w:hAnsi="Times New Roman"/>
      <w:sz w:val="24"/>
      <w:szCs w:val="24"/>
    </w:rPr>
  </w:style>
  <w:style w:type="paragraph" w:customStyle="1" w:styleId="78">
    <w:name w:val="F正文"/>
    <w:basedOn w:val="1"/>
    <w:qFormat/>
    <w:uiPriority w:val="0"/>
    <w:pPr>
      <w:framePr w:wrap="notBeside" w:vAnchor="text" w:hAnchor="text" w:y="1"/>
      <w:spacing w:line="360" w:lineRule="auto"/>
      <w:ind w:firstLine="200" w:firstLineChars="200"/>
    </w:pPr>
    <w:rPr>
      <w:rFonts w:ascii="Times New Roman" w:hAnsi="Times New Roman"/>
      <w:color w:val="000000"/>
      <w:kern w:val="0"/>
      <w:sz w:val="24"/>
      <w:szCs w:val="20"/>
      <w:lang w:val="zh-CN"/>
    </w:rPr>
  </w:style>
  <w:style w:type="character" w:customStyle="1" w:styleId="79">
    <w:name w:val="NormalCharacter"/>
    <w:semiHidden/>
    <w:qFormat/>
    <w:uiPriority w:val="0"/>
  </w:style>
  <w:style w:type="paragraph" w:customStyle="1" w:styleId="80">
    <w:name w:val="1正文段落"/>
    <w:basedOn w:val="1"/>
    <w:unhideWhenUsed/>
    <w:qFormat/>
    <w:uiPriority w:val="0"/>
    <w:pPr>
      <w:spacing w:beforeLines="0" w:afterLines="0" w:line="360" w:lineRule="auto"/>
      <w:ind w:firstLine="200" w:firstLineChars="200"/>
    </w:pPr>
    <w:rPr>
      <w:rFonts w:hint="default" w:ascii="Times New Roman" w:hAnsi="Times New Roman"/>
      <w:snapToGrid w:val="0"/>
      <w:kern w:val="0"/>
      <w:sz w:val="24"/>
    </w:rPr>
  </w:style>
  <w:style w:type="character" w:customStyle="1" w:styleId="81">
    <w:name w:val="正文文本 Char1"/>
    <w:qFormat/>
    <w:uiPriority w:val="0"/>
    <w:rPr>
      <w:rFonts w:eastAsia="宋体"/>
      <w:kern w:val="2"/>
      <w:sz w:val="28"/>
      <w:szCs w:val="24"/>
      <w:lang w:val="en-US" w:eastAsia="zh-CN" w:bidi="ar-SA"/>
    </w:rPr>
  </w:style>
  <w:style w:type="paragraph" w:customStyle="1" w:styleId="82">
    <w:name w:val="中文报告书样式"/>
    <w:basedOn w:val="1"/>
    <w:qFormat/>
    <w:uiPriority w:val="0"/>
    <w:pPr>
      <w:adjustRightInd w:val="0"/>
      <w:spacing w:line="480" w:lineRule="atLeast"/>
      <w:ind w:firstLine="482"/>
    </w:pPr>
    <w:rPr>
      <w:rFonts w:hint="default" w:ascii="Arial" w:hAnsi="Arial" w:eastAsia="Times New Roman" w:cs="Verdana"/>
      <w:b/>
      <w:kern w:val="24"/>
      <w:szCs w:val="24"/>
      <w:lang w:eastAsia="en-US"/>
    </w:rPr>
  </w:style>
  <w:style w:type="paragraph" w:customStyle="1" w:styleId="83">
    <w:name w:val="自定义2"/>
    <w:basedOn w:val="1"/>
    <w:qFormat/>
    <w:uiPriority w:val="0"/>
    <w:pPr>
      <w:spacing w:line="360" w:lineRule="auto"/>
      <w:ind w:firstLine="480" w:firstLineChars="200"/>
    </w:pPr>
    <w:rPr>
      <w:rFonts w:hAnsi="宋体"/>
      <w:sz w:val="24"/>
      <w:szCs w:val="22"/>
    </w:rPr>
  </w:style>
  <w:style w:type="paragraph" w:customStyle="1" w:styleId="84">
    <w:name w:val="1、正文文本"/>
    <w:next w:val="1"/>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85">
    <w:name w:val="5 Char"/>
    <w:basedOn w:val="1"/>
    <w:qFormat/>
    <w:uiPriority w:val="0"/>
    <w:rPr>
      <w:sz w:val="24"/>
    </w:rPr>
  </w:style>
  <w:style w:type="paragraph" w:styleId="86">
    <w:name w:val="List Paragraph"/>
    <w:basedOn w:val="1"/>
    <w:next w:val="1"/>
    <w:qFormat/>
    <w:uiPriority w:val="1"/>
    <w:pPr>
      <w:ind w:left="1237" w:hanging="601"/>
    </w:pPr>
    <w:rPr>
      <w:rFonts w:ascii="宋体" w:hAnsi="宋体" w:eastAsia="宋体" w:cs="宋体"/>
    </w:rPr>
  </w:style>
  <w:style w:type="paragraph" w:customStyle="1" w:styleId="87">
    <w:name w:val="A-文本格式"/>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customStyle="1" w:styleId="88">
    <w:name w:val="无间隔1"/>
    <w:basedOn w:val="1"/>
    <w:qFormat/>
    <w:uiPriority w:val="1"/>
    <w:pPr>
      <w:spacing w:line="360" w:lineRule="auto"/>
      <w:ind w:firstLine="200" w:firstLineChars="200"/>
    </w:pPr>
    <w:rPr>
      <w:rFonts w:ascii="Times New Roman" w:hAnsi="Times New Roman"/>
      <w:color w:val="000000"/>
      <w:sz w:val="24"/>
      <w:szCs w:val="24"/>
    </w:rPr>
  </w:style>
  <w:style w:type="character" w:customStyle="1" w:styleId="89">
    <w:name w:val="font11"/>
    <w:basedOn w:val="30"/>
    <w:qFormat/>
    <w:uiPriority w:val="0"/>
    <w:rPr>
      <w:rFonts w:hint="eastAsia" w:ascii="宋体" w:hAnsi="宋体" w:eastAsia="宋体" w:cs="宋体"/>
      <w:color w:val="000000"/>
      <w:sz w:val="21"/>
      <w:szCs w:val="21"/>
      <w:u w:val="none"/>
    </w:rPr>
  </w:style>
  <w:style w:type="character" w:customStyle="1" w:styleId="90">
    <w:name w:val="font31"/>
    <w:basedOn w:val="30"/>
    <w:qFormat/>
    <w:uiPriority w:val="0"/>
    <w:rPr>
      <w:rFonts w:hint="default" w:ascii="Times New Roman" w:hAnsi="Times New Roman" w:cs="Times New Roman"/>
      <w:color w:val="000000"/>
      <w:sz w:val="21"/>
      <w:szCs w:val="21"/>
      <w:u w:val="none"/>
    </w:rPr>
  </w:style>
  <w:style w:type="character" w:customStyle="1" w:styleId="91">
    <w:name w:val="font21"/>
    <w:basedOn w:val="30"/>
    <w:qFormat/>
    <w:uiPriority w:val="0"/>
    <w:rPr>
      <w:rFonts w:hint="default" w:ascii="Times New Roman" w:hAnsi="Times New Roman" w:cs="Times New Roman"/>
      <w:color w:val="000000"/>
      <w:sz w:val="13"/>
      <w:szCs w:val="13"/>
      <w:u w:val="none"/>
    </w:rPr>
  </w:style>
  <w:style w:type="paragraph" w:customStyle="1" w:styleId="92">
    <w:name w:val="dxj正文"/>
    <w:basedOn w:val="1"/>
    <w:qFormat/>
    <w:uiPriority w:val="0"/>
    <w:pPr>
      <w:spacing w:line="360" w:lineRule="auto"/>
      <w:ind w:firstLine="200" w:firstLineChars="200"/>
    </w:pPr>
    <w:rPr>
      <w:rFonts w:ascii="Times New Roman"/>
      <w:kern w:val="2"/>
      <w:szCs w:val="24"/>
    </w:rPr>
  </w:style>
  <w:style w:type="character" w:customStyle="1" w:styleId="93">
    <w:name w:val="font51"/>
    <w:basedOn w:val="30"/>
    <w:qFormat/>
    <w:uiPriority w:val="0"/>
    <w:rPr>
      <w:rFonts w:hint="default" w:ascii="Times New Roman" w:hAnsi="Times New Roman" w:cs="Times New Roman"/>
      <w:b/>
      <w:bCs/>
      <w:color w:val="FF0000"/>
      <w:sz w:val="21"/>
      <w:szCs w:val="21"/>
      <w:u w:val="none"/>
      <w:vertAlign w:val="superscript"/>
    </w:rPr>
  </w:style>
  <w:style w:type="character" w:customStyle="1" w:styleId="94">
    <w:name w:val="font41"/>
    <w:basedOn w:val="30"/>
    <w:qFormat/>
    <w:uiPriority w:val="0"/>
    <w:rPr>
      <w:rFonts w:hint="default" w:ascii="Times New Roman" w:hAnsi="Times New Roman" w:cs="Times New Roman"/>
      <w:color w:val="FF0000"/>
      <w:sz w:val="21"/>
      <w:szCs w:val="21"/>
      <w:u w:val="none"/>
    </w:rPr>
  </w:style>
  <w:style w:type="character" w:customStyle="1" w:styleId="95">
    <w:name w:val="font01"/>
    <w:basedOn w:val="30"/>
    <w:qFormat/>
    <w:uiPriority w:val="0"/>
    <w:rPr>
      <w:rFonts w:hint="default" w:ascii="Times New Roman" w:hAnsi="Times New Roman" w:cs="Times New Roman"/>
      <w:color w:val="000000"/>
      <w:sz w:val="24"/>
      <w:szCs w:val="24"/>
      <w:u w:val="none"/>
      <w:vertAlign w:val="superscript"/>
    </w:rPr>
  </w:style>
  <w:style w:type="character" w:customStyle="1" w:styleId="96">
    <w:name w:val="font61"/>
    <w:basedOn w:val="30"/>
    <w:qFormat/>
    <w:uiPriority w:val="0"/>
    <w:rPr>
      <w:rFonts w:hint="default" w:ascii="Times New Roman" w:hAnsi="Times New Roman" w:cs="Times New Roman"/>
      <w:b/>
      <w:color w:val="000000"/>
      <w:sz w:val="21"/>
      <w:szCs w:val="21"/>
      <w:u w:val="none"/>
    </w:rPr>
  </w:style>
  <w:style w:type="paragraph" w:customStyle="1" w:styleId="97">
    <w:name w:val="表格标题"/>
    <w:basedOn w:val="1"/>
    <w:qFormat/>
    <w:uiPriority w:val="0"/>
    <w:pPr>
      <w:spacing w:line="540" w:lineRule="exact"/>
      <w:jc w:val="center"/>
    </w:pPr>
    <w:rPr>
      <w:rFonts w:ascii="宋体" w:hAnsi="宋体"/>
      <w:bCs/>
      <w:sz w:val="24"/>
    </w:rPr>
  </w:style>
  <w:style w:type="character" w:customStyle="1" w:styleId="98">
    <w:name w:val="font91"/>
    <w:basedOn w:val="30"/>
    <w:qFormat/>
    <w:uiPriority w:val="0"/>
    <w:rPr>
      <w:rFonts w:hint="default" w:ascii="Times New Roman" w:hAnsi="Times New Roman" w:cs="Times New Roman"/>
      <w:b/>
      <w:bCs/>
      <w:color w:val="000000"/>
      <w:sz w:val="21"/>
      <w:szCs w:val="21"/>
      <w:u w:val="none"/>
    </w:rPr>
  </w:style>
  <w:style w:type="character" w:customStyle="1" w:styleId="99">
    <w:name w:val="font101"/>
    <w:basedOn w:val="30"/>
    <w:qFormat/>
    <w:uiPriority w:val="0"/>
    <w:rPr>
      <w:rFonts w:hint="default" w:ascii="Times New Roman" w:hAnsi="Times New Roman" w:cs="Times New Roman"/>
      <w:b/>
      <w:bCs/>
      <w:color w:val="000000"/>
      <w:sz w:val="21"/>
      <w:szCs w:val="21"/>
      <w:u w:val="none"/>
      <w:vertAlign w:val="superscript"/>
    </w:rPr>
  </w:style>
  <w:style w:type="character" w:customStyle="1" w:styleId="100">
    <w:name w:val="font112"/>
    <w:basedOn w:val="30"/>
    <w:qFormat/>
    <w:uiPriority w:val="0"/>
    <w:rPr>
      <w:rFonts w:hint="default" w:ascii="Times New Roman" w:hAnsi="Times New Roman" w:cs="Times New Roman"/>
      <w:color w:val="000000"/>
      <w:sz w:val="21"/>
      <w:szCs w:val="21"/>
      <w:u w:val="none"/>
      <w:vertAlign w:val="subscript"/>
    </w:rPr>
  </w:style>
  <w:style w:type="character" w:customStyle="1" w:styleId="101">
    <w:name w:val="font71"/>
    <w:basedOn w:val="30"/>
    <w:qFormat/>
    <w:uiPriority w:val="0"/>
    <w:rPr>
      <w:rFonts w:hint="default" w:ascii="Times New Roman" w:hAnsi="Times New Roman" w:cs="Times New Roman"/>
      <w:b/>
      <w:bCs/>
      <w:color w:val="FF0000"/>
      <w:sz w:val="21"/>
      <w:szCs w:val="21"/>
      <w:u w:val="none"/>
    </w:rPr>
  </w:style>
  <w:style w:type="character" w:customStyle="1" w:styleId="102">
    <w:name w:val="font81"/>
    <w:basedOn w:val="30"/>
    <w:qFormat/>
    <w:uiPriority w:val="0"/>
    <w:rPr>
      <w:rFonts w:hint="eastAsia" w:ascii="宋体" w:hAnsi="宋体" w:eastAsia="宋体" w:cs="宋体"/>
      <w:b/>
      <w:bCs/>
      <w:color w:val="FF0000"/>
      <w:sz w:val="21"/>
      <w:szCs w:val="21"/>
      <w:u w:val="none"/>
    </w:rPr>
  </w:style>
  <w:style w:type="character" w:customStyle="1" w:styleId="103">
    <w:name w:val="font121"/>
    <w:basedOn w:val="30"/>
    <w:qFormat/>
    <w:uiPriority w:val="0"/>
    <w:rPr>
      <w:rFonts w:hint="default" w:ascii="Times New Roman" w:hAnsi="Times New Roman" w:cs="Times New Roman"/>
      <w:color w:val="000000"/>
      <w:sz w:val="21"/>
      <w:szCs w:val="21"/>
      <w:u w:val="none"/>
      <w:vertAlign w:val="superscript"/>
    </w:rPr>
  </w:style>
  <w:style w:type="character" w:customStyle="1" w:styleId="104">
    <w:name w:val="font131"/>
    <w:basedOn w:val="30"/>
    <w:qFormat/>
    <w:uiPriority w:val="0"/>
    <w:rPr>
      <w:rFonts w:hint="default" w:ascii="Times New Roman" w:hAnsi="Times New Roman" w:cs="Times New Roman"/>
      <w:color w:val="FF0000"/>
      <w:sz w:val="21"/>
      <w:szCs w:val="21"/>
      <w:u w:val="none"/>
      <w:vertAlign w:val="subscript"/>
    </w:rPr>
  </w:style>
  <w:style w:type="paragraph" w:customStyle="1" w:styleId="105">
    <w:name w:val="wlm表格"/>
    <w:basedOn w:val="1"/>
    <w:qFormat/>
    <w:uiPriority w:val="0"/>
    <w:pPr>
      <w:snapToGrid w:val="0"/>
      <w:spacing w:line="240" w:lineRule="auto"/>
      <w:ind w:firstLine="0" w:firstLineChars="0"/>
      <w:jc w:val="center"/>
    </w:pPr>
    <w:rPr>
      <w:rFonts w:ascii="Times New Roman" w:hAnsi="Times New Roman" w:eastAsia="宋体"/>
      <w:spacing w:val="2"/>
      <w:sz w:val="21"/>
      <w:szCs w:val="21"/>
    </w:rPr>
  </w:style>
  <w:style w:type="paragraph" w:customStyle="1" w:styleId="106">
    <w:name w:val="p0"/>
    <w:basedOn w:val="1"/>
    <w:qFormat/>
    <w:uiPriority w:val="0"/>
    <w:pPr>
      <w:widowControl/>
      <w:spacing w:line="240" w:lineRule="auto"/>
      <w:ind w:firstLine="0" w:firstLineChars="0"/>
    </w:pPr>
    <w:rPr>
      <w:kern w:val="0"/>
      <w:sz w:val="21"/>
      <w:szCs w:val="21"/>
    </w:rPr>
  </w:style>
  <w:style w:type="paragraph" w:customStyle="1" w:styleId="107">
    <w:name w:val="cucd-0"/>
    <w:qFormat/>
    <w:uiPriority w:val="0"/>
    <w:pPr>
      <w:spacing w:line="360" w:lineRule="auto"/>
      <w:ind w:firstLine="480" w:firstLineChars="200"/>
    </w:pPr>
    <w:rPr>
      <w:rFonts w:ascii="Times New Roman" w:hAnsi="Times New Roman" w:eastAsia="Times New Roman" w:cs="Times New Roman"/>
      <w:szCs w:val="24"/>
      <w:lang w:val="en-US" w:eastAsia="zh-CN" w:bidi="ar-SA"/>
    </w:rPr>
  </w:style>
  <w:style w:type="paragraph" w:customStyle="1" w:styleId="108">
    <w:name w:val="_Style 5"/>
    <w:qFormat/>
    <w:uiPriority w:val="0"/>
    <w:pPr>
      <w:widowControl w:val="0"/>
      <w:jc w:val="center"/>
    </w:pPr>
    <w:rPr>
      <w:rFonts w:ascii="Calibri" w:hAnsi="Calibri" w:eastAsia="宋体" w:cs="Times New Roman"/>
      <w:kern w:val="2"/>
      <w:sz w:val="21"/>
      <w:szCs w:val="22"/>
      <w:lang w:val="en-US" w:eastAsia="zh-CN" w:bidi="ar-SA"/>
    </w:rPr>
  </w:style>
  <w:style w:type="paragraph" w:customStyle="1" w:styleId="109">
    <w:name w:val="正常段落"/>
    <w:basedOn w:val="9"/>
    <w:qFormat/>
    <w:uiPriority w:val="0"/>
    <w:pPr>
      <w:spacing w:after="100" w:afterAutospacing="1" w:line="440" w:lineRule="exact"/>
    </w:pPr>
    <w:rPr>
      <w:rFonts w:ascii="宋体" w:hAnsi="Times New Roman" w:eastAsia="宋体" w:cs="宋体"/>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23.wmf"/><Relationship Id="rId38" Type="http://schemas.openxmlformats.org/officeDocument/2006/relationships/oleObject" Target="embeddings/oleObject6.bin"/><Relationship Id="rId37" Type="http://schemas.openxmlformats.org/officeDocument/2006/relationships/image" Target="media/image22.wmf"/><Relationship Id="rId36" Type="http://schemas.openxmlformats.org/officeDocument/2006/relationships/oleObject" Target="embeddings/oleObject5.bin"/><Relationship Id="rId35" Type="http://schemas.openxmlformats.org/officeDocument/2006/relationships/image" Target="media/image21.wmf"/><Relationship Id="rId34" Type="http://schemas.openxmlformats.org/officeDocument/2006/relationships/oleObject" Target="embeddings/oleObject4.bin"/><Relationship Id="rId33" Type="http://schemas.openxmlformats.org/officeDocument/2006/relationships/image" Target="media/image20.jpeg"/><Relationship Id="rId32" Type="http://schemas.openxmlformats.org/officeDocument/2006/relationships/image" Target="media/image19.png"/><Relationship Id="rId31" Type="http://schemas.openxmlformats.org/officeDocument/2006/relationships/image" Target="media/image18.emf"/><Relationship Id="rId30" Type="http://schemas.openxmlformats.org/officeDocument/2006/relationships/oleObject" Target="embeddings/oleObject3.bin"/><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emf"/><Relationship Id="rId25" Type="http://schemas.openxmlformats.org/officeDocument/2006/relationships/oleObject" Target="embeddings/oleObject2.bin"/><Relationship Id="rId24" Type="http://schemas.openxmlformats.org/officeDocument/2006/relationships/image" Target="media/image13.emf"/><Relationship Id="rId23" Type="http://schemas.openxmlformats.org/officeDocument/2006/relationships/oleObject" Target="embeddings/oleObject1.bin"/><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112</Pages>
  <Words>757</Words>
  <Characters>877</Characters>
  <Lines>13</Lines>
  <Paragraphs>3</Paragraphs>
  <TotalTime>123</TotalTime>
  <ScaleCrop>false</ScaleCrop>
  <LinksUpToDate>false</LinksUpToDate>
  <CharactersWithSpaces>934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momo</cp:lastModifiedBy>
  <cp:lastPrinted>2020-12-29T02:43:00Z</cp:lastPrinted>
  <dcterms:modified xsi:type="dcterms:W3CDTF">2026-02-10T08:49:51Z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8691EA9A006246BB9EF0DDD8A9566A01</vt:lpwstr>
  </property>
  <property fmtid="{D5CDD505-2E9C-101B-9397-08002B2CF9AE}" pid="4" name="KSOTemplateDocerSaveRecord">
    <vt:lpwstr>eyJoZGlkIjoiNzNhMzEzNzU1OWFkYTQxOTNkODg5NzZjYmI3N2VlMmMiLCJ1c2VySWQiOiIxMDg0Njk1MDExIn0=</vt:lpwstr>
  </property>
</Properties>
</file>