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D706C">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80"/>
        <w:jc w:val="center"/>
        <w:textAlignment w:val="auto"/>
        <w:rPr>
          <w:rFonts w:hint="eastAsia" w:ascii="方正小标宋简体" w:hAnsi="方正小标宋简体" w:eastAsia="方正小标宋简体" w:cs="方正小标宋简体"/>
          <w:color w:val="auto"/>
          <w:sz w:val="44"/>
          <w:szCs w:val="44"/>
          <w:highlight w:val="none"/>
          <w:shd w:val="clear" w:fill="FFFFFF"/>
          <w:lang w:val="en-US" w:eastAsia="zh-CN"/>
        </w:rPr>
      </w:pPr>
      <w:r>
        <w:rPr>
          <w:rFonts w:hint="eastAsia" w:ascii="方正小标宋简体" w:hAnsi="方正小标宋简体" w:eastAsia="方正小标宋简体" w:cs="方正小标宋简体"/>
          <w:color w:val="auto"/>
          <w:sz w:val="44"/>
          <w:szCs w:val="44"/>
          <w:highlight w:val="none"/>
          <w:shd w:val="clear" w:fill="FFFFFF"/>
          <w:lang w:val="en-US" w:eastAsia="zh-CN"/>
        </w:rPr>
        <w:t>富民县住房和城乡建设局2023年上半年政府信息公开工作总结</w:t>
      </w:r>
    </w:p>
    <w:p w14:paraId="3582E6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eastAsia" w:ascii="仿宋_GB2312" w:hAnsi="仿宋_GB2312" w:eastAsia="仿宋_GB2312" w:cs="仿宋_GB2312"/>
          <w:b w:val="0"/>
          <w:bCs/>
          <w:color w:val="auto"/>
          <w:kern w:val="21"/>
          <w:sz w:val="32"/>
          <w:szCs w:val="32"/>
          <w:highlight w:val="none"/>
        </w:rPr>
      </w:pPr>
    </w:p>
    <w:p w14:paraId="0B82302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color w:val="auto"/>
          <w:kern w:val="21"/>
          <w:sz w:val="32"/>
          <w:szCs w:val="32"/>
          <w:highlight w:val="none"/>
          <w:lang w:val="en-US" w:eastAsia="zh-CN"/>
        </w:rPr>
      </w:pPr>
      <w:r>
        <w:rPr>
          <w:rFonts w:hint="eastAsia" w:ascii="仿宋_GB2312" w:hAnsi="仿宋_GB2312" w:eastAsia="仿宋_GB2312" w:cs="仿宋_GB2312"/>
          <w:b w:val="0"/>
          <w:bCs/>
          <w:color w:val="auto"/>
          <w:kern w:val="21"/>
          <w:sz w:val="32"/>
          <w:szCs w:val="32"/>
          <w:highlight w:val="none"/>
        </w:rPr>
        <w:t>根据《中华人民共和国政府信息公开条例》和省、市</w:t>
      </w:r>
      <w:r>
        <w:rPr>
          <w:rFonts w:hint="eastAsia" w:ascii="仿宋_GB2312" w:hAnsi="仿宋_GB2312" w:eastAsia="仿宋_GB2312" w:cs="仿宋_GB2312"/>
          <w:b w:val="0"/>
          <w:bCs/>
          <w:color w:val="auto"/>
          <w:kern w:val="21"/>
          <w:sz w:val="32"/>
          <w:szCs w:val="32"/>
          <w:highlight w:val="none"/>
          <w:lang w:eastAsia="zh-CN"/>
        </w:rPr>
        <w:t>、</w:t>
      </w:r>
      <w:r>
        <w:rPr>
          <w:rFonts w:hint="eastAsia" w:ascii="仿宋_GB2312" w:hAnsi="仿宋_GB2312" w:eastAsia="仿宋_GB2312" w:cs="仿宋_GB2312"/>
          <w:b w:val="0"/>
          <w:bCs/>
          <w:color w:val="auto"/>
          <w:kern w:val="21"/>
          <w:sz w:val="32"/>
          <w:szCs w:val="32"/>
          <w:highlight w:val="none"/>
          <w:lang w:val="en-US" w:eastAsia="zh-CN"/>
        </w:rPr>
        <w:t>县</w:t>
      </w:r>
      <w:r>
        <w:rPr>
          <w:rFonts w:hint="eastAsia" w:ascii="仿宋_GB2312" w:hAnsi="仿宋_GB2312" w:eastAsia="仿宋_GB2312" w:cs="仿宋_GB2312"/>
          <w:b w:val="0"/>
          <w:bCs/>
          <w:color w:val="auto"/>
          <w:kern w:val="21"/>
          <w:sz w:val="32"/>
          <w:szCs w:val="32"/>
          <w:highlight w:val="none"/>
          <w:lang w:eastAsia="zh-CN"/>
        </w:rPr>
        <w:t>人民政府</w:t>
      </w:r>
      <w:r>
        <w:rPr>
          <w:rFonts w:hint="eastAsia" w:ascii="仿宋_GB2312" w:hAnsi="仿宋_GB2312" w:eastAsia="仿宋_GB2312" w:cs="仿宋_GB2312"/>
          <w:b w:val="0"/>
          <w:bCs/>
          <w:color w:val="auto"/>
          <w:kern w:val="21"/>
          <w:sz w:val="32"/>
          <w:szCs w:val="32"/>
          <w:highlight w:val="none"/>
        </w:rPr>
        <w:t>办公厅（室）关于政府信息公开相关文件工作要求，</w:t>
      </w:r>
      <w:r>
        <w:rPr>
          <w:rFonts w:hint="eastAsia" w:ascii="仿宋_GB2312" w:hAnsi="仿宋_GB2312" w:eastAsia="仿宋_GB2312" w:cs="仿宋_GB2312"/>
          <w:b w:val="0"/>
          <w:bCs/>
          <w:color w:val="auto"/>
          <w:kern w:val="21"/>
          <w:sz w:val="32"/>
          <w:szCs w:val="32"/>
          <w:highlight w:val="none"/>
          <w:lang w:val="en-US" w:eastAsia="zh-CN"/>
        </w:rPr>
        <w:t>现将富民县住房和城乡建设局2023年上半年政府信息公开主要总结如下。</w:t>
      </w:r>
    </w:p>
    <w:p w14:paraId="5E0E7A5D">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jc w:val="both"/>
        <w:textAlignment w:val="auto"/>
        <w:rPr>
          <w:rFonts w:hint="eastAsia" w:ascii="黑体" w:hAnsi="黑体" w:eastAsia="黑体" w:cs="黑体"/>
          <w:color w:val="auto"/>
          <w:sz w:val="32"/>
          <w:szCs w:val="32"/>
          <w:highlight w:val="none"/>
          <w:shd w:val="clear" w:fill="FFFFFF"/>
          <w:lang w:val="en-US" w:eastAsia="zh-CN"/>
        </w:rPr>
      </w:pPr>
      <w:r>
        <w:rPr>
          <w:rFonts w:hint="eastAsia" w:ascii="黑体" w:hAnsi="黑体" w:eastAsia="黑体" w:cs="黑体"/>
          <w:color w:val="auto"/>
          <w:sz w:val="31"/>
          <w:szCs w:val="31"/>
          <w:highlight w:val="none"/>
          <w:shd w:val="clear" w:fill="FFFFFF"/>
          <w:lang w:val="en-US" w:eastAsia="zh-CN"/>
        </w:rPr>
        <w:t>一、</w:t>
      </w:r>
      <w:r>
        <w:rPr>
          <w:rFonts w:hint="eastAsia" w:ascii="黑体" w:hAnsi="黑体" w:eastAsia="黑体" w:cs="黑体"/>
          <w:color w:val="auto"/>
          <w:sz w:val="32"/>
          <w:szCs w:val="32"/>
          <w:highlight w:val="none"/>
          <w:shd w:val="clear" w:fill="FFFFFF"/>
          <w:lang w:val="en-US" w:eastAsia="zh-CN"/>
        </w:rPr>
        <w:t>政府信息主动公开情况</w:t>
      </w:r>
    </w:p>
    <w:p w14:paraId="5B71A6E8">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val="0"/>
          <w:bCs/>
          <w:color w:val="auto"/>
          <w:kern w:val="21"/>
          <w:sz w:val="32"/>
          <w:szCs w:val="32"/>
          <w:highlight w:val="none"/>
          <w:lang w:val="en-US" w:eastAsia="zh-CN"/>
        </w:rPr>
      </w:pPr>
      <w:r>
        <w:rPr>
          <w:rFonts w:hint="eastAsia" w:ascii="楷体_GB2312" w:hAnsi="楷体_GB2312" w:eastAsia="楷体_GB2312" w:cs="楷体_GB2312"/>
          <w:b w:val="0"/>
          <w:bCs/>
          <w:color w:val="auto"/>
          <w:kern w:val="21"/>
          <w:sz w:val="32"/>
          <w:szCs w:val="32"/>
          <w:highlight w:val="none"/>
          <w:lang w:val="en-US" w:eastAsia="zh-CN"/>
        </w:rPr>
        <w:t>（一）政府信息公开情况</w:t>
      </w:r>
      <w:bookmarkStart w:id="0" w:name="_GoBack"/>
      <w:bookmarkEnd w:id="0"/>
    </w:p>
    <w:p w14:paraId="0681AF91">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kern w:val="21"/>
          <w:sz w:val="32"/>
          <w:szCs w:val="32"/>
          <w:highlight w:val="none"/>
          <w:lang w:val="en-US" w:eastAsia="zh-CN"/>
        </w:rPr>
        <w:t>2023年以来，富民县住房和城乡建设局按照县委、县政府“山水园林卫星城、休闲康养目的地”建设这一目标，紧扣“高质量发展、乡村振兴、生态环保”主题，坚持党建引领，筑牢基础，着力推进房地产开发建设、棚户区改造、老旧小区改造、农村危房改造、城市基础设施建设、污水治理等工作，压实建筑业产值增速和商品房销售两大经济指标。截止上半年，主动公开事项如下。</w:t>
      </w:r>
      <w:r>
        <w:rPr>
          <w:rFonts w:hint="eastAsia" w:ascii="仿宋_GB2312" w:hAnsi="仿宋_GB2312" w:eastAsia="仿宋_GB2312" w:cs="仿宋_GB2312"/>
          <w:b/>
          <w:bCs w:val="0"/>
          <w:color w:val="auto"/>
          <w:kern w:val="21"/>
          <w:sz w:val="32"/>
          <w:szCs w:val="32"/>
          <w:highlight w:val="none"/>
          <w:lang w:val="en-US" w:eastAsia="zh-CN"/>
        </w:rPr>
        <w:t>一是</w:t>
      </w:r>
      <w:r>
        <w:rPr>
          <w:rFonts w:hint="eastAsia" w:ascii="仿宋_GB2312" w:hAnsi="仿宋_GB2312" w:eastAsia="仿宋_GB2312" w:cs="仿宋_GB2312"/>
          <w:b w:val="0"/>
          <w:bCs/>
          <w:color w:val="auto"/>
          <w:kern w:val="21"/>
          <w:sz w:val="32"/>
          <w:szCs w:val="32"/>
          <w:highlight w:val="none"/>
          <w:lang w:val="en-US" w:eastAsia="zh-CN"/>
        </w:rPr>
        <w:t>主动公开房地产开发建设预售许可、施工安全、污水排放行政许可事项28件；</w:t>
      </w:r>
      <w:r>
        <w:rPr>
          <w:rFonts w:hint="eastAsia" w:ascii="仿宋_GB2312" w:hAnsi="仿宋_GB2312" w:eastAsia="仿宋_GB2312" w:cs="仿宋_GB2312"/>
          <w:b/>
          <w:bCs w:val="0"/>
          <w:color w:val="auto"/>
          <w:kern w:val="21"/>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2023年通过政府门户网站、政务公众信息网，发布重大决策、“三公经费”财政预决算情况，重大事项等涉及民生领域的政府信息77条，上报信息27期；</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在富民县人民政府网站公示了富民县2023年第一、二批公共租赁住房分</w:t>
      </w:r>
      <w:r>
        <w:rPr>
          <w:rFonts w:hint="eastAsia" w:ascii="仿宋_GB2312" w:hAnsi="仿宋_GB2312" w:eastAsia="仿宋_GB2312" w:cs="仿宋_GB2312"/>
          <w:color w:val="auto"/>
          <w:sz w:val="32"/>
          <w:szCs w:val="32"/>
          <w:highlight w:val="none"/>
          <w:lang w:val="en-US" w:eastAsia="zh-CN"/>
        </w:rPr>
        <w:t>配公告。公开富民县2023年城镇老旧小区改造及周边配套基础设施EPC项目（一标、二标）中标通知书。公开《关于富民县城区城市道路停车泊位收费管理工作的公告》。公开启贤街和黎兴街路段漆画车位及临时停车收费的公告。公开《市政服务领域基层政务公开标准目录（燃气、市政设施）》。公开富民县住房和城乡建设局2022年政府信息公开工作年度报告、富民县住房和城乡建设局政府信息公开指南等。公开征集二环闭合PPP项目螳螂川瓦窑跨河大桥桥名及桥上连廊匾额内容的公告。公开《关于公布调整住宅专项维修资金交存标准的公示》。公开关于富民县县城螳螂川截污干管改造项目决算审计发现问题的整改报告。公开</w:t>
      </w:r>
      <w:r>
        <w:rPr>
          <w:rFonts w:hint="default" w:ascii="仿宋_GB2312" w:hAnsi="仿宋_GB2312" w:eastAsia="仿宋_GB2312" w:cs="仿宋_GB2312"/>
          <w:color w:val="auto"/>
          <w:sz w:val="32"/>
          <w:szCs w:val="32"/>
          <w:highlight w:val="none"/>
          <w:lang w:val="en-US" w:eastAsia="zh-CN"/>
        </w:rPr>
        <w:t>关于设立《关于进一步规范商品房预售资金监管的通知》实施过渡期的通知</w:t>
      </w:r>
      <w:r>
        <w:rPr>
          <w:rFonts w:hint="eastAsia" w:ascii="仿宋_GB2312" w:hAnsi="仿宋_GB2312" w:eastAsia="仿宋_GB2312" w:cs="仿宋_GB2312"/>
          <w:color w:val="auto"/>
          <w:sz w:val="32"/>
          <w:szCs w:val="32"/>
          <w:highlight w:val="none"/>
          <w:lang w:val="en-US" w:eastAsia="zh-CN"/>
        </w:rPr>
        <w:t>，并做文件解读。公开关于印发《富民县商品房预售资金监管实施细则（试行》的通知并做文件解读。</w:t>
      </w:r>
      <w:r>
        <w:rPr>
          <w:rFonts w:hint="eastAsia" w:ascii="仿宋_GB2312" w:hAnsi="仿宋_GB2312" w:eastAsia="仿宋_GB2312" w:cs="仿宋_GB2312"/>
          <w:b/>
          <w:bCs w:val="0"/>
          <w:color w:val="auto"/>
          <w:kern w:val="21"/>
          <w:sz w:val="32"/>
          <w:szCs w:val="32"/>
          <w:highlight w:val="none"/>
          <w:lang w:val="en-US" w:eastAsia="zh-CN"/>
        </w:rPr>
        <w:t>四是</w:t>
      </w:r>
      <w:r>
        <w:rPr>
          <w:rFonts w:hint="eastAsia" w:ascii="仿宋_GB2312" w:hAnsi="仿宋_GB2312" w:eastAsia="仿宋_GB2312" w:cs="仿宋_GB2312"/>
          <w:b w:val="0"/>
          <w:bCs/>
          <w:color w:val="auto"/>
          <w:kern w:val="21"/>
          <w:sz w:val="32"/>
          <w:szCs w:val="32"/>
          <w:highlight w:val="none"/>
          <w:lang w:val="en-US" w:eastAsia="zh-CN"/>
        </w:rPr>
        <w:t>根据实际</w:t>
      </w:r>
      <w:r>
        <w:rPr>
          <w:rFonts w:hint="eastAsia" w:ascii="仿宋_GB2312" w:hAnsi="仿宋_GB2312" w:eastAsia="仿宋_GB2312" w:cs="仿宋_GB2312"/>
          <w:color w:val="auto"/>
          <w:sz w:val="32"/>
          <w:szCs w:val="32"/>
          <w:highlight w:val="none"/>
          <w:lang w:val="en-US" w:eastAsia="zh-CN"/>
        </w:rPr>
        <w:t>公开富民县国有土地上房屋征收与补偿领域基层政务公开标准目录、保障性住房领域基层政务公开标准目录、农村危房改造领域基层政务公开标准目录、城市综合执法领域基层政务公开标准目录、市政服务领域基层政务公开标准目录有关信息，保障群众国有土地房屋征收补偿权益；</w:t>
      </w:r>
      <w:r>
        <w:rPr>
          <w:rFonts w:hint="eastAsia" w:ascii="仿宋_GB2312" w:hAnsi="仿宋_GB2312" w:eastAsia="仿宋_GB2312" w:cs="仿宋_GB2312"/>
          <w:b/>
          <w:bCs w:val="0"/>
          <w:color w:val="auto"/>
          <w:kern w:val="21"/>
          <w:sz w:val="32"/>
          <w:szCs w:val="32"/>
          <w:highlight w:val="none"/>
          <w:lang w:val="en-US" w:eastAsia="zh-CN"/>
        </w:rPr>
        <w:t>五是</w:t>
      </w:r>
      <w:r>
        <w:rPr>
          <w:rFonts w:hint="eastAsia" w:ascii="仿宋_GB2312" w:hAnsi="仿宋_GB2312" w:eastAsia="仿宋_GB2312" w:cs="仿宋_GB2312"/>
          <w:color w:val="auto"/>
          <w:sz w:val="32"/>
          <w:szCs w:val="32"/>
          <w:highlight w:val="none"/>
          <w:lang w:val="en-US" w:eastAsia="zh-CN"/>
        </w:rPr>
        <w:t>公开富民县住房和城乡建设局2022年度部门决算公开说明、项目资金支出绩效评价报告、整体支出绩效评价报告、预算公开有关信息。说明富民县住房和城乡建设局概况、2022年度部门决算表信息，城镇老旧小区改造项目资金支出绩效评价情况，部门整体支出绩效自评报告等信息，进一步加强预算绩效管理，强化支出责任，优化财政资金运行，提高财政资金使用效益。</w:t>
      </w:r>
    </w:p>
    <w:p w14:paraId="799214FE">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textAlignment w:val="auto"/>
        <w:rPr>
          <w:rFonts w:hint="eastAsia" w:ascii="楷体_GB2312" w:hAnsi="楷体_GB2312" w:eastAsia="楷体_GB2312" w:cs="楷体_GB2312"/>
          <w:color w:val="auto"/>
          <w:sz w:val="32"/>
          <w:szCs w:val="32"/>
          <w:highlight w:val="none"/>
          <w:shd w:val="clear" w:fill="FFFFFF"/>
          <w:lang w:val="en-US" w:eastAsia="zh-CN"/>
        </w:rPr>
      </w:pPr>
      <w:r>
        <w:rPr>
          <w:rFonts w:hint="eastAsia" w:ascii="楷体_GB2312" w:hAnsi="楷体_GB2312" w:eastAsia="楷体_GB2312" w:cs="楷体_GB2312"/>
          <w:color w:val="auto"/>
          <w:sz w:val="32"/>
          <w:szCs w:val="32"/>
          <w:highlight w:val="none"/>
          <w:shd w:val="clear" w:fill="FFFFFF"/>
          <w:lang w:val="en-US" w:eastAsia="zh-CN"/>
        </w:rPr>
        <w:t>（二）政府信息管理情况</w:t>
      </w:r>
    </w:p>
    <w:p w14:paraId="057C0044">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一是</w:t>
      </w:r>
      <w:r>
        <w:rPr>
          <w:rFonts w:hint="eastAsia" w:ascii="仿宋_GB2312" w:hAnsi="仿宋_GB2312" w:eastAsia="仿宋_GB2312" w:cs="仿宋_GB2312"/>
          <w:color w:val="auto"/>
          <w:sz w:val="32"/>
          <w:szCs w:val="32"/>
          <w:highlight w:val="none"/>
          <w:lang w:val="en-US" w:eastAsia="zh-CN"/>
        </w:rPr>
        <w:t>严把</w:t>
      </w:r>
      <w:r>
        <w:rPr>
          <w:rFonts w:hint="eastAsia" w:ascii="仿宋_GB2312" w:hAnsi="仿宋_GB2312" w:eastAsia="仿宋_GB2312" w:cs="仿宋_GB2312"/>
          <w:color w:val="auto"/>
          <w:sz w:val="32"/>
          <w:szCs w:val="32"/>
          <w:highlight w:val="none"/>
        </w:rPr>
        <w:t>信息发布关。健全完善政府信息公开审查</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政府信息发布和政府信息管理动态调整等机制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严格按照“三审制度”落实信息公开审核，严把质量关，最终发布信息经局主要领导审签后发布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rPr>
        <w:t>严格执行政策性文件、解读方案、解读材料规定，确保公开的政策性文件和解读材料有效链接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对发布的相关文件，及时配套</w:t>
      </w:r>
      <w:r>
        <w:rPr>
          <w:rFonts w:hint="eastAsia" w:ascii="仿宋_GB2312" w:hAnsi="仿宋_GB2312" w:eastAsia="仿宋_GB2312" w:cs="仿宋_GB2312"/>
          <w:color w:val="auto"/>
          <w:sz w:val="32"/>
          <w:szCs w:val="32"/>
          <w:highlight w:val="none"/>
        </w:rPr>
        <w:t>解读材料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让发布信息更能让人理解，便于查询使用；</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rPr>
        <w:t>加强信息化手段在政府信息管理中的运用，实行门户网站信息发布事前审查、事中监测和事后督查相结合，</w:t>
      </w:r>
      <w:r>
        <w:rPr>
          <w:rFonts w:hint="eastAsia" w:ascii="仿宋_GB2312" w:hAnsi="仿宋_GB2312" w:eastAsia="仿宋_GB2312" w:cs="仿宋_GB2312"/>
          <w:color w:val="auto"/>
          <w:sz w:val="32"/>
          <w:szCs w:val="32"/>
          <w:highlight w:val="none"/>
          <w:lang w:val="en-US" w:eastAsia="zh-CN"/>
        </w:rPr>
        <w:t>政府信息发布由专人管理，让政府信息公开更加安全可靠；</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加对政府网站更新维护，严格管理</w:t>
      </w:r>
      <w:r>
        <w:rPr>
          <w:rFonts w:hint="eastAsia" w:ascii="仿宋_GB2312" w:hAnsi="仿宋_GB2312" w:eastAsia="仿宋_GB2312" w:cs="仿宋_GB2312"/>
          <w:b w:val="0"/>
          <w:bCs w:val="0"/>
          <w:color w:val="auto"/>
          <w:kern w:val="2"/>
          <w:sz w:val="32"/>
          <w:szCs w:val="32"/>
          <w:highlight w:val="none"/>
          <w:lang w:val="en-US" w:eastAsia="zh-CN" w:bidi="ar-SA"/>
        </w:rPr>
        <w:t>富民住建微博（政务新媒体）信息发布工作，保障发布的信息合规、合法，正面向上，具有积极主动的引导方向；</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color w:val="auto"/>
          <w:sz w:val="32"/>
          <w:szCs w:val="32"/>
          <w:highlight w:val="none"/>
        </w:rPr>
        <w:t>规范</w:t>
      </w:r>
      <w:r>
        <w:rPr>
          <w:rFonts w:hint="eastAsia" w:ascii="仿宋_GB2312" w:hAnsi="仿宋_GB2312" w:eastAsia="仿宋_GB2312" w:cs="仿宋_GB2312"/>
          <w:color w:val="auto"/>
          <w:sz w:val="32"/>
          <w:szCs w:val="32"/>
          <w:highlight w:val="none"/>
          <w:lang w:val="en-US" w:eastAsia="zh-CN"/>
        </w:rPr>
        <w:t>办理</w:t>
      </w:r>
      <w:r>
        <w:rPr>
          <w:rFonts w:hint="eastAsia" w:ascii="仿宋_GB2312" w:hAnsi="仿宋_GB2312" w:eastAsia="仿宋_GB2312" w:cs="仿宋_GB2312"/>
          <w:color w:val="auto"/>
          <w:sz w:val="32"/>
          <w:szCs w:val="32"/>
          <w:highlight w:val="none"/>
        </w:rPr>
        <w:t>12345</w:t>
      </w:r>
      <w:r>
        <w:rPr>
          <w:rFonts w:hint="eastAsia" w:ascii="仿宋_GB2312" w:hAnsi="仿宋_GB2312" w:eastAsia="仿宋_GB2312" w:cs="仿宋_GB2312"/>
          <w:color w:val="auto"/>
          <w:sz w:val="32"/>
          <w:szCs w:val="32"/>
          <w:highlight w:val="none"/>
          <w:lang w:val="en-US" w:eastAsia="zh-CN"/>
        </w:rPr>
        <w:t>市长热线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及时回应</w:t>
      </w:r>
      <w:r>
        <w:rPr>
          <w:rFonts w:hint="eastAsia" w:ascii="仿宋_GB2312" w:hAnsi="仿宋_GB2312" w:eastAsia="仿宋_GB2312" w:cs="仿宋_GB2312"/>
          <w:color w:val="auto"/>
          <w:sz w:val="32"/>
          <w:szCs w:val="32"/>
          <w:highlight w:val="none"/>
        </w:rPr>
        <w:t>公众诉求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认真办理12345市长热线，2023年，共计办理</w:t>
      </w:r>
      <w:r>
        <w:rPr>
          <w:rFonts w:hint="eastAsia" w:ascii="仿宋_GB2312" w:hAnsi="仿宋_GB2312" w:eastAsia="仿宋_GB2312" w:cs="仿宋_GB2312"/>
          <w:color w:val="auto"/>
          <w:sz w:val="32"/>
          <w:szCs w:val="32"/>
          <w:highlight w:val="none"/>
        </w:rPr>
        <w:t>热线交办件</w:t>
      </w:r>
      <w:r>
        <w:rPr>
          <w:rFonts w:hint="eastAsia" w:ascii="仿宋_GB2312" w:hAnsi="仿宋_GB2312" w:eastAsia="仿宋_GB2312" w:cs="仿宋_GB2312"/>
          <w:color w:val="auto"/>
          <w:sz w:val="32"/>
          <w:szCs w:val="32"/>
          <w:highlight w:val="none"/>
          <w:lang w:val="en-US" w:eastAsia="zh-CN"/>
        </w:rPr>
        <w:t>250</w:t>
      </w:r>
      <w:r>
        <w:rPr>
          <w:rFonts w:hint="eastAsia" w:ascii="仿宋_GB2312" w:hAnsi="仿宋_GB2312" w:eastAsia="仿宋_GB2312" w:cs="仿宋_GB2312"/>
          <w:color w:val="auto"/>
          <w:sz w:val="32"/>
          <w:szCs w:val="32"/>
          <w:highlight w:val="none"/>
        </w:rPr>
        <w:t>件，办结</w:t>
      </w:r>
      <w:r>
        <w:rPr>
          <w:rFonts w:hint="eastAsia" w:ascii="仿宋_GB2312" w:hAnsi="仿宋_GB2312" w:eastAsia="仿宋_GB2312" w:cs="仿宋_GB2312"/>
          <w:color w:val="auto"/>
          <w:sz w:val="32"/>
          <w:szCs w:val="32"/>
          <w:highlight w:val="none"/>
          <w:lang w:val="en-US" w:eastAsia="zh-CN"/>
        </w:rPr>
        <w:t>250</w:t>
      </w:r>
      <w:r>
        <w:rPr>
          <w:rFonts w:hint="eastAsia" w:ascii="仿宋_GB2312" w:hAnsi="仿宋_GB2312" w:eastAsia="仿宋_GB2312" w:cs="仿宋_GB2312"/>
          <w:color w:val="auto"/>
          <w:sz w:val="32"/>
          <w:szCs w:val="32"/>
          <w:highlight w:val="none"/>
        </w:rPr>
        <w:t>件，办结率100%。</w:t>
      </w:r>
    </w:p>
    <w:p w14:paraId="700DA068">
      <w:pPr>
        <w:pStyle w:val="9"/>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楷体_GB2312" w:hAnsi="楷体_GB2312" w:eastAsia="楷体_GB2312" w:cs="楷体_GB2312"/>
          <w:color w:val="auto"/>
          <w:sz w:val="32"/>
          <w:szCs w:val="32"/>
          <w:highlight w:val="none"/>
          <w:shd w:val="clear" w:fill="FFFFFF"/>
          <w:lang w:val="en-US" w:eastAsia="zh-CN"/>
        </w:rPr>
      </w:pPr>
      <w:r>
        <w:rPr>
          <w:rFonts w:hint="eastAsia" w:ascii="楷体_GB2312" w:hAnsi="楷体_GB2312" w:eastAsia="楷体_GB2312" w:cs="楷体_GB2312"/>
          <w:color w:val="auto"/>
          <w:sz w:val="32"/>
          <w:szCs w:val="32"/>
          <w:highlight w:val="none"/>
          <w:shd w:val="clear" w:fill="FFFFFF"/>
          <w:lang w:val="en-US" w:eastAsia="zh-CN"/>
        </w:rPr>
        <w:t>（三）政府信息公开平台建设情况</w:t>
      </w:r>
    </w:p>
    <w:p w14:paraId="2D347A5A">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认真做好富民县政务公众信息网维护，及时发布涉及住建领域的民生关注问题，公开涉及</w:t>
      </w:r>
      <w:r>
        <w:rPr>
          <w:rFonts w:hint="eastAsia" w:ascii="仿宋_GB2312" w:hAnsi="仿宋_GB2312" w:eastAsia="仿宋_GB2312" w:cs="仿宋_GB2312"/>
          <w:b w:val="0"/>
          <w:bCs/>
          <w:color w:val="auto"/>
          <w:kern w:val="21"/>
          <w:sz w:val="32"/>
          <w:szCs w:val="32"/>
          <w:highlight w:val="none"/>
          <w:lang w:val="en-US" w:eastAsia="zh-CN"/>
        </w:rPr>
        <w:t>房地产开发建设、棚户区改造、老旧小区改造、农村危房改造、城市基础设施建设、污水治理等行政审批要素，让企业知晓行政许可事项，为企业提供便利的服务模式；</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及时做好</w:t>
      </w:r>
      <w:r>
        <w:rPr>
          <w:rFonts w:hint="eastAsia" w:ascii="仿宋_GB2312" w:hAnsi="仿宋_GB2312" w:eastAsia="仿宋_GB2312" w:cs="仿宋_GB2312"/>
          <w:b w:val="0"/>
          <w:bCs w:val="0"/>
          <w:color w:val="auto"/>
          <w:kern w:val="2"/>
          <w:sz w:val="32"/>
          <w:szCs w:val="32"/>
          <w:highlight w:val="none"/>
          <w:lang w:val="en-US" w:eastAsia="zh-CN" w:bidi="ar-SA"/>
        </w:rPr>
        <w:t>富民住建微博（政务新媒体）信息更新工作，保障富民住建微博发布的信息具有政府指导，维护正向宣传领域，积极引导微博粉丝正向认识富民经济社会发展情况和党中央重要思想导向；</w:t>
      </w:r>
      <w:r>
        <w:rPr>
          <w:rFonts w:hint="eastAsia" w:ascii="仿宋_GB2312" w:hAnsi="仿宋_GB2312" w:eastAsia="仿宋_GB2312" w:cs="仿宋_GB2312"/>
          <w:b/>
          <w:bCs/>
          <w:color w:val="auto"/>
          <w:kern w:val="2"/>
          <w:sz w:val="32"/>
          <w:szCs w:val="32"/>
          <w:highlight w:val="none"/>
          <w:lang w:val="en-US" w:eastAsia="zh-CN" w:bidi="ar-SA"/>
        </w:rPr>
        <w:t>三是</w:t>
      </w:r>
      <w:r>
        <w:rPr>
          <w:rFonts w:hint="eastAsia" w:ascii="仿宋_GB2312" w:hAnsi="仿宋_GB2312" w:eastAsia="仿宋_GB2312" w:cs="仿宋_GB2312"/>
          <w:b w:val="0"/>
          <w:bCs w:val="0"/>
          <w:color w:val="auto"/>
          <w:kern w:val="2"/>
          <w:sz w:val="32"/>
          <w:szCs w:val="32"/>
          <w:highlight w:val="none"/>
          <w:lang w:val="en-US" w:eastAsia="zh-CN" w:bidi="ar-SA"/>
        </w:rPr>
        <w:t>及时办理</w:t>
      </w:r>
      <w:r>
        <w:rPr>
          <w:rFonts w:hint="eastAsia" w:ascii="仿宋_GB2312" w:hAnsi="仿宋_GB2312" w:eastAsia="仿宋_GB2312" w:cs="仿宋_GB2312"/>
          <w:color w:val="auto"/>
          <w:sz w:val="32"/>
          <w:szCs w:val="32"/>
          <w:highlight w:val="none"/>
        </w:rPr>
        <w:t>12345</w:t>
      </w:r>
      <w:r>
        <w:rPr>
          <w:rFonts w:hint="eastAsia" w:ascii="仿宋_GB2312" w:hAnsi="仿宋_GB2312" w:eastAsia="仿宋_GB2312" w:cs="仿宋_GB2312"/>
          <w:color w:val="auto"/>
          <w:sz w:val="32"/>
          <w:szCs w:val="32"/>
          <w:highlight w:val="none"/>
          <w:lang w:val="en-US" w:eastAsia="zh-CN"/>
        </w:rPr>
        <w:t>市长热线发反映的问题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及时回应</w:t>
      </w:r>
      <w:r>
        <w:rPr>
          <w:rFonts w:hint="eastAsia" w:ascii="仿宋_GB2312" w:hAnsi="仿宋_GB2312" w:eastAsia="仿宋_GB2312" w:cs="仿宋_GB2312"/>
          <w:color w:val="auto"/>
          <w:sz w:val="32"/>
          <w:szCs w:val="32"/>
          <w:highlight w:val="none"/>
        </w:rPr>
        <w:t>公众诉求。</w:t>
      </w:r>
    </w:p>
    <w:p w14:paraId="760BA659">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二、存在的问题</w:t>
      </w:r>
    </w:p>
    <w:p w14:paraId="58A8913C">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color w:val="auto"/>
          <w:sz w:val="32"/>
          <w:szCs w:val="32"/>
          <w:highlight w:val="none"/>
          <w:lang w:val="en-US" w:eastAsia="zh-CN"/>
        </w:rPr>
      </w:pPr>
      <w:r>
        <w:rPr>
          <w:rFonts w:hint="eastAsia" w:cs="Times New Roman"/>
          <w:b/>
          <w:bCs/>
          <w:color w:val="auto"/>
          <w:sz w:val="32"/>
          <w:szCs w:val="32"/>
          <w:highlight w:val="none"/>
          <w:lang w:val="en-US" w:eastAsia="zh-CN"/>
        </w:rPr>
        <w:t>一是</w:t>
      </w:r>
      <w:r>
        <w:rPr>
          <w:rFonts w:hint="eastAsia" w:cs="Times New Roman"/>
          <w:color w:val="auto"/>
          <w:sz w:val="32"/>
          <w:szCs w:val="32"/>
          <w:highlight w:val="none"/>
          <w:lang w:val="en-US" w:eastAsia="zh-CN"/>
        </w:rPr>
        <w:t>对政府信息公开工作重视程度认识不够深，对重要政策解读的理解存在误区，仅仅在单位内部传达学习上级政府文件，对本部门出台的相关政策解读不及时、不规范。</w:t>
      </w:r>
    </w:p>
    <w:p w14:paraId="0F21E0CE">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对政府信息公开理解不够，对政府信息公开的文件把关不足，对是否需要公开的文件、信息把关不到位，拿捏不准哪些需要公开，哪些不需要公开确定不准。</w:t>
      </w:r>
    </w:p>
    <w:p w14:paraId="52176454">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color w:val="auto"/>
          <w:sz w:val="32"/>
          <w:szCs w:val="32"/>
          <w:highlight w:val="none"/>
          <w:lang w:val="en-US" w:eastAsia="zh-CN"/>
        </w:rPr>
      </w:pPr>
      <w:r>
        <w:rPr>
          <w:rFonts w:hint="eastAsia" w:cs="Times New Roman"/>
          <w:b/>
          <w:bCs/>
          <w:color w:val="auto"/>
          <w:sz w:val="32"/>
          <w:szCs w:val="32"/>
          <w:highlight w:val="none"/>
          <w:lang w:val="en-US" w:eastAsia="zh-CN"/>
        </w:rPr>
        <w:t>三是</w:t>
      </w:r>
      <w:r>
        <w:rPr>
          <w:rFonts w:hint="eastAsia" w:cs="Times New Roman"/>
          <w:color w:val="auto"/>
          <w:sz w:val="32"/>
          <w:szCs w:val="32"/>
          <w:highlight w:val="none"/>
          <w:lang w:val="en-US" w:eastAsia="zh-CN"/>
        </w:rPr>
        <w:t>政府信息主动公开的范围和内容还需深化改进，公开的范围不够深、不够广。</w:t>
      </w:r>
    </w:p>
    <w:p w14:paraId="487A1A4E">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hAnsi="Times New Roman" w:cs="Times New Roman"/>
          <w:color w:val="auto"/>
          <w:sz w:val="32"/>
          <w:szCs w:val="32"/>
          <w:highlight w:val="none"/>
          <w:lang w:val="en-US" w:eastAsia="zh-CN"/>
        </w:rPr>
      </w:pPr>
      <w:r>
        <w:rPr>
          <w:rFonts w:hint="eastAsia" w:cs="Times New Roman"/>
          <w:b/>
          <w:bCs/>
          <w:color w:val="auto"/>
          <w:sz w:val="32"/>
          <w:szCs w:val="32"/>
          <w:highlight w:val="none"/>
          <w:lang w:val="en-US" w:eastAsia="zh-CN"/>
        </w:rPr>
        <w:t>四是</w:t>
      </w:r>
      <w:r>
        <w:rPr>
          <w:rFonts w:hint="eastAsia" w:hAnsi="Times New Roman" w:cs="Times New Roman"/>
          <w:color w:val="auto"/>
          <w:sz w:val="32"/>
          <w:szCs w:val="32"/>
          <w:highlight w:val="none"/>
          <w:lang w:val="en-US" w:eastAsia="zh-CN"/>
        </w:rPr>
        <w:t>业务水平还需进一步提高，信息公开工作涉及面广，政策性强，还存在积极性和主动性不够等问题。</w:t>
      </w:r>
    </w:p>
    <w:p w14:paraId="5D274F3A">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eastAsia" w:hAnsi="Times New Roman" w:cs="Times New Roman"/>
          <w:color w:val="auto"/>
          <w:sz w:val="32"/>
          <w:szCs w:val="32"/>
          <w:highlight w:val="none"/>
          <w:lang w:val="en-US" w:eastAsia="zh-CN"/>
        </w:rPr>
      </w:pPr>
      <w:r>
        <w:rPr>
          <w:rFonts w:hint="eastAsia" w:cs="Times New Roman"/>
          <w:b/>
          <w:bCs/>
          <w:color w:val="auto"/>
          <w:sz w:val="32"/>
          <w:szCs w:val="32"/>
          <w:highlight w:val="none"/>
          <w:lang w:val="en-US" w:eastAsia="zh-CN"/>
        </w:rPr>
        <w:t>五是</w:t>
      </w:r>
      <w:r>
        <w:rPr>
          <w:rFonts w:hint="eastAsia" w:hAnsi="Times New Roman" w:cs="Times New Roman"/>
          <w:color w:val="auto"/>
          <w:sz w:val="32"/>
          <w:szCs w:val="32"/>
          <w:highlight w:val="none"/>
          <w:lang w:val="en-US" w:eastAsia="zh-CN"/>
        </w:rPr>
        <w:t>对信息材料把关不到位，用词不准确，对专业用语、领导职务、称谓时有错误。对新的文件和新的说法理解不够，制发文件、信息过程中时有问题发生。对新的文件学习不透彻，在制发文件</w:t>
      </w:r>
      <w:r>
        <w:rPr>
          <w:rFonts w:hint="eastAsia" w:cs="Times New Roman"/>
          <w:color w:val="auto"/>
          <w:sz w:val="32"/>
          <w:szCs w:val="32"/>
          <w:highlight w:val="none"/>
          <w:lang w:val="en-US" w:eastAsia="zh-CN"/>
        </w:rPr>
        <w:t>时</w:t>
      </w:r>
      <w:r>
        <w:rPr>
          <w:rFonts w:hint="eastAsia"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存在</w:t>
      </w:r>
      <w:r>
        <w:rPr>
          <w:rFonts w:hint="eastAsia" w:hAnsi="Times New Roman" w:cs="Times New Roman"/>
          <w:color w:val="auto"/>
          <w:sz w:val="32"/>
          <w:szCs w:val="32"/>
          <w:highlight w:val="none"/>
          <w:lang w:val="en-US" w:eastAsia="zh-CN"/>
        </w:rPr>
        <w:t>制发的文件滞后于当前工作。</w:t>
      </w:r>
    </w:p>
    <w:p w14:paraId="7F337085">
      <w:pPr>
        <w:pStyle w:val="4"/>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三、下一步工作措施</w:t>
      </w:r>
    </w:p>
    <w:p w14:paraId="0C74F90A">
      <w:pPr>
        <w:pStyle w:val="4"/>
        <w:keepNext w:val="0"/>
        <w:keepLines w:val="0"/>
        <w:pageBreakBefore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color w:val="auto"/>
          <w:sz w:val="32"/>
          <w:szCs w:val="32"/>
          <w:highlight w:val="none"/>
          <w:lang w:val="en-US" w:eastAsia="zh-CN"/>
        </w:rPr>
      </w:pPr>
      <w:r>
        <w:rPr>
          <w:rFonts w:hint="eastAsia" w:cs="Times New Roman"/>
          <w:b/>
          <w:bCs/>
          <w:color w:val="auto"/>
          <w:sz w:val="32"/>
          <w:szCs w:val="32"/>
          <w:highlight w:val="none"/>
          <w:lang w:val="en-US" w:eastAsia="zh-CN"/>
        </w:rPr>
        <w:t>一是</w:t>
      </w:r>
      <w:r>
        <w:rPr>
          <w:rFonts w:hint="eastAsia" w:cs="Times New Roman"/>
          <w:color w:val="auto"/>
          <w:sz w:val="32"/>
          <w:szCs w:val="32"/>
          <w:highlight w:val="none"/>
          <w:lang w:val="en-US" w:eastAsia="zh-CN"/>
        </w:rPr>
        <w:t>进一步规范提升主动公开工作。严格执法相关政策文件规定的主动公开范围和事项，进一步拓展和深化政府信息公开的内容和范围，努力提高信息公开的质量。继续抓好政务公开工作要点落实，紧扣上级工作部署，不断加强政策解读工作。</w:t>
      </w:r>
    </w:p>
    <w:p w14:paraId="7116BA74">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color w:val="auto"/>
          <w:sz w:val="32"/>
          <w:szCs w:val="32"/>
          <w:highlight w:val="none"/>
          <w:lang w:val="en-US" w:eastAsia="zh-CN"/>
        </w:rPr>
      </w:pPr>
      <w:r>
        <w:rPr>
          <w:rFonts w:hint="eastAsia" w:cs="Times New Roman"/>
          <w:b/>
          <w:bCs/>
          <w:color w:val="auto"/>
          <w:sz w:val="32"/>
          <w:szCs w:val="32"/>
          <w:highlight w:val="none"/>
          <w:lang w:val="en-US" w:eastAsia="zh-CN"/>
        </w:rPr>
        <w:t>二是</w:t>
      </w:r>
      <w:r>
        <w:rPr>
          <w:rFonts w:hint="eastAsia" w:cs="Times New Roman"/>
          <w:color w:val="auto"/>
          <w:sz w:val="32"/>
          <w:szCs w:val="32"/>
          <w:highlight w:val="none"/>
          <w:lang w:val="en-US" w:eastAsia="zh-CN"/>
        </w:rPr>
        <w:t>加强政府信息公开平台优化和维护，扩大政府信息公开渠道和范围，提高更新率，改进公开方式，提升政府网站吸引力、亲和力。</w:t>
      </w:r>
    </w:p>
    <w:p w14:paraId="46F8D664">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color w:val="auto"/>
          <w:sz w:val="32"/>
          <w:szCs w:val="32"/>
          <w:highlight w:val="none"/>
          <w:lang w:val="en-US" w:eastAsia="zh-CN"/>
        </w:rPr>
      </w:pPr>
      <w:r>
        <w:rPr>
          <w:rFonts w:hint="eastAsia" w:cs="Times New Roman"/>
          <w:b/>
          <w:bCs/>
          <w:color w:val="auto"/>
          <w:sz w:val="32"/>
          <w:szCs w:val="32"/>
          <w:highlight w:val="none"/>
          <w:lang w:val="en-US" w:eastAsia="zh-CN"/>
        </w:rPr>
        <w:t>三是</w:t>
      </w:r>
      <w:r>
        <w:rPr>
          <w:rFonts w:hint="eastAsia" w:cs="Times New Roman"/>
          <w:color w:val="auto"/>
          <w:sz w:val="32"/>
          <w:szCs w:val="32"/>
          <w:highlight w:val="none"/>
          <w:lang w:val="en-US" w:eastAsia="zh-CN"/>
        </w:rPr>
        <w:t>强化政府信息公开制度和机制落实。继续抓好政府信息公开前审查，依法申请公开工作规程、政府信息发布规范和责任追究等制度的落实，促进政府信息公开规范化、常态化。</w:t>
      </w:r>
    </w:p>
    <w:p w14:paraId="2232D01F">
      <w:pPr>
        <w:pStyle w:val="4"/>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cs="Times New Roman"/>
          <w:color w:val="auto"/>
          <w:sz w:val="32"/>
          <w:szCs w:val="32"/>
          <w:highlight w:val="none"/>
          <w:lang w:val="en-US" w:eastAsia="zh-CN"/>
        </w:rPr>
      </w:pPr>
      <w:r>
        <w:rPr>
          <w:rFonts w:hint="eastAsia" w:cs="Times New Roman"/>
          <w:b/>
          <w:bCs/>
          <w:color w:val="auto"/>
          <w:sz w:val="32"/>
          <w:szCs w:val="32"/>
          <w:highlight w:val="none"/>
          <w:lang w:val="en-US" w:eastAsia="zh-CN"/>
        </w:rPr>
        <w:t>四是</w:t>
      </w:r>
      <w:r>
        <w:rPr>
          <w:rFonts w:hint="eastAsia" w:cs="Times New Roman"/>
          <w:color w:val="auto"/>
          <w:sz w:val="32"/>
          <w:szCs w:val="32"/>
          <w:highlight w:val="none"/>
          <w:lang w:val="en-US" w:eastAsia="zh-CN"/>
        </w:rPr>
        <w:t>加强政府信息公开工作理论学习和业务培训，进一步适应新常态，在进一步提升政府信息公开工作水平的同时，重视干部职工理论知识学习和业务技能培训，提升专业素养。</w:t>
      </w:r>
    </w:p>
    <w:p w14:paraId="62EF86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3800" w:firstLineChars="1226"/>
        <w:textAlignment w:val="auto"/>
        <w:rPr>
          <w:rFonts w:hint="eastAsia" w:ascii="仿宋_GB2312" w:eastAsia="仿宋_GB2312" w:cs="仿宋_GB2312"/>
          <w:color w:val="auto"/>
          <w:sz w:val="31"/>
          <w:szCs w:val="31"/>
          <w:highlight w:val="none"/>
        </w:rPr>
      </w:pPr>
    </w:p>
    <w:p w14:paraId="7BE5C09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3800" w:firstLineChars="1226"/>
        <w:textAlignment w:val="auto"/>
        <w:rPr>
          <w:rFonts w:hint="eastAsia" w:ascii="仿宋_GB2312" w:eastAsia="仿宋_GB2312" w:cs="仿宋_GB2312"/>
          <w:color w:val="auto"/>
          <w:sz w:val="31"/>
          <w:szCs w:val="31"/>
          <w:highlight w:val="none"/>
        </w:rPr>
      </w:pPr>
    </w:p>
    <w:p w14:paraId="545216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3800" w:firstLineChars="1226"/>
        <w:textAlignment w:val="auto"/>
        <w:rPr>
          <w:rFonts w:hint="eastAsia" w:ascii="仿宋_GB2312" w:eastAsia="仿宋_GB2312" w:cs="仿宋_GB2312"/>
          <w:color w:val="auto"/>
          <w:sz w:val="31"/>
          <w:szCs w:val="31"/>
          <w:highlight w:val="none"/>
          <w:lang w:val="en-US" w:eastAsia="zh-CN"/>
        </w:rPr>
      </w:pPr>
      <w:r>
        <w:rPr>
          <w:rFonts w:hint="eastAsia" w:ascii="仿宋_GB2312" w:eastAsia="仿宋_GB2312" w:cs="仿宋_GB2312"/>
          <w:color w:val="auto"/>
          <w:sz w:val="31"/>
          <w:szCs w:val="31"/>
          <w:highlight w:val="none"/>
        </w:rPr>
        <w:t>富民县</w:t>
      </w:r>
      <w:r>
        <w:rPr>
          <w:rFonts w:hint="eastAsia" w:ascii="仿宋_GB2312" w:eastAsia="仿宋_GB2312" w:cs="仿宋_GB2312"/>
          <w:color w:val="auto"/>
          <w:sz w:val="31"/>
          <w:szCs w:val="31"/>
          <w:highlight w:val="none"/>
          <w:lang w:val="en-US" w:eastAsia="zh-CN"/>
        </w:rPr>
        <w:t>住房和城乡建设局</w:t>
      </w:r>
    </w:p>
    <w:p w14:paraId="67841FA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420" w:firstLineChars="1426"/>
        <w:textAlignment w:val="auto"/>
        <w:rPr>
          <w:color w:val="auto"/>
          <w:highlight w:val="none"/>
        </w:rPr>
      </w:pPr>
      <w:r>
        <w:rPr>
          <w:rFonts w:hint="eastAsia" w:ascii="仿宋_GB2312" w:eastAsia="仿宋_GB2312" w:cs="仿宋_GB2312"/>
          <w:color w:val="auto"/>
          <w:sz w:val="31"/>
          <w:szCs w:val="31"/>
          <w:highlight w:val="none"/>
        </w:rPr>
        <w:t>202</w:t>
      </w:r>
      <w:r>
        <w:rPr>
          <w:rFonts w:hint="eastAsia" w:ascii="仿宋_GB2312" w:eastAsia="仿宋_GB2312" w:cs="仿宋_GB2312"/>
          <w:color w:val="auto"/>
          <w:sz w:val="31"/>
          <w:szCs w:val="31"/>
          <w:highlight w:val="none"/>
          <w:lang w:val="en-US" w:eastAsia="zh-CN"/>
        </w:rPr>
        <w:t>3</w:t>
      </w:r>
      <w:r>
        <w:rPr>
          <w:rFonts w:hint="eastAsia" w:ascii="仿宋_GB2312" w:eastAsia="仿宋_GB2312" w:cs="仿宋_GB2312"/>
          <w:color w:val="auto"/>
          <w:sz w:val="31"/>
          <w:szCs w:val="31"/>
          <w:highlight w:val="none"/>
        </w:rPr>
        <w:t>年</w:t>
      </w:r>
      <w:r>
        <w:rPr>
          <w:rFonts w:hint="eastAsia" w:ascii="仿宋_GB2312" w:eastAsia="仿宋_GB2312" w:cs="仿宋_GB2312"/>
          <w:color w:val="auto"/>
          <w:sz w:val="31"/>
          <w:szCs w:val="31"/>
          <w:highlight w:val="none"/>
          <w:lang w:val="en-US" w:eastAsia="zh-CN"/>
        </w:rPr>
        <w:t>7</w:t>
      </w:r>
      <w:r>
        <w:rPr>
          <w:rFonts w:hint="eastAsia" w:ascii="仿宋_GB2312" w:eastAsia="仿宋_GB2312" w:cs="仿宋_GB2312"/>
          <w:color w:val="auto"/>
          <w:sz w:val="31"/>
          <w:szCs w:val="31"/>
          <w:highlight w:val="none"/>
        </w:rPr>
        <w:t>月</w:t>
      </w:r>
      <w:r>
        <w:rPr>
          <w:rFonts w:hint="eastAsia" w:ascii="仿宋_GB2312" w:eastAsia="仿宋_GB2312" w:cs="仿宋_GB2312"/>
          <w:color w:val="auto"/>
          <w:sz w:val="31"/>
          <w:szCs w:val="31"/>
          <w:highlight w:val="none"/>
          <w:lang w:val="en-US" w:eastAsia="zh-CN"/>
        </w:rPr>
        <w:t>19</w:t>
      </w:r>
      <w:r>
        <w:rPr>
          <w:rFonts w:hint="eastAsia" w:ascii="仿宋_GB2312" w:eastAsia="仿宋_GB2312" w:cs="仿宋_GB2312"/>
          <w:color w:val="auto"/>
          <w:sz w:val="31"/>
          <w:szCs w:val="31"/>
          <w:highlight w:val="none"/>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3ECE4">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4990465</wp:posOffset>
              </wp:positionH>
              <wp:positionV relativeFrom="paragraph">
                <wp:posOffset>-229870</wp:posOffset>
              </wp:positionV>
              <wp:extent cx="626110" cy="4533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26110" cy="453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5509B">
                          <w:pPr>
                            <w:pStyle w:val="7"/>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2.95pt;margin-top:-18.1pt;height:35.7pt;width:49.3pt;mso-position-horizontal-relative:margin;z-index:251659264;mso-width-relative:page;mso-height-relative:page;" filled="f" stroked="f" coordsize="21600,21600" o:gfxdata="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dU3m9oAAAAKAQAADwAAAAAAAAABACAAAAAiAAAAZHJzL2Rvd25y&#10;ZXYueG1sUEsBAhQAFAAAAAgAh07iQP16WPE1AgAAYQQAAA4AAAAAAAAAAQAgAAAAKQEAAGRycy9l&#10;Mm9Eb2MueG1sUEsFBgAAAAAGAAYAWQEAANAFAAAAAA==&#10;">
              <v:fill on="f" focussize="0,0"/>
              <v:stroke on="f" weight="0.5pt"/>
              <v:imagedata o:title=""/>
              <o:lock v:ext="edit" aspectratio="f"/>
              <v:textbox inset="0mm,0mm,0mm,0mm">
                <w:txbxContent>
                  <w:p w14:paraId="3715509B">
                    <w:pPr>
                      <w:pStyle w:val="7"/>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NWVhZDE0N2Y3NDJmNmYwNjliZDFjYTZhMDJhYjUifQ=="/>
  </w:docVars>
  <w:rsids>
    <w:rsidRoot w:val="347C3548"/>
    <w:rsid w:val="02CD3C61"/>
    <w:rsid w:val="04F5149B"/>
    <w:rsid w:val="19AF13EE"/>
    <w:rsid w:val="1FFD7459"/>
    <w:rsid w:val="241225C1"/>
    <w:rsid w:val="259D62BE"/>
    <w:rsid w:val="25CC1059"/>
    <w:rsid w:val="347C3548"/>
    <w:rsid w:val="377B052C"/>
    <w:rsid w:val="45F33B70"/>
    <w:rsid w:val="4604307B"/>
    <w:rsid w:val="4AED7442"/>
    <w:rsid w:val="508D3359"/>
    <w:rsid w:val="5621379B"/>
    <w:rsid w:val="64650445"/>
    <w:rsid w:val="6D086EE5"/>
    <w:rsid w:val="6F3C4215"/>
    <w:rsid w:val="76D32889"/>
    <w:rsid w:val="7FC74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Times New Roman" w:eastAsia="方正小标宋_GBK" w:cs="Times New Roman"/>
      <w:color w:val="000000"/>
      <w:sz w:val="24"/>
      <w:szCs w:val="22"/>
      <w:lang w:val="en-US" w:eastAsia="zh-CN" w:bidi="ar-SA"/>
    </w:rPr>
  </w:style>
  <w:style w:type="paragraph" w:styleId="4">
    <w:name w:val="Body Text"/>
    <w:basedOn w:val="1"/>
    <w:next w:val="5"/>
    <w:qFormat/>
    <w:uiPriority w:val="0"/>
    <w:rPr>
      <w:rFonts w:ascii="仿宋_GB2312" w:hAnsi="Times New Roman" w:eastAsia="仿宋_GB2312"/>
      <w:sz w:val="30"/>
      <w:szCs w:val="24"/>
    </w:rPr>
  </w:style>
  <w:style w:type="paragraph" w:styleId="5">
    <w:name w:val="toc 5"/>
    <w:basedOn w:val="1"/>
    <w:next w:val="1"/>
    <w:qFormat/>
    <w:uiPriority w:val="0"/>
    <w:pPr>
      <w:spacing w:before="100" w:beforeAutospacing="1" w:after="100" w:afterAutospacing="1"/>
      <w:ind w:left="1680"/>
    </w:pPr>
    <w:rPr>
      <w:rFonts w:ascii="Calibri" w:hAnsi="Calibri" w:eastAsia="宋体" w:cs="Times New Roman"/>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昆明市富民县党政机关单位</Company>
  <Pages>5</Pages>
  <Words>2391</Words>
  <Characters>2451</Characters>
  <Lines>0</Lines>
  <Paragraphs>0</Paragraphs>
  <TotalTime>2</TotalTime>
  <ScaleCrop>false</ScaleCrop>
  <LinksUpToDate>false</LinksUpToDate>
  <CharactersWithSpaces>2451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2022-01-11T02:16:00Z</dcterms:created>
  <dc:creator>Lenovo</dc:creator>
  <cp:lastModifiedBy>momo</cp:lastModifiedBy>
  <cp:lastPrinted>2022-01-28T03:11:00Z</cp:lastPrinted>
  <dcterms:modified xsi:type="dcterms:W3CDTF">2026-03-03T02:10:46Z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C751B2CB74C04570B473EF46087B9C16_13</vt:lpwstr>
  </property>
  <property fmtid="{D5CDD505-2E9C-101B-9397-08002B2CF9AE}" pid="4" name="KSOTemplateDocerSaveRecord">
    <vt:lpwstr>eyJoZGlkIjoiNzQ4ZTZhZDMyNTkwZmUxMTJhMzgzZDEzMWZlM2U4MjYiLCJ1c2VySWQiOiIxMDg0Njk1MDExIn0=</vt:lpwstr>
  </property>
</Properties>
</file>