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60" w:lineRule="exact"/>
        <w:ind w:left="263" w:leftChars="125"/>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富民县司法局</w:t>
      </w:r>
      <w:r>
        <w:rPr>
          <w:rFonts w:hint="default" w:ascii="Times New Roman" w:hAnsi="Times New Roman" w:eastAsia="方正小标宋简体" w:cs="Times New Roman"/>
          <w:sz w:val="44"/>
          <w:szCs w:val="44"/>
          <w:lang w:val="en-US" w:eastAsia="zh-CN"/>
        </w:rPr>
        <w:t>2025年度</w:t>
      </w:r>
      <w:r>
        <w:rPr>
          <w:rFonts w:hint="default" w:ascii="Times New Roman" w:hAnsi="Times New Roman" w:eastAsia="方正小标宋简体" w:cs="Times New Roman"/>
          <w:sz w:val="44"/>
          <w:szCs w:val="44"/>
          <w:lang w:eastAsia="zh-CN"/>
        </w:rPr>
        <w:t>政府法律顾问费</w:t>
      </w:r>
    </w:p>
    <w:p>
      <w:pPr>
        <w:keepNext w:val="0"/>
        <w:keepLines w:val="0"/>
        <w:pageBreakBefore w:val="0"/>
        <w:kinsoku/>
        <w:wordWrap/>
        <w:overflowPunct/>
        <w:topLinePunct w:val="0"/>
        <w:autoSpaceDE/>
        <w:autoSpaceDN/>
        <w:bidi w:val="0"/>
        <w:adjustRightInd/>
        <w:snapToGrid/>
        <w:spacing w:beforeAutospacing="0" w:afterAutospacing="0" w:line="560" w:lineRule="exact"/>
        <w:ind w:left="263" w:leftChars="125"/>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项目支出绩效评价报告</w:t>
      </w:r>
    </w:p>
    <w:p>
      <w:pPr>
        <w:keepNext w:val="0"/>
        <w:keepLines w:val="0"/>
        <w:pageBreakBefore w:val="0"/>
        <w:kinsoku/>
        <w:wordWrap/>
        <w:overflowPunct/>
        <w:topLinePunct w:val="0"/>
        <w:autoSpaceDE/>
        <w:autoSpaceDN/>
        <w:bidi w:val="0"/>
        <w:adjustRightInd/>
        <w:snapToGrid/>
        <w:spacing w:beforeAutospacing="0" w:afterAutospacing="0" w:line="560" w:lineRule="exact"/>
        <w:ind w:left="263" w:leftChars="125" w:firstLine="640" w:firstLineChars="200"/>
        <w:jc w:val="both"/>
        <w:textAlignment w:val="auto"/>
        <w:rPr>
          <w:rFonts w:ascii="黑体" w:hAnsi="黑体" w:eastAsia="黑体" w:cs="黑体"/>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一、基本情况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（一）项目概况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kern w:val="0"/>
          <w:sz w:val="32"/>
          <w:szCs w:val="32"/>
          <w:lang w:val="en-US" w:eastAsia="zh-CN" w:bidi="ar"/>
        </w:rPr>
        <w:t>1. 项目背景：</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为进一步促进富民县法治政府建设，认真落实党政一体法律顾问工作机制，推动县委县政府法律顾问室规范高效开展法务保障工作，为全县重大行政决策及重大工作机制提供优质精准的法律顾问服务，防范</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重大</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行政决策法律风险，</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由</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县财政</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将政府法律顾问专项经费列入财政预算。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kern w:val="0"/>
          <w:sz w:val="32"/>
          <w:szCs w:val="32"/>
          <w:lang w:val="en-US" w:eastAsia="zh-CN" w:bidi="ar"/>
        </w:rPr>
        <w:t>2. 主要内容及实施情况：</w:t>
      </w:r>
      <w:r>
        <w:rPr>
          <w:rFonts w:hint="default" w:ascii="Times New Roman" w:hAnsi="Times New Roman" w:eastAsia="仿宋_GB2312" w:cs="Times New Roman"/>
          <w:b w:val="0"/>
          <w:bCs/>
          <w:sz w:val="32"/>
          <w:szCs w:val="32"/>
          <w:lang w:eastAsia="zh-CN"/>
        </w:rPr>
        <w:t>由县司法局法律顾问室对聘请的8家法律顾问单位工作量进行审核，除固定报酬外，对审核合格的服务项目按服务类型实行的计件付费。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b w:val="0"/>
          <w:bCs/>
          <w:color w:val="000000" w:themeColor="text1"/>
          <w:sz w:val="32"/>
          <w:szCs w:val="32"/>
          <w:highlight w:val="yellow"/>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3. 资金投入和使用情况：</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 xml:space="preserve"> 2025年度，该项目财政预算安排资金为20.25万元，全年实际支出资金为20.25万元，预算执行率为100.00％。资金主要用于支付8家法律顾问单位的固定服务费及计件服务费。资金使用严格按照合同约定和财务管理制度执行，经行政复议科审核后报党组会议研究同意支付，未发现截留、挪用等违规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（二）项目绩效目标</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1. 总体目标：健全政府法律顾问机制，落实党政一体法律顾问工作机制，提升依法行政水平，防范法律风险，推动法治政府建设，为县域经济社会高质量发展提供法律保障，助力县委县政府法律顾问室规范高效开展法务保障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2. 阶段性目标：2025年底前完成8家法律顾问单位选聘，实现服务全覆盖；全年处理各类法律事务≧120件，代理行政诉讼案件卷宗达标率≧95%，提供法律服务及时到位，服务对象满意度≧90%，法律顾问考核合格率不低于90%。</w:t>
      </w:r>
      <w:r>
        <w:rPr>
          <w:rFonts w:hint="eastAsia" w:ascii="Times New Roman" w:hAnsi="Times New Roman" w:eastAsia="仿宋_GB2312" w:cs="Times New Roman"/>
          <w:b w:val="0"/>
          <w:bCs w:val="0"/>
          <w:kern w:val="0"/>
          <w:sz w:val="32"/>
          <w:szCs w:val="32"/>
          <w:lang w:val="en-US" w:eastAsia="zh-CN" w:bidi="ar"/>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kern w:val="0"/>
          <w:sz w:val="32"/>
          <w:szCs w:val="32"/>
          <w:lang w:val="en-US" w:eastAsia="zh-CN" w:bidi="ar"/>
        </w:rPr>
        <w:t>（三）</w:t>
      </w:r>
      <w:r>
        <w:rPr>
          <w:rFonts w:hint="eastAsia" w:ascii="楷体_GB2312" w:hAnsi="楷体_GB2312" w:eastAsia="楷体_GB2312" w:cs="楷体_GB2312"/>
          <w:b w:val="0"/>
          <w:bCs w:val="0"/>
          <w:sz w:val="32"/>
          <w:szCs w:val="32"/>
        </w:rPr>
        <w:t>项目组织管理情况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1. 职责分工：富民县司法局为项目实施主体，负责项目实施、法律顾问管理及资金支付；8家法律顾问单位提供专业服务；各相关单位配合对接</w:t>
      </w:r>
      <w:r>
        <w:rPr>
          <w:rFonts w:hint="eastAsia" w:ascii="Times New Roman" w:hAnsi="Times New Roman" w:eastAsia="仿宋_GB2312" w:cs="Times New Roman"/>
          <w:b w:val="0"/>
          <w:bCs w:val="0"/>
          <w:kern w:val="0"/>
          <w:sz w:val="32"/>
          <w:szCs w:val="32"/>
          <w:lang w:val="en-US" w:eastAsia="zh-CN" w:bidi="ar"/>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2. 管理流程</w:t>
      </w:r>
      <w:r>
        <w:rPr>
          <w:rFonts w:hint="eastAsia" w:ascii="Times New Roman" w:hAnsi="Times New Roman" w:eastAsia="仿宋_GB2312" w:cs="Times New Roman"/>
          <w:b w:val="0"/>
          <w:bCs w:val="0"/>
          <w:kern w:val="0"/>
          <w:sz w:val="32"/>
          <w:szCs w:val="32"/>
          <w:lang w:val="en-US" w:eastAsia="zh-CN" w:bidi="ar"/>
        </w:rPr>
        <w:t xml:space="preserve">：由县司法局行政复议科制定具体目标，并组织开展法律顾问相关工作。  </w:t>
      </w:r>
    </w:p>
    <w:p>
      <w:pPr>
        <w:ind w:firstLine="640" w:firstLineChars="200"/>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3.</w:t>
      </w: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组织实施</w:t>
      </w:r>
      <w:r>
        <w:rPr>
          <w:rFonts w:hint="eastAsia"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情况。</w:t>
      </w: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由</w:t>
      </w:r>
      <w:r>
        <w:rPr>
          <w:rFonts w:hint="eastAsia" w:ascii="Times New Roman" w:hAnsi="Times New Roman" w:eastAsia="仿宋_GB2312" w:cs="Times New Roman"/>
          <w:b w:val="0"/>
          <w:bCs w:val="0"/>
          <w:kern w:val="0"/>
          <w:sz w:val="32"/>
          <w:szCs w:val="32"/>
          <w:lang w:val="en-US" w:eastAsia="zh-CN" w:bidi="ar"/>
        </w:rPr>
        <w:t>县司法局行政复议科</w:t>
      </w: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对法律顾问单位的服务案件以及法律顾问费用进行统计，审核，并报分管领导、主要领导审核，经局党组会议研究后，按单位财务管理制度及专项资金管理规定，实行专款专用、专项管理。资金支付严格遵循申请、审核、审批等内部流程。强化资金使用全过程监督，确保资金使用安全、规范、高效，切实提升财政资金使用效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二、绩效评价工作开展情况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（一）绩效评价目的、对象和范围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 评价目的：掌握项目资金使用效益，查找问题、优化管理，提升资金效率和法律顾问服务质量，确保项目达到预期绩效目标。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 评价对象：2025年度政府法律顾问费项目支出及实施全过程。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3. 评价范围：涵盖资金使用、8家法律顾问单位选聘与考核、绩效目标完成等情况，重点核查法律服务数量、质量及满意度等核心指标。</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（二）绩效评价原则、依据、评价指标体系</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评价方法、评价标准、评价抽样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 评价原则：遵循科学规范、公开公正、绩效相关、客观公正原则。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 评价依据：依据《预算法》</w:t>
      </w:r>
      <w:r>
        <w:rPr>
          <w:rFonts w:hint="eastAsia" w:ascii="Times New Roman" w:hAnsi="Times New Roman" w:eastAsia="仿宋_GB2312" w:cs="Times New Roman"/>
          <w:kern w:val="0"/>
          <w:sz w:val="32"/>
          <w:szCs w:val="32"/>
          <w:lang w:val="en-US" w:eastAsia="zh-CN" w:bidi="ar"/>
        </w:rPr>
        <w:t>等相关法律法规、项目预算批复文件、财务管理制度、</w:t>
      </w:r>
      <w:r>
        <w:rPr>
          <w:rFonts w:hint="default" w:ascii="Times New Roman" w:hAnsi="Times New Roman" w:eastAsia="仿宋_GB2312" w:cs="Times New Roman"/>
          <w:kern w:val="0"/>
          <w:sz w:val="32"/>
          <w:szCs w:val="32"/>
          <w:lang w:val="en-US" w:eastAsia="zh-CN" w:bidi="ar"/>
        </w:rPr>
        <w:t>项目相关资料</w:t>
      </w:r>
      <w:r>
        <w:rPr>
          <w:rFonts w:hint="eastAsia" w:ascii="Times New Roman" w:hAnsi="Times New Roman" w:eastAsia="仿宋_GB2312" w:cs="Times New Roman"/>
          <w:kern w:val="0"/>
          <w:sz w:val="32"/>
          <w:szCs w:val="32"/>
          <w:lang w:val="en-US" w:eastAsia="zh-CN" w:bidi="ar"/>
        </w:rPr>
        <w:t>以及</w:t>
      </w:r>
      <w:r>
        <w:rPr>
          <w:rFonts w:hint="default" w:ascii="Times New Roman" w:hAnsi="Times New Roman" w:eastAsia="仿宋_GB2312" w:cs="Times New Roman"/>
          <w:kern w:val="0"/>
          <w:sz w:val="32"/>
          <w:szCs w:val="32"/>
          <w:lang w:val="en-US" w:eastAsia="zh-CN" w:bidi="ar"/>
        </w:rPr>
        <w:t>《中共昆明市委 昆明市人民政府法律顾问工作报酬支付标准》（昆府发(2018)13号）</w:t>
      </w:r>
      <w:r>
        <w:rPr>
          <w:rFonts w:hint="eastAsia" w:ascii="Times New Roman" w:hAnsi="Times New Roman" w:eastAsia="仿宋_GB2312" w:cs="Times New Roman"/>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 评价指标体系：设4个一级指标及各级子指标（详见附表），总分100分，指标科学可操作，涵盖数量、质量、成本、效益及满意度等核心指标。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4. 评价方法：采用查阅资料、实地核查、座谈问卷、定量定性结合的方式开展评价，其中满意度通过问卷调查获取数据。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 评价标准：分为优秀、良好、合格、不合格四个等级，以项目绩效目标、《富民县党政一体法律顾问服务合同》及相关标准为基准。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6. 评价抽样：随机抽取部分单位及案例核查，抽样覆盖率达标，结果具有代表性，重点核查法律事务处理、卷宗达标率等指标完成情况。。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（三）绩效评价工作流程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1. 准备阶段：成立评价小组、收集项目实施方案、可行性研究报告等相关资料、制定方案、梳理指标。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2. 实施阶段：核查资料、座谈问卷、分析数据，重点核查120件法律事务、95%卷宗达标率等指标完成情况，形成初步评价意见。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3. 汇总阶段：打分形成初步报告，征求富民县司法局及相关单位意见并修改完善。</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定稿阶段：审核报告、确定结论，按规定报送相关部门。</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三、综合评价情况及评价结论</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（一）绩效评价综合结论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经综合评价，该项目得分</w:t>
      </w:r>
      <w:r>
        <w:rPr>
          <w:rFonts w:hint="eastAsia" w:ascii="Times New Roman" w:hAnsi="Times New Roman" w:eastAsia="仿宋_GB2312" w:cs="Times New Roman"/>
          <w:kern w:val="0"/>
          <w:sz w:val="32"/>
          <w:szCs w:val="32"/>
          <w:lang w:val="en-US" w:eastAsia="zh-CN" w:bidi="ar"/>
        </w:rPr>
        <w:t>90</w:t>
      </w:r>
      <w:r>
        <w:rPr>
          <w:rFonts w:hint="default" w:ascii="Times New Roman" w:hAnsi="Times New Roman" w:eastAsia="仿宋_GB2312" w:cs="Times New Roman"/>
          <w:kern w:val="0"/>
          <w:sz w:val="32"/>
          <w:szCs w:val="32"/>
          <w:lang w:val="en-US" w:eastAsia="zh-CN" w:bidi="ar"/>
        </w:rPr>
        <w:t>分，等级为优秀。项目实施规范、资金合规（实际支出与预算一致），圆满完成既定绩效目标，有效发挥了法治保障作用，推动法治政府建设，仍有细节问题需改进。</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（二）绩效目标实现情况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kern w:val="0"/>
          <w:sz w:val="32"/>
          <w:szCs w:val="32"/>
          <w:lang w:val="en-US" w:eastAsia="zh-CN" w:bidi="ar"/>
        </w:rPr>
        <w:t>1. 产出目标：全年处理各类法律事务</w:t>
      </w:r>
      <w:r>
        <w:rPr>
          <w:rFonts w:hint="eastAsia" w:ascii="Times New Roman" w:hAnsi="Times New Roman" w:eastAsia="仿宋_GB2312" w:cs="Times New Roman"/>
          <w:kern w:val="0"/>
          <w:sz w:val="32"/>
          <w:szCs w:val="32"/>
          <w:lang w:val="en-US" w:eastAsia="zh-CN" w:bidi="ar"/>
        </w:rPr>
        <w:t>261</w:t>
      </w:r>
      <w:r>
        <w:rPr>
          <w:rFonts w:hint="default" w:ascii="Times New Roman" w:hAnsi="Times New Roman" w:eastAsia="仿宋_GB2312" w:cs="Times New Roman"/>
          <w:kern w:val="0"/>
          <w:sz w:val="32"/>
          <w:szCs w:val="32"/>
          <w:lang w:val="en-US" w:eastAsia="zh-CN" w:bidi="ar"/>
        </w:rPr>
        <w:t>件（≧120件），聘请法律顾问单位8家，代理行政诉讼案件卷宗达标率</w:t>
      </w:r>
      <w:r>
        <w:rPr>
          <w:rFonts w:hint="eastAsia" w:ascii="Times New Roman" w:hAnsi="Times New Roman" w:eastAsia="仿宋_GB2312" w:cs="Times New Roman"/>
          <w:kern w:val="0"/>
          <w:sz w:val="32"/>
          <w:szCs w:val="32"/>
          <w:lang w:val="en-US" w:eastAsia="zh-CN" w:bidi="ar"/>
        </w:rPr>
        <w:t>95</w:t>
      </w:r>
      <w:r>
        <w:rPr>
          <w:rFonts w:hint="default" w:ascii="Times New Roman" w:hAnsi="Times New Roman" w:eastAsia="仿宋_GB2312" w:cs="Times New Roman"/>
          <w:kern w:val="0"/>
          <w:sz w:val="32"/>
          <w:szCs w:val="32"/>
          <w:lang w:val="en-US" w:eastAsia="zh-CN" w:bidi="ar"/>
        </w:rPr>
        <w:t>%（≧95%），法律服务覆盖率、及时率均为100%，考核合格</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率符合要求，预算支出</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20.25</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万元，与预算数一致。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2. 效益目标：有效防范行政法律风险，提升依法行政水平和依法办事效率，化解涉法纠纷，服务对象满意度达</w:t>
      </w:r>
      <w:r>
        <w:rPr>
          <w:rFonts w:hint="eastAsia" w:ascii="Times New Roman" w:hAnsi="Times New Roman" w:eastAsia="仿宋_GB2312" w:cs="Times New Roman"/>
          <w:kern w:val="0"/>
          <w:sz w:val="32"/>
          <w:szCs w:val="32"/>
          <w:lang w:val="en-US" w:eastAsia="zh-CN" w:bidi="ar"/>
        </w:rPr>
        <w:t>90</w:t>
      </w:r>
      <w:r>
        <w:rPr>
          <w:rFonts w:hint="default" w:ascii="Times New Roman" w:hAnsi="Times New Roman" w:eastAsia="仿宋_GB2312" w:cs="Times New Roman"/>
          <w:kern w:val="0"/>
          <w:sz w:val="32"/>
          <w:szCs w:val="32"/>
          <w:lang w:val="en-US" w:eastAsia="zh-CN" w:bidi="ar"/>
        </w:rPr>
        <w:t>%（≧90%），有效提升政府服务形象，推动县域法治建设。</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四、绩效评价指标分析</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b w:val="0"/>
          <w:bCs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（一）项目决策情况分析</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项目设立符合法律法规和政策要求，与司法局职责高度相关。绩效目标设定基本清晰、可衡量。预算编制依据较充分，内容较具体，与工作任务匹配度较高。扣分点主要在于部分绩效指标在年初设定时不够量化、精细化。（满分25分，得分25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（二）项目过程情况分析</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资金到位及时，预算执行率较高。资金支付流程规范，审批手续齐全，未发现违规使用情况。业务管理制度健全，法律顾问室能履行日常管理职责，对服务记录有审核。（满分</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25</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分，得分</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25</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（三）项目产出情况分析）</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聘请8家法律顾问单位，完成法律事务≧120件，卷宗达标率≧95%，法律服务任务完成数量符合预期，关键性服务（如重大合同、决策法审）响应及时。服务成果质量总体合格，审查意见具有专业性。计件付费模式与工作量基本匹配。扣分点在于个别非紧急性常规法律咨询响应时效偶有延迟。（满分</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25</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分，得分</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分</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（四）项目效益情况分析</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项目在促进政府行为合法合规、降低行政诉讼风险方面效益显著。服务单位认可法律顾问的支持作用。项目具有可持续性，社会公众对政府依法行政的信任度间接获益。扣分点在于效益的长效机制和更广泛的社会效益有待更系统的评估展现。（满分</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25</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分，得分</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五、主要经验及做法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1. 规范选聘流程，严格筛选8家专业律师事务所，保障服务质量，符合项目绩效目标要求。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2. 健全管理制度和内控机制，明确服务考核标准，制定详细用款计划，强化日常管控，保障项目有序推进。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3. 聚焦核心需求，精准提供法律服务，确保完成≧120件法律事务，提前防范风险，提升服务实效。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lang w:val="en-US" w:eastAsia="zh-CN" w:bidi="ar"/>
        </w:rPr>
        <w:t>4. 强化协同联动，推动服务向基层延伸，实现全覆盖，落实党政一体法律顾问工作机制。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六、存在的问题及原因分析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1.项目预算与实际支出存在较大差异，存在项目经费不足。</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2.在绩效评估方面，评估方法不够科学、导致对经费支出绩效的评估不准确。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七、有关建议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kern w:val="0"/>
          <w:sz w:val="32"/>
          <w:szCs w:val="32"/>
          <w:lang w:val="en-US" w:eastAsia="zh-CN" w:bidi="ar"/>
        </w:rPr>
        <w:t>1. 强化预算执行管理，</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加强对项目实际需求的调研和分析，确保预算与项目实际需求相匹配。定期对预算执行情况进行监控和评估，及时调整预算分配，确保资金使用的高效性。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 规范台账管理，明确记录要求，重点完善法律事务、卷宗达标率等相关记录，安排专人负责，提升规范化水平。</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 加强宣传引导，提升各单位重视程度，建立科学考核退出机制，结合满意度调查结果，倒逼服务水平提升。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val="en-US" w:eastAsia="zh-CN" w:bidi="ar"/>
        </w:rPr>
        <w:t>4.</w:t>
      </w:r>
      <w:r>
        <w:rPr>
          <w:rFonts w:hint="default" w:ascii="Times New Roman" w:hAnsi="Times New Roman" w:eastAsia="仿宋_GB2312" w:cs="Times New Roman"/>
          <w:kern w:val="0"/>
          <w:sz w:val="32"/>
          <w:szCs w:val="32"/>
          <w:lang w:val="en-US" w:eastAsia="zh-CN" w:bidi="ar"/>
        </w:rPr>
        <w:t xml:space="preserve"> 完善考核体系，细化数量、质量、满意度等指标，结合卷宗达标率、法律事务完成量等核心数据，强化结果运用。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八、其它需要说明的问题</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无</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5440" w:firstLineChars="1700"/>
        <w:jc w:val="left"/>
        <w:textAlignment w:val="auto"/>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富民县司法局</w:t>
      </w:r>
      <w:bookmarkStart w:id="0" w:name="_GoBack"/>
      <w:bookmarkEnd w:id="0"/>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5440" w:firstLineChars="1700"/>
        <w:jc w:val="left"/>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2026年4月9日</w:t>
      </w:r>
    </w:p>
    <w:p>
      <w:pPr>
        <w:rPr>
          <w:color w:val="000000" w:themeColor="text1"/>
          <w14:textFill>
            <w14:solidFill>
              <w14:schemeClr w14:val="tx1"/>
            </w14:solidFill>
          </w14:textFill>
        </w:rPr>
      </w:pPr>
    </w:p>
    <w:p/>
    <w:p/>
    <w:p/>
    <w:p/>
    <w:p/>
    <w:p/>
    <w:p/>
    <w:p/>
    <w:p/>
    <w:p/>
    <w:p/>
    <w:p/>
    <w:p>
      <w:pPr>
        <w:rPr>
          <w:rFonts w:hint="eastAsia"/>
          <w:lang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44DBC"/>
    <w:multiLevelType w:val="singleLevel"/>
    <w:tmpl w:val="3AA44DBC"/>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0NjI5MDliMmI4YTdjODM5ZWU3ZTNiYmY1MGIwZmIifQ=="/>
  </w:docVars>
  <w:rsids>
    <w:rsidRoot w:val="00172A27"/>
    <w:rsid w:val="000E6661"/>
    <w:rsid w:val="002020E6"/>
    <w:rsid w:val="002A3E90"/>
    <w:rsid w:val="00374AB7"/>
    <w:rsid w:val="003B6467"/>
    <w:rsid w:val="00404802"/>
    <w:rsid w:val="00451CED"/>
    <w:rsid w:val="004A76FA"/>
    <w:rsid w:val="0058320E"/>
    <w:rsid w:val="005B2D1B"/>
    <w:rsid w:val="006E0A05"/>
    <w:rsid w:val="007E77B9"/>
    <w:rsid w:val="0087492D"/>
    <w:rsid w:val="008F7E56"/>
    <w:rsid w:val="00997D04"/>
    <w:rsid w:val="00A34092"/>
    <w:rsid w:val="00C040C7"/>
    <w:rsid w:val="00C44CFA"/>
    <w:rsid w:val="00DE6A66"/>
    <w:rsid w:val="00EC5918"/>
    <w:rsid w:val="00F5756A"/>
    <w:rsid w:val="00FE0C9E"/>
    <w:rsid w:val="03D66BA6"/>
    <w:rsid w:val="0416235D"/>
    <w:rsid w:val="08950684"/>
    <w:rsid w:val="0AA572D2"/>
    <w:rsid w:val="0D2A3ABE"/>
    <w:rsid w:val="0DB52F5A"/>
    <w:rsid w:val="0F9D720D"/>
    <w:rsid w:val="107515F1"/>
    <w:rsid w:val="110A3BA1"/>
    <w:rsid w:val="11131439"/>
    <w:rsid w:val="119C2D16"/>
    <w:rsid w:val="12927D71"/>
    <w:rsid w:val="16986D53"/>
    <w:rsid w:val="19903728"/>
    <w:rsid w:val="1F240CB5"/>
    <w:rsid w:val="201C5A4A"/>
    <w:rsid w:val="29965602"/>
    <w:rsid w:val="29FA2D3E"/>
    <w:rsid w:val="2B6F150A"/>
    <w:rsid w:val="2C4038FB"/>
    <w:rsid w:val="2C4620A9"/>
    <w:rsid w:val="312D21AD"/>
    <w:rsid w:val="354B7C4D"/>
    <w:rsid w:val="37700D57"/>
    <w:rsid w:val="3CDE204C"/>
    <w:rsid w:val="3D616A0C"/>
    <w:rsid w:val="47541874"/>
    <w:rsid w:val="47A83982"/>
    <w:rsid w:val="4B3C2D5F"/>
    <w:rsid w:val="4C261064"/>
    <w:rsid w:val="4E2452C5"/>
    <w:rsid w:val="4F423E0D"/>
    <w:rsid w:val="509233DD"/>
    <w:rsid w:val="592E5F77"/>
    <w:rsid w:val="5B8A31D6"/>
    <w:rsid w:val="5CC45F6E"/>
    <w:rsid w:val="62E11613"/>
    <w:rsid w:val="63C56EA9"/>
    <w:rsid w:val="67622C5E"/>
    <w:rsid w:val="6A6C42EE"/>
    <w:rsid w:val="6B735ED1"/>
    <w:rsid w:val="6DFA4729"/>
    <w:rsid w:val="6F951797"/>
    <w:rsid w:val="721C0B60"/>
    <w:rsid w:val="7406291D"/>
    <w:rsid w:val="74A86FDB"/>
    <w:rsid w:val="7A37456E"/>
    <w:rsid w:val="7B5D1DB2"/>
    <w:rsid w:val="7C6A3363"/>
    <w:rsid w:val="7F7226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1"/>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kern w:val="2"/>
      <w:sz w:val="18"/>
      <w:szCs w:val="18"/>
    </w:rPr>
  </w:style>
  <w:style w:type="character" w:customStyle="1" w:styleId="10">
    <w:name w:val="页脚 Char"/>
    <w:basedOn w:val="8"/>
    <w:link w:val="5"/>
    <w:qFormat/>
    <w:uiPriority w:val="0"/>
    <w:rPr>
      <w:kern w:val="2"/>
      <w:sz w:val="18"/>
      <w:szCs w:val="18"/>
    </w:rPr>
  </w:style>
  <w:style w:type="character" w:customStyle="1" w:styleId="11">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8</Pages>
  <Words>2925</Words>
  <Characters>3047</Characters>
  <Lines>2</Lines>
  <Paragraphs>1</Paragraphs>
  <TotalTime>5</TotalTime>
  <ScaleCrop>false</ScaleCrop>
  <LinksUpToDate>false</LinksUpToDate>
  <CharactersWithSpaces>3108</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2021-01-08T05:40:00Z</dcterms:created>
  <dc:creator>lenovo</dc:creator>
  <cp:lastModifiedBy>Administrator</cp:lastModifiedBy>
  <cp:lastPrinted>2025-04-01T03:22:00Z</cp:lastPrinted>
  <dcterms:modified xsi:type="dcterms:W3CDTF">2026-04-09T08:03:27Z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3129450432C246828883EF6FB0861AB6_13</vt:lpwstr>
  </property>
  <property fmtid="{D5CDD505-2E9C-101B-9397-08002B2CF9AE}" pid="4" name="KSOTemplateDocerSaveRecord">
    <vt:lpwstr>eyJoZGlkIjoiNjQwMDFjNzEzMjZlNWUyNGY3OTEzNmI3NTRhOGEzNTkiLCJ1c2VySWQiOiIyMDU1OTY5NTcifQ==</vt:lpwstr>
  </property>
</Properties>
</file>