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58532">
      <w:pPr>
        <w:spacing w:line="620" w:lineRule="exact"/>
        <w:ind w:left="263" w:leftChars="125"/>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云南富民产业园区管理委员会</w:t>
      </w:r>
    </w:p>
    <w:p w14:paraId="39C668D9">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2025年度土地收储成本返还专项资金</w:t>
      </w:r>
      <w:r>
        <w:rPr>
          <w:rFonts w:hint="eastAsia" w:ascii="方正小标宋简体" w:hAnsi="方正小标宋简体" w:eastAsia="方正小标宋简体" w:cs="方正小标宋简体"/>
          <w:sz w:val="44"/>
          <w:szCs w:val="44"/>
        </w:rPr>
        <w:t>支出绩效评价报告</w:t>
      </w:r>
    </w:p>
    <w:p w14:paraId="2B3699F6">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5564A152">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30A50875">
      <w:pPr>
        <w:spacing w:line="600" w:lineRule="exact"/>
        <w:ind w:left="263" w:leftChars="125" w:firstLine="640" w:firstLineChars="200"/>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根据《富民县人民政府关于印发&lt;富民工业园区财税扶持政策实施意见（试行）&gt;的通知》（富政通〔2014〕3号）中关于“富民工业园区规划范围内的土地出让收入缴库后，为切实降低生产加工项目建设用地成本，扣除中央、省的各项计提后，其余部分及收储成本通过绿色通道在土地出让金入库15个工作日内返还工业园区”的规定，</w:t>
      </w:r>
      <w:r>
        <w:rPr>
          <w:rFonts w:hint="eastAsia" w:ascii="Times New Roman" w:hAnsi="Times New Roman" w:eastAsia="仿宋_GB2312" w:cs="Times New Roman"/>
          <w:sz w:val="32"/>
          <w:szCs w:val="32"/>
          <w:lang w:eastAsia="zh-CN"/>
        </w:rPr>
        <w:t>由</w:t>
      </w:r>
      <w:r>
        <w:rPr>
          <w:rFonts w:ascii="Times New Roman" w:hAnsi="Times New Roman" w:eastAsia="仿宋_GB2312" w:cs="Times New Roman"/>
          <w:bCs/>
          <w:sz w:val="32"/>
          <w:szCs w:val="32"/>
        </w:rPr>
        <w:t>富民县财政局</w:t>
      </w:r>
      <w:r>
        <w:rPr>
          <w:rFonts w:hint="eastAsia" w:ascii="Times New Roman" w:hAnsi="Times New Roman" w:eastAsia="仿宋_GB2312" w:cs="Times New Roman"/>
          <w:bCs/>
          <w:sz w:val="32"/>
          <w:szCs w:val="32"/>
          <w:lang w:eastAsia="zh-CN"/>
        </w:rPr>
        <w:t>将土地收储成本返还给园区管委会，园区管委会再测算返还给企业。</w:t>
      </w:r>
    </w:p>
    <w:p w14:paraId="549BB4F2">
      <w:pPr>
        <w:spacing w:line="600" w:lineRule="exact"/>
        <w:ind w:left="263" w:leftChars="125" w:firstLine="640" w:firstLineChars="200"/>
        <w:rPr>
          <w:rFonts w:hint="eastAsia" w:ascii="Times New Roman" w:hAnsi="Times New Roman" w:eastAsia="仿宋_GB2312" w:cs="Times New Roman"/>
          <w:bCs/>
          <w:sz w:val="32"/>
          <w:szCs w:val="32"/>
          <w:lang w:val="en-US" w:eastAsia="zh-CN"/>
        </w:rPr>
      </w:pPr>
      <w:r>
        <w:rPr>
          <w:rFonts w:hint="eastAsia" w:ascii="楷体_GB2312" w:hAnsi="楷体_GB2312" w:eastAsia="楷体_GB2312" w:cs="楷体_GB2312"/>
          <w:sz w:val="32"/>
          <w:szCs w:val="32"/>
          <w:lang w:val="en-US" w:eastAsia="zh-CN"/>
        </w:rPr>
        <w:t>2025年初，</w:t>
      </w:r>
      <w:r>
        <w:rPr>
          <w:rFonts w:ascii="Times New Roman" w:hAnsi="Times New Roman" w:eastAsia="仿宋_GB2312" w:cs="Times New Roman"/>
          <w:bCs/>
          <w:sz w:val="32"/>
          <w:szCs w:val="32"/>
        </w:rPr>
        <w:t>富民县财政局</w:t>
      </w:r>
      <w:r>
        <w:rPr>
          <w:rFonts w:hint="eastAsia" w:ascii="Times New Roman" w:hAnsi="Times New Roman" w:eastAsia="仿宋_GB2312" w:cs="Times New Roman"/>
          <w:bCs/>
          <w:sz w:val="32"/>
          <w:szCs w:val="32"/>
          <w:lang w:val="en-US" w:eastAsia="zh-CN"/>
        </w:rPr>
        <w:t>预算</w:t>
      </w:r>
      <w:r>
        <w:rPr>
          <w:rFonts w:hint="eastAsia" w:ascii="Times New Roman" w:hAnsi="Times New Roman" w:eastAsia="仿宋_GB2312" w:cs="Times New Roman"/>
          <w:bCs/>
          <w:sz w:val="32"/>
          <w:szCs w:val="32"/>
          <w:lang w:eastAsia="zh-CN"/>
        </w:rPr>
        <w:t>安排云南富民产业园区管理委员会</w:t>
      </w:r>
      <w:r>
        <w:rPr>
          <w:rFonts w:hint="eastAsia" w:ascii="Times New Roman" w:hAnsi="Times New Roman" w:eastAsia="仿宋_GB2312" w:cs="Times New Roman"/>
          <w:bCs/>
          <w:sz w:val="32"/>
          <w:szCs w:val="32"/>
          <w:lang w:val="en-US" w:eastAsia="zh-CN"/>
        </w:rPr>
        <w:t>2025年度土地收储成本返还专项资金54000000元。</w:t>
      </w:r>
    </w:p>
    <w:p w14:paraId="341A1083">
      <w:pPr>
        <w:spacing w:line="600" w:lineRule="exact"/>
        <w:ind w:left="263" w:leftChars="125"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2025年中，根据工作实际需求，经请示县政府同意，调出“土地收储成本返还资金”47003190元，由富民县土地开发复垦收购储备交易中心统一兑付企业。</w:t>
      </w:r>
    </w:p>
    <w:p w14:paraId="52803DE6">
      <w:pPr>
        <w:spacing w:line="600" w:lineRule="exact"/>
        <w:ind w:left="263" w:leftChars="125"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云南富民产业园区管理委员会</w:t>
      </w:r>
      <w:r>
        <w:rPr>
          <w:rFonts w:hint="eastAsia" w:ascii="Times New Roman" w:hAnsi="Times New Roman" w:eastAsia="仿宋_GB2312"/>
          <w:sz w:val="32"/>
          <w:szCs w:val="32"/>
          <w:lang w:val="en-US" w:eastAsia="zh-CN"/>
        </w:rPr>
        <w:t>2025年度实际支出土地收储成本返还专项资金6996810元。</w:t>
      </w:r>
    </w:p>
    <w:p w14:paraId="7404F3F8">
      <w:pPr>
        <w:pStyle w:val="10"/>
        <w:numPr>
          <w:ilvl w:val="0"/>
          <w:numId w:val="0"/>
        </w:numPr>
        <w:topLinePunct/>
        <w:spacing w:line="560" w:lineRule="exact"/>
        <w:ind w:left="803" w:leftChars="0" w:firstLine="0" w:firstLineChars="0"/>
        <w:rPr>
          <w:rFonts w:ascii="Times New Roman" w:hAnsi="Times New Roman" w:eastAsia="仿宋_GB2312" w:cs="Times New Roman"/>
          <w:b w:val="0"/>
          <w:bCs/>
          <w:sz w:val="32"/>
          <w:szCs w:val="32"/>
        </w:rPr>
      </w:pPr>
      <w:r>
        <w:rPr>
          <w:rFonts w:hint="eastAsia" w:ascii="Times New Roman" w:hAnsi="Times New Roman" w:eastAsia="仿宋_GB2312" w:cs="Times New Roman"/>
          <w:b w:val="0"/>
          <w:bCs/>
          <w:kern w:val="2"/>
          <w:sz w:val="32"/>
          <w:szCs w:val="32"/>
          <w:lang w:val="en-US" w:eastAsia="zh-CN" w:bidi="ar-SA"/>
        </w:rPr>
        <w:t>（二）</w:t>
      </w:r>
      <w:r>
        <w:rPr>
          <w:rFonts w:hint="eastAsia" w:ascii="楷体_GB2312" w:hAnsi="楷体_GB2312" w:eastAsia="楷体_GB2312" w:cs="楷体_GB2312"/>
          <w:sz w:val="32"/>
          <w:szCs w:val="32"/>
        </w:rPr>
        <w:t>项目绩效目标</w:t>
      </w:r>
    </w:p>
    <w:p w14:paraId="4423197B">
      <w:pPr>
        <w:pStyle w:val="10"/>
        <w:numPr>
          <w:ilvl w:val="0"/>
          <w:numId w:val="0"/>
        </w:numPr>
        <w:topLinePunct/>
        <w:spacing w:line="560" w:lineRule="exact"/>
        <w:ind w:left="803" w:leftChars="0" w:firstLine="0" w:firstLineChars="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1.总目标</w:t>
      </w:r>
    </w:p>
    <w:p w14:paraId="15431CBB">
      <w:pPr>
        <w:pStyle w:val="10"/>
        <w:topLinePunct/>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园区企业分期分批向县财政缴纳土地出让金，县级财政在扣除各项计提后，返还土地收储成本给园区管委会，再由园区管委会与企业清算土地成本。</w:t>
      </w:r>
    </w:p>
    <w:p w14:paraId="5C1104B8">
      <w:pPr>
        <w:pStyle w:val="10"/>
        <w:topLinePunct/>
        <w:spacing w:line="560" w:lineRule="exact"/>
        <w:ind w:left="803" w:firstLine="0" w:firstLineChars="0"/>
        <w:rPr>
          <w:rFonts w:hint="eastAsia" w:ascii="仿宋_GB2312" w:hAnsi="仿宋_GB2312" w:eastAsia="仿宋_GB2312" w:cs="仿宋_GB2312"/>
          <w:b/>
          <w:sz w:val="32"/>
          <w:szCs w:val="32"/>
        </w:rPr>
      </w:pPr>
      <w:r>
        <w:rPr>
          <w:rFonts w:ascii="Times New Roman" w:hAnsi="Times New Roman" w:eastAsia="仿宋_GB2312" w:cs="Times New Roman"/>
          <w:b w:val="0"/>
          <w:bCs w:val="0"/>
          <w:sz w:val="32"/>
          <w:szCs w:val="32"/>
        </w:rPr>
        <w:t>2.年度目标</w:t>
      </w:r>
    </w:p>
    <w:p w14:paraId="575A428F">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测算并返还</w:t>
      </w:r>
      <w:r>
        <w:rPr>
          <w:rFonts w:hint="eastAsia" w:ascii="Times New Roman" w:hAnsi="Times New Roman" w:eastAsia="仿宋_GB2312" w:cs="Times New Roman"/>
          <w:bCs/>
          <w:sz w:val="32"/>
          <w:szCs w:val="32"/>
          <w:lang w:eastAsia="zh-CN"/>
        </w:rPr>
        <w:t>企业</w:t>
      </w:r>
      <w:r>
        <w:rPr>
          <w:rFonts w:ascii="Times New Roman" w:hAnsi="Times New Roman" w:eastAsia="仿宋_GB2312" w:cs="Times New Roman"/>
          <w:sz w:val="32"/>
          <w:szCs w:val="32"/>
        </w:rPr>
        <w:t>土地收储成本</w:t>
      </w:r>
      <w:r>
        <w:rPr>
          <w:rFonts w:hint="eastAsia" w:ascii="Times New Roman" w:hAnsi="Times New Roman" w:eastAsia="仿宋_GB2312" w:cs="Times New Roman"/>
          <w:sz w:val="32"/>
          <w:szCs w:val="32"/>
          <w:lang w:val="en-US" w:eastAsia="zh-CN"/>
        </w:rPr>
        <w:t>6996810</w:t>
      </w:r>
      <w:r>
        <w:rPr>
          <w:rFonts w:ascii="Times New Roman" w:hAnsi="Times New Roman" w:eastAsia="仿宋_GB2312" w:cs="Times New Roman"/>
          <w:sz w:val="32"/>
          <w:szCs w:val="32"/>
        </w:rPr>
        <w:t>元。</w:t>
      </w:r>
    </w:p>
    <w:p w14:paraId="2308E71E">
      <w:pPr>
        <w:topLinePunct/>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rPr>
        <w:t>项目组织管理情况</w:t>
      </w:r>
    </w:p>
    <w:p w14:paraId="38940DC1">
      <w:pPr>
        <w:pStyle w:val="10"/>
        <w:topLinePunct/>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1.土地收储成本返还资金管理</w:t>
      </w:r>
    </w:p>
    <w:p w14:paraId="45D2C324">
      <w:pPr>
        <w:pStyle w:val="10"/>
        <w:topLinePunct/>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园区企业分期分批向县财政缴纳土地出让金，县级财政在扣除各项计提后，返还土地收储成本给园区管委会，再由园区管委会与企业清算土地成本。</w:t>
      </w:r>
    </w:p>
    <w:p w14:paraId="69638411">
      <w:pPr>
        <w:pStyle w:val="10"/>
        <w:numPr>
          <w:ilvl w:val="0"/>
          <w:numId w:val="0"/>
        </w:numPr>
        <w:topLinePunct/>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lang w:val="en-US" w:eastAsia="zh-CN"/>
        </w:rPr>
        <w:t>其他土地相关支出管理</w:t>
      </w:r>
    </w:p>
    <w:p w14:paraId="20435474">
      <w:pPr>
        <w:pStyle w:val="10"/>
        <w:numPr>
          <w:ilvl w:val="0"/>
          <w:numId w:val="0"/>
        </w:numPr>
        <w:topLinePunct/>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根据县自然资源局缴费通知，园区管委会请示县人民政府同意，调整土地收储成本返还资金预算项目，用于缴纳失地农民社会保障金、耕地占用税、坝区耕地质量补偿费等。</w:t>
      </w:r>
    </w:p>
    <w:p w14:paraId="7D48F6D0">
      <w:pPr>
        <w:pStyle w:val="10"/>
        <w:numPr>
          <w:ilvl w:val="0"/>
          <w:numId w:val="0"/>
        </w:numPr>
        <w:topLinePunct/>
        <w:spacing w:line="240" w:lineRule="auto"/>
        <w:ind w:left="0" w:leftChars="0" w:firstLine="64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绩效评价工作开展情况</w:t>
      </w:r>
    </w:p>
    <w:p w14:paraId="5DC8C61D">
      <w:pPr>
        <w:numPr>
          <w:ilvl w:val="0"/>
          <w:numId w:val="0"/>
        </w:numPr>
        <w:spacing w:line="240" w:lineRule="auto"/>
        <w:ind w:left="0" w:leftChars="0"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园区绩效评价领导小组通过组织实施2025年度土地收储成本返还</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对2025年度土地收储成本返还专项资金的实际支付情况，预算执行率、企业满意率等进行综合评价</w:t>
      </w:r>
      <w:r>
        <w:rPr>
          <w:rFonts w:hint="eastAsia" w:ascii="楷体_GB2312" w:hAnsi="楷体_GB2312" w:eastAsia="楷体_GB2312" w:cs="楷体_GB2312"/>
          <w:sz w:val="32"/>
          <w:szCs w:val="32"/>
          <w:lang w:val="en-US" w:eastAsia="zh-CN"/>
        </w:rPr>
        <w:t>。</w:t>
      </w:r>
    </w:p>
    <w:p w14:paraId="40163E65">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w:t>
      </w:r>
    </w:p>
    <w:p w14:paraId="6B047454">
      <w:pPr>
        <w:topLinePunct/>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根据评价指标，云南富民产业园区自评分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分，自评为优秀等次。</w:t>
      </w:r>
    </w:p>
    <w:p w14:paraId="297AFD27">
      <w:pPr>
        <w:numPr>
          <w:ilvl w:val="0"/>
          <w:numId w:val="0"/>
        </w:numPr>
        <w:spacing w:line="600" w:lineRule="exact"/>
        <w:ind w:left="263" w:leftChars="125"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主要经验及做法</w:t>
      </w:r>
      <w:r>
        <w:rPr>
          <w:rFonts w:hint="eastAsia" w:ascii="黑体" w:hAnsi="黑体" w:eastAsia="黑体" w:cs="黑体"/>
          <w:sz w:val="32"/>
          <w:szCs w:val="32"/>
          <w:lang w:eastAsia="zh-CN"/>
        </w:rPr>
        <w:t>、</w:t>
      </w:r>
      <w:r>
        <w:rPr>
          <w:rFonts w:hint="eastAsia" w:ascii="黑体" w:hAnsi="黑体" w:eastAsia="黑体" w:cs="黑体"/>
          <w:sz w:val="32"/>
          <w:szCs w:val="32"/>
        </w:rPr>
        <w:t>存在的问题</w:t>
      </w:r>
      <w:r>
        <w:rPr>
          <w:rFonts w:hint="eastAsia" w:ascii="黑体" w:hAnsi="黑体" w:eastAsia="黑体" w:cs="黑体"/>
          <w:sz w:val="32"/>
          <w:szCs w:val="32"/>
          <w:lang w:eastAsia="zh-CN"/>
        </w:rPr>
        <w:t>和建议</w:t>
      </w:r>
    </w:p>
    <w:p w14:paraId="05BA65EA">
      <w:pPr>
        <w:topLinePunct/>
        <w:spacing w:line="560" w:lineRule="exact"/>
        <w:ind w:firstLine="800" w:firstLineChars="250"/>
        <w:rPr>
          <w:rFonts w:ascii="Times New Roman" w:hAnsi="Times New Roman" w:eastAsia="楷体_GB2312" w:cs="Times New Roman"/>
          <w:sz w:val="32"/>
          <w:szCs w:val="32"/>
        </w:rPr>
      </w:pPr>
      <w:r>
        <w:rPr>
          <w:rFonts w:ascii="Times New Roman" w:hAnsi="Times New Roman" w:eastAsia="楷体_GB2312" w:cs="Times New Roman"/>
          <w:sz w:val="32"/>
          <w:szCs w:val="32"/>
        </w:rPr>
        <w:t>（一）主要经验及做法</w:t>
      </w:r>
    </w:p>
    <w:p w14:paraId="10B343BB">
      <w:pPr>
        <w:topLinePunct/>
        <w:spacing w:line="560" w:lineRule="exact"/>
        <w:ind w:firstLine="800" w:firstLineChars="25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在县财政局资金支持下、在县自然资源局的业务指导下，园区规划建设局分期分批次组织完成云南迅美家居有限公司、云南绿展环保科技有限公司、昆明克林轻工机械有限责任公司、昆明强云新材料有限公司、云南海茂实业有限公司、富民云凯钢结构制造有限公司、昆明滇河酒业有限公司等</w:t>
      </w:r>
      <w:r>
        <w:rPr>
          <w:rFonts w:hint="eastAsia" w:ascii="Times New Roman" w:hAnsi="Times New Roman" w:eastAsia="仿宋_GB2312" w:cs="Times New Roman"/>
          <w:bCs/>
          <w:sz w:val="32"/>
          <w:szCs w:val="32"/>
          <w:lang w:val="en-US" w:eastAsia="zh-CN"/>
        </w:rPr>
        <w:t>7家企业的土地收储成本返还工作，返还土地收储成本2507165元；按时足额缴纳了2015年第一批次城外建设用地部分失地农民社会保障金4489645元。</w:t>
      </w:r>
      <w:bookmarkStart w:id="2" w:name="_GoBack"/>
      <w:bookmarkEnd w:id="2"/>
      <w:r>
        <w:rPr>
          <w:rFonts w:hint="eastAsia" w:ascii="Times New Roman" w:hAnsi="Times New Roman" w:eastAsia="仿宋_GB2312" w:cs="Times New Roman"/>
          <w:bCs/>
          <w:sz w:val="32"/>
          <w:szCs w:val="32"/>
          <w:lang w:val="en-US" w:eastAsia="zh-CN"/>
        </w:rPr>
        <w:t>顺利推进了园区建设用地的保障工作，加快了园区土地开发建设步伐。</w:t>
      </w:r>
    </w:p>
    <w:p w14:paraId="0648DB1F">
      <w:pPr>
        <w:topLinePunct/>
        <w:spacing w:line="560" w:lineRule="exact"/>
        <w:ind w:firstLine="800" w:firstLineChars="250"/>
        <w:rPr>
          <w:rFonts w:ascii="Times New Roman" w:hAnsi="Times New Roman" w:eastAsia="楷体_GB2312" w:cs="Times New Roman"/>
          <w:sz w:val="32"/>
          <w:szCs w:val="32"/>
        </w:rPr>
      </w:pPr>
      <w:r>
        <w:rPr>
          <w:rFonts w:ascii="Times New Roman" w:hAnsi="Times New Roman" w:eastAsia="楷体_GB2312" w:cs="Times New Roman"/>
          <w:sz w:val="32"/>
          <w:szCs w:val="32"/>
        </w:rPr>
        <w:t>（二）存在的问题</w:t>
      </w:r>
    </w:p>
    <w:p w14:paraId="3D955437">
      <w:pPr>
        <w:topLinePunct/>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年中多次调整预算项目资金，财政</w:t>
      </w:r>
      <w:r>
        <w:rPr>
          <w:rFonts w:ascii="Times New Roman" w:hAnsi="Times New Roman" w:eastAsia="仿宋_GB2312" w:cs="Times New Roman"/>
          <w:sz w:val="32"/>
          <w:szCs w:val="32"/>
        </w:rPr>
        <w:t>资金拨付进度延后，无法按照年初预算申请拨付土地收储成本专项资金。</w:t>
      </w:r>
    </w:p>
    <w:p w14:paraId="5B37BFE8">
      <w:pPr>
        <w:topLinePunct/>
        <w:spacing w:line="560" w:lineRule="exact"/>
        <w:ind w:firstLine="800" w:firstLineChars="250"/>
        <w:rPr>
          <w:rFonts w:ascii="Times New Roman" w:hAnsi="Times New Roman" w:eastAsia="楷体_GB2312" w:cs="Times New Roman"/>
          <w:sz w:val="32"/>
          <w:szCs w:val="32"/>
        </w:rPr>
      </w:pPr>
      <w:r>
        <w:rPr>
          <w:rFonts w:ascii="Times New Roman" w:hAnsi="Times New Roman" w:eastAsia="楷体_GB2312" w:cs="Times New Roman"/>
          <w:sz w:val="32"/>
          <w:szCs w:val="32"/>
        </w:rPr>
        <w:t>（三）改进措施</w:t>
      </w:r>
    </w:p>
    <w:p w14:paraId="18137716">
      <w:pPr>
        <w:topLinePunct/>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进一步加强预算编制的科学性和可执行性，科学有效地安排各项资金支出，不断提高本单位预算资金支出的经济性、可行性、有效性和可持续性。</w:t>
      </w:r>
    </w:p>
    <w:p w14:paraId="05A4F256">
      <w:pPr>
        <w:textAlignment w:val="center"/>
        <w:rPr>
          <w:rFonts w:hint="eastAsia" w:ascii="黑体" w:hAnsi="黑体" w:eastAsia="黑体" w:cs="黑体"/>
          <w:bCs/>
          <w:sz w:val="28"/>
          <w:szCs w:val="28"/>
        </w:rPr>
      </w:pPr>
    </w:p>
    <w:p w14:paraId="397017E9">
      <w:pPr>
        <w:textAlignment w:val="center"/>
        <w:rPr>
          <w:rFonts w:hint="eastAsia" w:ascii="黑体" w:hAnsi="黑体" w:eastAsia="黑体" w:cs="黑体"/>
          <w:bCs/>
          <w:sz w:val="28"/>
          <w:szCs w:val="28"/>
        </w:rPr>
      </w:pPr>
    </w:p>
    <w:p w14:paraId="03826A2A">
      <w:pPr>
        <w:textAlignment w:val="center"/>
        <w:rPr>
          <w:rFonts w:hint="eastAsia" w:ascii="黑体" w:hAnsi="黑体" w:eastAsia="黑体" w:cs="黑体"/>
          <w:bCs/>
          <w:sz w:val="28"/>
          <w:szCs w:val="28"/>
        </w:rPr>
      </w:pPr>
    </w:p>
    <w:p w14:paraId="2F2E9948">
      <w:pPr>
        <w:textAlignment w:val="center"/>
        <w:rPr>
          <w:rFonts w:hint="eastAsia" w:ascii="黑体" w:hAnsi="黑体" w:eastAsia="黑体" w:cs="黑体"/>
          <w:bCs/>
          <w:sz w:val="28"/>
          <w:szCs w:val="28"/>
        </w:rPr>
      </w:pPr>
    </w:p>
    <w:p w14:paraId="22CDDC35">
      <w:pPr>
        <w:textAlignment w:val="center"/>
        <w:rPr>
          <w:rFonts w:hint="eastAsia" w:ascii="黑体" w:hAnsi="黑体" w:eastAsia="黑体" w:cs="黑体"/>
          <w:bCs/>
          <w:sz w:val="28"/>
          <w:szCs w:val="28"/>
        </w:rPr>
      </w:pPr>
    </w:p>
    <w:p w14:paraId="6B520A5D">
      <w:pPr>
        <w:textAlignment w:val="center"/>
        <w:rPr>
          <w:rFonts w:hint="eastAsia" w:ascii="黑体" w:hAnsi="黑体" w:eastAsia="黑体" w:cs="黑体"/>
          <w:bCs/>
          <w:sz w:val="28"/>
          <w:szCs w:val="28"/>
        </w:rPr>
      </w:pPr>
    </w:p>
    <w:p w14:paraId="3AE33968">
      <w:pPr>
        <w:textAlignment w:val="center"/>
        <w:rPr>
          <w:rFonts w:hint="eastAsia" w:ascii="黑体" w:hAnsi="黑体" w:eastAsia="黑体" w:cs="黑体"/>
          <w:bCs/>
          <w:sz w:val="28"/>
          <w:szCs w:val="28"/>
        </w:rPr>
      </w:pPr>
    </w:p>
    <w:p w14:paraId="525BDEE0">
      <w:pPr>
        <w:textAlignment w:val="center"/>
        <w:rPr>
          <w:rFonts w:hint="eastAsia" w:ascii="黑体" w:hAnsi="黑体" w:eastAsia="黑体" w:cs="黑体"/>
          <w:bCs/>
          <w:sz w:val="28"/>
          <w:szCs w:val="28"/>
        </w:rPr>
      </w:pPr>
    </w:p>
    <w:p w14:paraId="34BF2888">
      <w:pPr>
        <w:textAlignment w:val="center"/>
        <w:rPr>
          <w:rFonts w:hint="eastAsia" w:ascii="黑体" w:hAnsi="黑体" w:eastAsia="黑体" w:cs="黑体"/>
          <w:bCs/>
          <w:sz w:val="28"/>
          <w:szCs w:val="28"/>
        </w:rPr>
      </w:pPr>
    </w:p>
    <w:p w14:paraId="313496BB">
      <w:pPr>
        <w:textAlignment w:val="center"/>
        <w:rPr>
          <w:rFonts w:hint="eastAsia" w:ascii="黑体" w:hAnsi="黑体" w:eastAsia="黑体" w:cs="黑体"/>
          <w:bCs/>
          <w:sz w:val="28"/>
          <w:szCs w:val="28"/>
        </w:rPr>
      </w:pPr>
    </w:p>
    <w:p w14:paraId="28AE270C">
      <w:pPr>
        <w:pStyle w:val="3"/>
        <w:widowControl w:val="0"/>
        <w:overflowPunct/>
        <w:autoSpaceDE/>
        <w:autoSpaceDN/>
        <w:adjustRightInd/>
        <w:spacing w:before="120" w:after="120" w:line="415" w:lineRule="auto"/>
        <w:jc w:val="center"/>
        <w:rPr>
          <w:rFonts w:hint="eastAsia" w:ascii="方正大标宋简体" w:hAnsi="方正大标宋简体" w:eastAsia="方正大标宋简体" w:cs="方正大标宋简体"/>
          <w:b w:val="0"/>
          <w:bCs w:val="0"/>
          <w:kern w:val="2"/>
        </w:rPr>
      </w:pPr>
      <w:bookmarkStart w:id="0" w:name="_Toc72920232"/>
      <w:bookmarkStart w:id="1" w:name="_Toc72920347"/>
      <w:r>
        <w:rPr>
          <w:rFonts w:hint="eastAsia" w:ascii="方正大标宋简体" w:hAnsi="方正大标宋简体" w:eastAsia="方正大标宋简体" w:cs="方正大标宋简体"/>
          <w:b w:val="0"/>
          <w:bCs w:val="0"/>
          <w:spacing w:val="-20"/>
          <w:lang w:eastAsia="zh-CN"/>
        </w:rPr>
        <w:t>云南富民产业园区管理委员会</w:t>
      </w:r>
      <w:r>
        <w:rPr>
          <w:rFonts w:hint="eastAsia" w:ascii="方正大标宋简体" w:hAnsi="方正大标宋简体" w:eastAsia="方正大标宋简体" w:cs="方正大标宋简体"/>
          <w:b w:val="0"/>
          <w:bCs w:val="0"/>
          <w:lang w:eastAsia="zh-CN"/>
        </w:rPr>
        <w:t>202</w:t>
      </w:r>
      <w:r>
        <w:rPr>
          <w:rFonts w:hint="eastAsia" w:ascii="方正大标宋简体" w:hAnsi="方正大标宋简体" w:eastAsia="方正大标宋简体" w:cs="方正大标宋简体"/>
          <w:b w:val="0"/>
          <w:bCs w:val="0"/>
          <w:lang w:val="en-US" w:eastAsia="zh-CN"/>
        </w:rPr>
        <w:t>5</w:t>
      </w:r>
      <w:r>
        <w:rPr>
          <w:rFonts w:hint="eastAsia" w:ascii="方正大标宋简体" w:hAnsi="方正大标宋简体" w:eastAsia="方正大标宋简体" w:cs="方正大标宋简体"/>
          <w:b w:val="0"/>
          <w:bCs w:val="0"/>
        </w:rPr>
        <w:t>年度</w:t>
      </w:r>
      <w:r>
        <w:rPr>
          <w:rFonts w:hint="eastAsia" w:ascii="方正大标宋简体" w:hAnsi="方正大标宋简体" w:eastAsia="方正大标宋简体" w:cs="方正大标宋简体"/>
          <w:b w:val="0"/>
          <w:bCs w:val="0"/>
          <w:kern w:val="2"/>
          <w:lang w:eastAsia="zh-CN"/>
        </w:rPr>
        <w:t>土地收储成本返还专项资金</w:t>
      </w:r>
      <w:r>
        <w:rPr>
          <w:rFonts w:hint="eastAsia" w:ascii="方正大标宋简体" w:hAnsi="方正大标宋简体" w:eastAsia="方正大标宋简体" w:cs="方正大标宋简体"/>
          <w:b w:val="0"/>
          <w:bCs w:val="0"/>
          <w:kern w:val="2"/>
        </w:rPr>
        <w:t>绩效评价指标体系及打分表</w:t>
      </w:r>
      <w:bookmarkEnd w:id="0"/>
      <w:bookmarkEnd w:id="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567"/>
        <w:gridCol w:w="892"/>
        <w:gridCol w:w="441"/>
        <w:gridCol w:w="1138"/>
        <w:gridCol w:w="1305"/>
        <w:gridCol w:w="894"/>
        <w:gridCol w:w="441"/>
        <w:gridCol w:w="423"/>
        <w:gridCol w:w="1875"/>
      </w:tblGrid>
      <w:tr w14:paraId="005F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324" w:type="pct"/>
            <w:shd w:val="clear" w:color="auto" w:fill="auto"/>
            <w:vAlign w:val="center"/>
          </w:tcPr>
          <w:p w14:paraId="3F0316CE">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一级指标</w:t>
            </w:r>
          </w:p>
        </w:tc>
        <w:tc>
          <w:tcPr>
            <w:tcW w:w="336" w:type="pct"/>
            <w:shd w:val="clear" w:color="auto" w:fill="auto"/>
            <w:vAlign w:val="center"/>
          </w:tcPr>
          <w:p w14:paraId="1A765CAA">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二级指标</w:t>
            </w:r>
          </w:p>
        </w:tc>
        <w:tc>
          <w:tcPr>
            <w:tcW w:w="527" w:type="pct"/>
            <w:shd w:val="clear" w:color="auto" w:fill="auto"/>
            <w:vAlign w:val="center"/>
          </w:tcPr>
          <w:p w14:paraId="1E6DB400">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三级指标</w:t>
            </w:r>
          </w:p>
        </w:tc>
        <w:tc>
          <w:tcPr>
            <w:tcW w:w="240" w:type="pct"/>
            <w:shd w:val="clear" w:color="auto" w:fill="auto"/>
            <w:vAlign w:val="center"/>
          </w:tcPr>
          <w:p w14:paraId="4D1A8A6B">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分值</w:t>
            </w:r>
          </w:p>
        </w:tc>
        <w:tc>
          <w:tcPr>
            <w:tcW w:w="671" w:type="pct"/>
            <w:shd w:val="clear" w:color="auto" w:fill="auto"/>
            <w:vAlign w:val="center"/>
          </w:tcPr>
          <w:p w14:paraId="650C91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指标解释</w:t>
            </w:r>
          </w:p>
        </w:tc>
        <w:tc>
          <w:tcPr>
            <w:tcW w:w="769" w:type="pct"/>
            <w:shd w:val="clear" w:color="auto" w:fill="auto"/>
            <w:vAlign w:val="center"/>
          </w:tcPr>
          <w:p w14:paraId="661268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指标评分细则</w:t>
            </w:r>
          </w:p>
        </w:tc>
        <w:tc>
          <w:tcPr>
            <w:tcW w:w="528" w:type="pct"/>
            <w:shd w:val="clear" w:color="auto" w:fill="auto"/>
            <w:vAlign w:val="center"/>
          </w:tcPr>
          <w:p w14:paraId="047BA7C9">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数据来源</w:t>
            </w:r>
          </w:p>
        </w:tc>
        <w:tc>
          <w:tcPr>
            <w:tcW w:w="251" w:type="pct"/>
            <w:shd w:val="clear" w:color="auto" w:fill="auto"/>
            <w:vAlign w:val="center"/>
          </w:tcPr>
          <w:p w14:paraId="2C112463">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评价得分</w:t>
            </w:r>
          </w:p>
        </w:tc>
        <w:tc>
          <w:tcPr>
            <w:tcW w:w="251" w:type="pct"/>
            <w:shd w:val="clear" w:color="auto" w:fill="auto"/>
            <w:vAlign w:val="center"/>
          </w:tcPr>
          <w:p w14:paraId="20213AF8">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扣分情况</w:t>
            </w:r>
          </w:p>
        </w:tc>
        <w:tc>
          <w:tcPr>
            <w:tcW w:w="1103" w:type="pct"/>
            <w:shd w:val="clear" w:color="auto" w:fill="auto"/>
            <w:vAlign w:val="center"/>
          </w:tcPr>
          <w:p w14:paraId="325C38DE">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扣分原因</w:t>
            </w:r>
          </w:p>
        </w:tc>
      </w:tr>
      <w:tr w14:paraId="20C7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restart"/>
            <w:shd w:val="clear" w:color="auto" w:fill="auto"/>
            <w:vAlign w:val="center"/>
          </w:tcPr>
          <w:p w14:paraId="267B6D3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一、部门决策（</w:t>
            </w:r>
            <w:r>
              <w:rPr>
                <w:rFonts w:ascii="Times New Roman" w:hAnsi="Times New Roman" w:eastAsia="宋体" w:cs="Times New Roman"/>
                <w:sz w:val="15"/>
                <w:szCs w:val="15"/>
              </w:rPr>
              <w:t>35</w:t>
            </w:r>
            <w:r>
              <w:rPr>
                <w:rFonts w:ascii="Times New Roman" w:hAnsi="宋体" w:eastAsia="宋体" w:cs="Times New Roman"/>
                <w:sz w:val="15"/>
                <w:szCs w:val="15"/>
              </w:rPr>
              <w:t>分）</w:t>
            </w:r>
          </w:p>
        </w:tc>
        <w:tc>
          <w:tcPr>
            <w:tcW w:w="336" w:type="pct"/>
            <w:vMerge w:val="restart"/>
            <w:shd w:val="clear" w:color="auto" w:fill="auto"/>
            <w:vAlign w:val="center"/>
          </w:tcPr>
          <w:p w14:paraId="46E9DBC0">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部门目标（</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527" w:type="pct"/>
            <w:shd w:val="clear" w:color="auto" w:fill="auto"/>
            <w:vAlign w:val="center"/>
          </w:tcPr>
          <w:p w14:paraId="1BECC377">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年度工作目标的明确性与合理性（</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6A699858">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1075CFA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部门年度工作目标的设定是否明确合理</w:t>
            </w:r>
          </w:p>
        </w:tc>
        <w:tc>
          <w:tcPr>
            <w:tcW w:w="769" w:type="pct"/>
            <w:shd w:val="clear" w:color="auto" w:fill="auto"/>
            <w:vAlign w:val="center"/>
          </w:tcPr>
          <w:p w14:paraId="6115F76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①部门年度工作目标是否明确设定，得</w:t>
            </w:r>
            <w:r>
              <w:rPr>
                <w:rFonts w:ascii="Times New Roman" w:hAnsi="Times New Roman" w:eastAsia="宋体" w:cs="Times New Roman"/>
                <w:sz w:val="15"/>
                <w:szCs w:val="15"/>
              </w:rPr>
              <w:t>3</w:t>
            </w:r>
            <w:r>
              <w:rPr>
                <w:rFonts w:ascii="Times New Roman" w:hAnsi="宋体" w:eastAsia="宋体" w:cs="Times New Roman"/>
                <w:sz w:val="15"/>
                <w:szCs w:val="15"/>
              </w:rPr>
              <w:t>分；②年度工作目标与部门中长期规划目标一致，得</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216FC87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年度工作目标与部门中长期规划文件</w:t>
            </w:r>
          </w:p>
        </w:tc>
        <w:tc>
          <w:tcPr>
            <w:tcW w:w="251" w:type="pct"/>
            <w:shd w:val="clear" w:color="auto" w:fill="auto"/>
            <w:vAlign w:val="center"/>
          </w:tcPr>
          <w:p w14:paraId="21801B6C">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B6DA20E">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212E2B2">
            <w:pPr>
              <w:overflowPunct/>
              <w:autoSpaceDE/>
              <w:autoSpaceDN/>
              <w:adjustRightInd/>
              <w:jc w:val="left"/>
              <w:rPr>
                <w:rFonts w:ascii="Times New Roman" w:hAnsi="Times New Roman" w:eastAsia="宋体" w:cs="Times New Roman"/>
                <w:sz w:val="15"/>
                <w:szCs w:val="15"/>
              </w:rPr>
            </w:pPr>
          </w:p>
        </w:tc>
      </w:tr>
      <w:tr w14:paraId="735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3DE90267">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8BAF9D7">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B4A1455">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绩效目标合理性（</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598410C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54AE290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用以反映和考核部门整体绩效目标与部门职能、年度工作目标的一致性。</w:t>
            </w:r>
          </w:p>
        </w:tc>
        <w:tc>
          <w:tcPr>
            <w:tcW w:w="769" w:type="pct"/>
            <w:shd w:val="clear" w:color="auto" w:fill="auto"/>
            <w:vAlign w:val="center"/>
          </w:tcPr>
          <w:p w14:paraId="3E785F2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①符合部门制定的中长期实施规划计</w:t>
            </w:r>
            <w:r>
              <w:rPr>
                <w:rFonts w:ascii="Times New Roman" w:hAnsi="Times New Roman" w:eastAsia="宋体" w:cs="Times New Roman"/>
                <w:sz w:val="15"/>
                <w:szCs w:val="15"/>
              </w:rPr>
              <w:t>2</w:t>
            </w:r>
            <w:r>
              <w:rPr>
                <w:rFonts w:ascii="Times New Roman" w:hAnsi="宋体" w:eastAsia="宋体" w:cs="Times New Roman"/>
                <w:sz w:val="15"/>
                <w:szCs w:val="15"/>
              </w:rPr>
              <w:t>分；②符合部门</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方案确定的职责计</w:t>
            </w:r>
            <w:r>
              <w:rPr>
                <w:rFonts w:ascii="Times New Roman" w:hAnsi="Times New Roman" w:eastAsia="宋体" w:cs="Times New Roman"/>
                <w:sz w:val="15"/>
                <w:szCs w:val="15"/>
              </w:rPr>
              <w:t>2</w:t>
            </w:r>
            <w:r>
              <w:rPr>
                <w:rFonts w:ascii="Times New Roman" w:hAnsi="宋体" w:eastAsia="宋体" w:cs="Times New Roman"/>
                <w:sz w:val="15"/>
                <w:szCs w:val="15"/>
              </w:rPr>
              <w:t>分；③与部门年度工作目标、任务相一致计</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5904BCCA">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部门中长期规划、部门</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方案、年度重点工作任务与工作计划</w:t>
            </w:r>
          </w:p>
        </w:tc>
        <w:tc>
          <w:tcPr>
            <w:tcW w:w="251" w:type="pct"/>
            <w:shd w:val="clear" w:color="auto" w:fill="auto"/>
            <w:vAlign w:val="center"/>
          </w:tcPr>
          <w:p w14:paraId="4DC8194A">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684AF9B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8C2D733">
            <w:pPr>
              <w:overflowPunct/>
              <w:autoSpaceDE/>
              <w:autoSpaceDN/>
              <w:adjustRightInd/>
              <w:jc w:val="left"/>
              <w:rPr>
                <w:rFonts w:ascii="Times New Roman" w:hAnsi="Times New Roman" w:eastAsia="宋体" w:cs="Times New Roman"/>
                <w:sz w:val="15"/>
                <w:szCs w:val="15"/>
              </w:rPr>
            </w:pPr>
          </w:p>
        </w:tc>
      </w:tr>
      <w:tr w14:paraId="3A3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24" w:type="pct"/>
            <w:vMerge w:val="continue"/>
            <w:vAlign w:val="center"/>
          </w:tcPr>
          <w:p w14:paraId="3E51A54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159F045F">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975CE74">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绩效指标明确性（</w:t>
            </w:r>
            <w:r>
              <w:rPr>
                <w:rFonts w:ascii="Times New Roman" w:hAnsi="Times New Roman" w:eastAsia="宋体" w:cs="Times New Roman"/>
                <w:sz w:val="15"/>
                <w:szCs w:val="15"/>
              </w:rPr>
              <w:t>8</w:t>
            </w:r>
            <w:r>
              <w:rPr>
                <w:rFonts w:ascii="Times New Roman" w:hAnsi="宋体" w:eastAsia="宋体" w:cs="Times New Roman"/>
                <w:sz w:val="15"/>
                <w:szCs w:val="15"/>
              </w:rPr>
              <w:t>分）</w:t>
            </w:r>
          </w:p>
        </w:tc>
        <w:tc>
          <w:tcPr>
            <w:tcW w:w="240" w:type="pct"/>
            <w:shd w:val="clear" w:color="auto" w:fill="auto"/>
            <w:vAlign w:val="center"/>
          </w:tcPr>
          <w:p w14:paraId="7972183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671" w:type="pct"/>
            <w:shd w:val="clear" w:color="auto" w:fill="auto"/>
            <w:vAlign w:val="center"/>
          </w:tcPr>
          <w:p w14:paraId="5D025D45">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整体绩效目标所设定的绩效指标是否依据部门工作目标和工作任务进行细化、量化，绩效指标是否可衡量。</w:t>
            </w:r>
          </w:p>
        </w:tc>
        <w:tc>
          <w:tcPr>
            <w:tcW w:w="769" w:type="pct"/>
            <w:shd w:val="clear" w:color="auto" w:fill="auto"/>
            <w:vAlign w:val="center"/>
          </w:tcPr>
          <w:p w14:paraId="195137F9">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①将部门整体的绩效目标细化分解为具体的工作任务计</w:t>
            </w:r>
            <w:r>
              <w:rPr>
                <w:rFonts w:ascii="Times New Roman" w:hAnsi="Times New Roman" w:eastAsia="宋体" w:cs="Times New Roman"/>
                <w:sz w:val="15"/>
                <w:szCs w:val="15"/>
              </w:rPr>
              <w:t>2</w:t>
            </w:r>
            <w:r>
              <w:rPr>
                <w:rFonts w:ascii="Times New Roman" w:hAnsi="宋体" w:eastAsia="宋体" w:cs="Times New Roman"/>
                <w:sz w:val="15"/>
                <w:szCs w:val="15"/>
              </w:rPr>
              <w:t>分；②通过清晰、可衡量的指标值予以体现计</w:t>
            </w:r>
            <w:r>
              <w:rPr>
                <w:rFonts w:ascii="Times New Roman" w:hAnsi="Times New Roman" w:eastAsia="宋体" w:cs="Times New Roman"/>
                <w:sz w:val="15"/>
                <w:szCs w:val="15"/>
              </w:rPr>
              <w:t>2</w:t>
            </w:r>
            <w:r>
              <w:rPr>
                <w:rFonts w:ascii="Times New Roman" w:hAnsi="宋体" w:eastAsia="宋体" w:cs="Times New Roman"/>
                <w:sz w:val="15"/>
                <w:szCs w:val="15"/>
              </w:rPr>
              <w:t>分。③与部门年度的任务数或计划数相对应计</w:t>
            </w:r>
            <w:r>
              <w:rPr>
                <w:rFonts w:ascii="Times New Roman" w:hAnsi="Times New Roman" w:eastAsia="宋体" w:cs="Times New Roman"/>
                <w:sz w:val="15"/>
                <w:szCs w:val="15"/>
              </w:rPr>
              <w:t>2</w:t>
            </w:r>
            <w:r>
              <w:rPr>
                <w:rFonts w:ascii="Times New Roman" w:hAnsi="宋体" w:eastAsia="宋体" w:cs="Times New Roman"/>
                <w:sz w:val="15"/>
                <w:szCs w:val="15"/>
              </w:rPr>
              <w:t>分；④与本年度部门预算资金相匹配计</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1429CBC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部门年度重点工作任务与工作计划。</w:t>
            </w:r>
          </w:p>
        </w:tc>
        <w:tc>
          <w:tcPr>
            <w:tcW w:w="251" w:type="pct"/>
            <w:shd w:val="clear" w:color="auto" w:fill="auto"/>
            <w:vAlign w:val="center"/>
          </w:tcPr>
          <w:p w14:paraId="0F099948">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8</w:t>
            </w:r>
          </w:p>
        </w:tc>
        <w:tc>
          <w:tcPr>
            <w:tcW w:w="251" w:type="pct"/>
            <w:shd w:val="clear" w:color="auto" w:fill="auto"/>
            <w:vAlign w:val="center"/>
          </w:tcPr>
          <w:p w14:paraId="76362E6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A66483A">
            <w:pPr>
              <w:overflowPunct/>
              <w:autoSpaceDE/>
              <w:autoSpaceDN/>
              <w:adjustRightInd/>
              <w:jc w:val="left"/>
              <w:rPr>
                <w:rFonts w:ascii="Times New Roman" w:hAnsi="Times New Roman" w:eastAsia="宋体" w:cs="Times New Roman"/>
                <w:sz w:val="15"/>
                <w:szCs w:val="15"/>
              </w:rPr>
            </w:pPr>
          </w:p>
        </w:tc>
      </w:tr>
      <w:tr w14:paraId="6544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331CFD24">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69898F1F">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部门职能（</w:t>
            </w:r>
            <w:r>
              <w:rPr>
                <w:rFonts w:ascii="Times New Roman" w:hAnsi="Times New Roman" w:eastAsia="宋体" w:cs="Times New Roman"/>
                <w:sz w:val="15"/>
                <w:szCs w:val="15"/>
              </w:rPr>
              <w:t>15</w:t>
            </w:r>
            <w:r>
              <w:rPr>
                <w:rFonts w:ascii="Times New Roman" w:hAnsi="宋体" w:eastAsia="宋体" w:cs="Times New Roman"/>
                <w:sz w:val="15"/>
                <w:szCs w:val="15"/>
              </w:rPr>
              <w:t>分）</w:t>
            </w:r>
          </w:p>
        </w:tc>
        <w:tc>
          <w:tcPr>
            <w:tcW w:w="527" w:type="pct"/>
            <w:shd w:val="clear" w:color="auto" w:fill="auto"/>
            <w:vAlign w:val="center"/>
          </w:tcPr>
          <w:p w14:paraId="442F040E">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部门职能的明确性与科学性（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0F4BB4B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0E128B9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考察部门职能界定是否明确、科学，是否有相关文件。</w:t>
            </w:r>
          </w:p>
        </w:tc>
        <w:tc>
          <w:tcPr>
            <w:tcW w:w="769" w:type="pct"/>
            <w:shd w:val="clear" w:color="auto" w:fill="auto"/>
            <w:vAlign w:val="center"/>
          </w:tcPr>
          <w:p w14:paraId="1ADFA89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①职能明确、设定依据充分，得</w:t>
            </w:r>
            <w:r>
              <w:rPr>
                <w:rFonts w:ascii="Times New Roman" w:hAnsi="Times New Roman" w:eastAsia="宋体" w:cs="Times New Roman"/>
                <w:sz w:val="15"/>
                <w:szCs w:val="15"/>
              </w:rPr>
              <w:t>5</w:t>
            </w:r>
            <w:r>
              <w:rPr>
                <w:rFonts w:ascii="Times New Roman" w:hAnsi="宋体" w:eastAsia="宋体" w:cs="Times New Roman"/>
                <w:sz w:val="15"/>
                <w:szCs w:val="15"/>
              </w:rPr>
              <w:t>分；②有</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文件，但职能描述不明确，扣</w:t>
            </w:r>
            <w:r>
              <w:rPr>
                <w:rFonts w:ascii="Times New Roman" w:hAnsi="Times New Roman" w:eastAsia="宋体" w:cs="Times New Roman"/>
                <w:sz w:val="15"/>
                <w:szCs w:val="15"/>
              </w:rPr>
              <w:t>2</w:t>
            </w:r>
            <w:r>
              <w:rPr>
                <w:rFonts w:ascii="Times New Roman" w:hAnsi="宋体" w:eastAsia="宋体" w:cs="Times New Roman"/>
                <w:sz w:val="15"/>
                <w:szCs w:val="15"/>
              </w:rPr>
              <w:t>分</w:t>
            </w:r>
            <w:r>
              <w:rPr>
                <w:rFonts w:ascii="Times New Roman" w:hAnsi="Times New Roman" w:eastAsia="宋体" w:cs="Times New Roman"/>
                <w:sz w:val="15"/>
                <w:szCs w:val="15"/>
              </w:rPr>
              <w:t>;</w:t>
            </w:r>
            <w:r>
              <w:rPr>
                <w:rFonts w:ascii="Times New Roman" w:hAnsi="宋体" w:eastAsia="宋体" w:cs="Times New Roman"/>
                <w:sz w:val="15"/>
                <w:szCs w:val="15"/>
              </w:rPr>
              <w:t>③没有职能设定的文件依据且职能不清，扣</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4AAC63F2">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部门职能描述、</w:t>
            </w:r>
            <w:r>
              <w:rPr>
                <w:rFonts w:ascii="Times New Roman" w:hAnsi="Times New Roman" w:eastAsia="宋体" w:cs="Times New Roman"/>
                <w:sz w:val="15"/>
                <w:szCs w:val="15"/>
              </w:rPr>
              <w:t>“</w:t>
            </w:r>
            <w:r>
              <w:rPr>
                <w:rFonts w:ascii="Times New Roman" w:hAnsi="宋体" w:eastAsia="宋体" w:cs="Times New Roman"/>
                <w:sz w:val="15"/>
                <w:szCs w:val="15"/>
              </w:rPr>
              <w:t>三定</w:t>
            </w:r>
            <w:r>
              <w:rPr>
                <w:rFonts w:ascii="Times New Roman" w:hAnsi="Times New Roman" w:eastAsia="宋体" w:cs="Times New Roman"/>
                <w:sz w:val="15"/>
                <w:szCs w:val="15"/>
              </w:rPr>
              <w:t>”</w:t>
            </w:r>
            <w:r>
              <w:rPr>
                <w:rFonts w:ascii="Times New Roman" w:hAnsi="宋体" w:eastAsia="宋体" w:cs="Times New Roman"/>
                <w:sz w:val="15"/>
                <w:szCs w:val="15"/>
              </w:rPr>
              <w:t>文件</w:t>
            </w:r>
          </w:p>
        </w:tc>
        <w:tc>
          <w:tcPr>
            <w:tcW w:w="251" w:type="pct"/>
            <w:shd w:val="clear" w:color="auto" w:fill="auto"/>
            <w:vAlign w:val="center"/>
          </w:tcPr>
          <w:p w14:paraId="72B322C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4C2E36A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3965BD2">
            <w:pPr>
              <w:overflowPunct/>
              <w:autoSpaceDE/>
              <w:autoSpaceDN/>
              <w:adjustRightInd/>
              <w:jc w:val="left"/>
              <w:rPr>
                <w:rFonts w:ascii="Times New Roman" w:hAnsi="Times New Roman" w:eastAsia="宋体" w:cs="Times New Roman"/>
                <w:sz w:val="15"/>
                <w:szCs w:val="15"/>
              </w:rPr>
            </w:pPr>
          </w:p>
        </w:tc>
      </w:tr>
      <w:tr w14:paraId="15EE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4" w:type="pct"/>
            <w:vMerge w:val="continue"/>
            <w:vAlign w:val="center"/>
          </w:tcPr>
          <w:p w14:paraId="7A168D9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5987003">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4A2E4B6A">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年度具体工作与部门职能的匹配性（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175247A6">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7660A309">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部门年度各类具体工作是否与部门职能相匹配。</w:t>
            </w:r>
          </w:p>
        </w:tc>
        <w:tc>
          <w:tcPr>
            <w:tcW w:w="769" w:type="pct"/>
            <w:shd w:val="clear" w:color="auto" w:fill="auto"/>
            <w:vAlign w:val="center"/>
          </w:tcPr>
          <w:p w14:paraId="1458302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将部门年度具体工作与部门职能对应匹配，视匹配情况酌情得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49A7848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部门年度各项具体工作，部门职能</w:t>
            </w:r>
          </w:p>
        </w:tc>
        <w:tc>
          <w:tcPr>
            <w:tcW w:w="251" w:type="pct"/>
            <w:shd w:val="clear" w:color="auto" w:fill="auto"/>
            <w:vAlign w:val="center"/>
          </w:tcPr>
          <w:p w14:paraId="0B2403FC">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557458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03EB30C">
            <w:pPr>
              <w:overflowPunct/>
              <w:autoSpaceDE/>
              <w:autoSpaceDN/>
              <w:adjustRightInd/>
              <w:jc w:val="left"/>
              <w:rPr>
                <w:rFonts w:ascii="Times New Roman" w:hAnsi="Times New Roman" w:eastAsia="宋体" w:cs="Times New Roman"/>
                <w:sz w:val="15"/>
                <w:szCs w:val="15"/>
              </w:rPr>
            </w:pPr>
          </w:p>
        </w:tc>
      </w:tr>
      <w:tr w14:paraId="5CFE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73D41A6A">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2DC9829">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786119B2">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部门内设科室及下属单位职责的明确性（</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3EF1BA4A">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671" w:type="pct"/>
            <w:shd w:val="clear" w:color="auto" w:fill="auto"/>
            <w:vAlign w:val="center"/>
          </w:tcPr>
          <w:p w14:paraId="3A749978">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部门内设科室及下属单位具体职责是否明确</w:t>
            </w:r>
          </w:p>
        </w:tc>
        <w:tc>
          <w:tcPr>
            <w:tcW w:w="769" w:type="pct"/>
            <w:shd w:val="clear" w:color="auto" w:fill="auto"/>
            <w:vAlign w:val="center"/>
          </w:tcPr>
          <w:p w14:paraId="3A0F5A5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①有职责文件制度规定部门各科室及下属单位具体职责，得</w:t>
            </w:r>
            <w:r>
              <w:rPr>
                <w:rFonts w:ascii="Times New Roman" w:hAnsi="Times New Roman" w:eastAsia="宋体" w:cs="Times New Roman"/>
                <w:sz w:val="15"/>
                <w:szCs w:val="15"/>
              </w:rPr>
              <w:t>3</w:t>
            </w:r>
            <w:r>
              <w:rPr>
                <w:rFonts w:ascii="Times New Roman" w:hAnsi="宋体" w:eastAsia="宋体" w:cs="Times New Roman"/>
                <w:sz w:val="15"/>
                <w:szCs w:val="15"/>
              </w:rPr>
              <w:t>分；②具体职责明确，得</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1C562837">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内设科室及下属单位职责文件</w:t>
            </w:r>
          </w:p>
        </w:tc>
        <w:tc>
          <w:tcPr>
            <w:tcW w:w="251" w:type="pct"/>
            <w:shd w:val="clear" w:color="auto" w:fill="auto"/>
            <w:vAlign w:val="center"/>
          </w:tcPr>
          <w:p w14:paraId="566DAC43">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274D5558">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74ADFED8">
            <w:pPr>
              <w:overflowPunct/>
              <w:autoSpaceDE/>
              <w:autoSpaceDN/>
              <w:adjustRightInd/>
              <w:jc w:val="left"/>
              <w:rPr>
                <w:rFonts w:ascii="Times New Roman" w:hAnsi="Times New Roman" w:eastAsia="宋体" w:cs="Times New Roman"/>
                <w:sz w:val="15"/>
                <w:szCs w:val="15"/>
              </w:rPr>
            </w:pPr>
          </w:p>
        </w:tc>
      </w:tr>
      <w:tr w14:paraId="6902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14:paraId="63AA2B23">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二、部门管理（</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336" w:type="pct"/>
            <w:vMerge w:val="restart"/>
            <w:shd w:val="clear" w:color="auto" w:fill="auto"/>
            <w:vAlign w:val="center"/>
          </w:tcPr>
          <w:p w14:paraId="5E81DEB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预算管理（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703C6997">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基本支出预算执行率（</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1DE4A4B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4671673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部门基本支出本年度决算数与预算数的比率，用以反映和考核部门（单位）基本支出预算执行程度。</w:t>
            </w:r>
          </w:p>
        </w:tc>
        <w:tc>
          <w:tcPr>
            <w:tcW w:w="769" w:type="pct"/>
            <w:shd w:val="clear" w:color="auto" w:fill="auto"/>
            <w:vAlign w:val="center"/>
          </w:tcPr>
          <w:p w14:paraId="0BDAE9DA">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预算执行率</w:t>
            </w:r>
            <w:r>
              <w:rPr>
                <w:rFonts w:ascii="Times New Roman" w:hAnsi="Times New Roman" w:eastAsia="宋体" w:cs="Times New Roman"/>
                <w:sz w:val="15"/>
                <w:szCs w:val="15"/>
              </w:rPr>
              <w:t>=</w:t>
            </w:r>
            <w:r>
              <w:rPr>
                <w:rFonts w:ascii="Times New Roman" w:hAnsi="宋体" w:eastAsia="宋体" w:cs="Times New Roman"/>
                <w:sz w:val="15"/>
                <w:szCs w:val="15"/>
              </w:rPr>
              <w:t>部门基本支出决算</w:t>
            </w:r>
            <w:r>
              <w:rPr>
                <w:rFonts w:ascii="Times New Roman" w:hAnsi="Times New Roman" w:eastAsia="宋体" w:cs="Times New Roman"/>
                <w:sz w:val="15"/>
                <w:szCs w:val="15"/>
              </w:rPr>
              <w:t>/</w:t>
            </w:r>
            <w:r>
              <w:rPr>
                <w:rFonts w:ascii="Times New Roman" w:hAnsi="宋体" w:eastAsia="宋体" w:cs="Times New Roman"/>
                <w:sz w:val="15"/>
                <w:szCs w:val="15"/>
              </w:rPr>
              <w:t>部门基本支出预算</w:t>
            </w:r>
            <w:r>
              <w:rPr>
                <w:rFonts w:ascii="Times New Roman" w:hAnsi="Times New Roman" w:eastAsia="宋体" w:cs="Times New Roman"/>
                <w:sz w:val="15"/>
                <w:szCs w:val="15"/>
              </w:rPr>
              <w:t>×100%</w:t>
            </w:r>
            <w:r>
              <w:rPr>
                <w:rFonts w:ascii="Times New Roman" w:hAnsi="宋体" w:eastAsia="宋体" w:cs="Times New Roman"/>
                <w:sz w:val="15"/>
                <w:szCs w:val="15"/>
              </w:rPr>
              <w:t>。预算执行率</w:t>
            </w:r>
            <w:r>
              <w:rPr>
                <w:rFonts w:ascii="Times New Roman" w:hAnsi="Times New Roman" w:eastAsia="宋体" w:cs="Times New Roman"/>
                <w:sz w:val="15"/>
                <w:szCs w:val="15"/>
              </w:rPr>
              <w:t>≥95%</w:t>
            </w:r>
            <w:r>
              <w:rPr>
                <w:rFonts w:ascii="Times New Roman" w:hAnsi="宋体" w:eastAsia="宋体" w:cs="Times New Roman"/>
                <w:sz w:val="15"/>
                <w:szCs w:val="15"/>
              </w:rPr>
              <w:t>得满分，未达到的按权重进行扣分。</w:t>
            </w:r>
          </w:p>
        </w:tc>
        <w:tc>
          <w:tcPr>
            <w:tcW w:w="528" w:type="pct"/>
            <w:shd w:val="clear" w:color="auto" w:fill="auto"/>
            <w:vAlign w:val="center"/>
          </w:tcPr>
          <w:p w14:paraId="4A80AE0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基本支出预算批复，预算调整批复、预算编制等其他资料</w:t>
            </w:r>
          </w:p>
        </w:tc>
        <w:tc>
          <w:tcPr>
            <w:tcW w:w="251" w:type="pct"/>
            <w:shd w:val="clear" w:color="auto" w:fill="auto"/>
            <w:vAlign w:val="center"/>
          </w:tcPr>
          <w:p w14:paraId="4EC0063F">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566DAEE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2C052C5">
            <w:pPr>
              <w:overflowPunct/>
              <w:autoSpaceDE/>
              <w:autoSpaceDN/>
              <w:adjustRightInd/>
              <w:jc w:val="left"/>
              <w:rPr>
                <w:rFonts w:ascii="Times New Roman" w:hAnsi="Times New Roman" w:eastAsia="宋体" w:cs="Times New Roman"/>
                <w:sz w:val="15"/>
                <w:szCs w:val="15"/>
              </w:rPr>
            </w:pPr>
          </w:p>
        </w:tc>
      </w:tr>
      <w:tr w14:paraId="32E4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3F8392DE">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D4EE619">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14559EE3">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项目支出预算执行率（</w:t>
            </w:r>
            <w:r>
              <w:rPr>
                <w:rFonts w:ascii="Times New Roman" w:hAnsi="Times New Roman" w:eastAsia="宋体" w:cs="Times New Roman"/>
                <w:sz w:val="15"/>
                <w:szCs w:val="15"/>
              </w:rPr>
              <w:t>1</w:t>
            </w:r>
            <w:r>
              <w:rPr>
                <w:rFonts w:ascii="Times New Roman" w:hAnsi="宋体" w:eastAsia="宋体" w:cs="Times New Roman"/>
                <w:sz w:val="15"/>
                <w:szCs w:val="15"/>
              </w:rPr>
              <w:t>分）分）</w:t>
            </w:r>
          </w:p>
        </w:tc>
        <w:tc>
          <w:tcPr>
            <w:tcW w:w="240" w:type="pct"/>
            <w:shd w:val="clear" w:color="auto" w:fill="auto"/>
            <w:vAlign w:val="center"/>
          </w:tcPr>
          <w:p w14:paraId="314E5001">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15F42D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部门项目支出本年度决算数与预算数的比率，用以反映和考核部门项目支出预算执行程度。</w:t>
            </w:r>
          </w:p>
        </w:tc>
        <w:tc>
          <w:tcPr>
            <w:tcW w:w="769" w:type="pct"/>
            <w:shd w:val="clear" w:color="auto" w:fill="auto"/>
            <w:vAlign w:val="center"/>
          </w:tcPr>
          <w:p w14:paraId="140485CD">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预算执行率</w:t>
            </w:r>
            <w:r>
              <w:rPr>
                <w:rFonts w:ascii="Times New Roman" w:hAnsi="Times New Roman" w:eastAsia="宋体" w:cs="Times New Roman"/>
                <w:sz w:val="15"/>
                <w:szCs w:val="15"/>
              </w:rPr>
              <w:t>=</w:t>
            </w:r>
            <w:r>
              <w:rPr>
                <w:rFonts w:ascii="Times New Roman" w:hAnsi="宋体" w:eastAsia="宋体" w:cs="Times New Roman"/>
                <w:sz w:val="15"/>
                <w:szCs w:val="15"/>
              </w:rPr>
              <w:t>部门项目支出决算</w:t>
            </w:r>
            <w:r>
              <w:rPr>
                <w:rFonts w:ascii="Times New Roman" w:hAnsi="Times New Roman" w:eastAsia="宋体" w:cs="Times New Roman"/>
                <w:sz w:val="15"/>
                <w:szCs w:val="15"/>
              </w:rPr>
              <w:t>/</w:t>
            </w:r>
            <w:r>
              <w:rPr>
                <w:rFonts w:ascii="Times New Roman" w:hAnsi="宋体" w:eastAsia="宋体" w:cs="Times New Roman"/>
                <w:sz w:val="15"/>
                <w:szCs w:val="15"/>
              </w:rPr>
              <w:t>部门项目支出预算</w:t>
            </w:r>
            <w:r>
              <w:rPr>
                <w:rFonts w:ascii="Times New Roman" w:hAnsi="Times New Roman" w:eastAsia="宋体" w:cs="Times New Roman"/>
                <w:sz w:val="15"/>
                <w:szCs w:val="15"/>
              </w:rPr>
              <w:t>×100%</w:t>
            </w:r>
            <w:r>
              <w:rPr>
                <w:rFonts w:ascii="Times New Roman" w:hAnsi="宋体" w:eastAsia="宋体" w:cs="Times New Roman"/>
                <w:sz w:val="15"/>
                <w:szCs w:val="15"/>
              </w:rPr>
              <w:t>。预算完成率</w:t>
            </w:r>
            <w:r>
              <w:rPr>
                <w:rFonts w:ascii="Times New Roman" w:hAnsi="Times New Roman" w:eastAsia="宋体" w:cs="Times New Roman"/>
                <w:sz w:val="15"/>
                <w:szCs w:val="15"/>
              </w:rPr>
              <w:t>≥95%</w:t>
            </w:r>
            <w:r>
              <w:rPr>
                <w:rFonts w:ascii="Times New Roman" w:hAnsi="宋体" w:eastAsia="宋体" w:cs="Times New Roman"/>
                <w:sz w:val="15"/>
                <w:szCs w:val="15"/>
              </w:rPr>
              <w:t>得满分，未到按权重进行扣分。</w:t>
            </w:r>
          </w:p>
        </w:tc>
        <w:tc>
          <w:tcPr>
            <w:tcW w:w="528" w:type="pct"/>
            <w:shd w:val="clear" w:color="auto" w:fill="auto"/>
            <w:vAlign w:val="center"/>
          </w:tcPr>
          <w:p w14:paraId="49CAFDA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项目支出预算批复，预算调整批复、预算编制等其他资料</w:t>
            </w:r>
          </w:p>
        </w:tc>
        <w:tc>
          <w:tcPr>
            <w:tcW w:w="251" w:type="pct"/>
            <w:shd w:val="clear" w:color="auto" w:fill="auto"/>
            <w:vAlign w:val="center"/>
          </w:tcPr>
          <w:p w14:paraId="4D1E69B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6436183D">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B2CFD64">
            <w:pPr>
              <w:overflowPunct/>
              <w:autoSpaceDE/>
              <w:autoSpaceDN/>
              <w:adjustRightInd/>
              <w:jc w:val="left"/>
              <w:rPr>
                <w:rFonts w:ascii="Times New Roman" w:hAnsi="Times New Roman" w:eastAsia="宋体" w:cs="Times New Roman"/>
                <w:sz w:val="15"/>
                <w:szCs w:val="15"/>
              </w:rPr>
            </w:pPr>
          </w:p>
        </w:tc>
      </w:tr>
      <w:tr w14:paraId="6498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324" w:type="pct"/>
            <w:vMerge w:val="continue"/>
            <w:vAlign w:val="center"/>
          </w:tcPr>
          <w:p w14:paraId="0AB72524">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8C38C6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41CFDC6">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三公经费</w:t>
            </w:r>
            <w:r>
              <w:rPr>
                <w:rFonts w:ascii="Times New Roman" w:hAnsi="Times New Roman" w:eastAsia="宋体" w:cs="Times New Roman"/>
                <w:sz w:val="15"/>
                <w:szCs w:val="15"/>
              </w:rPr>
              <w:t>”</w:t>
            </w:r>
            <w:r>
              <w:rPr>
                <w:rFonts w:ascii="Times New Roman" w:hAnsi="宋体" w:eastAsia="宋体" w:cs="Times New Roman"/>
                <w:sz w:val="15"/>
                <w:szCs w:val="15"/>
              </w:rPr>
              <w:t>控制率（</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1B54D13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EDC42C3">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部门本年度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经费预算数与上年度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经费预算数的变动比率，用以反映和考核部门（单位）对控制行政成本的努力程度。</w:t>
            </w:r>
          </w:p>
        </w:tc>
        <w:tc>
          <w:tcPr>
            <w:tcW w:w="769" w:type="pct"/>
            <w:shd w:val="clear" w:color="auto" w:fill="auto"/>
            <w:vAlign w:val="center"/>
          </w:tcPr>
          <w:p w14:paraId="7DFAD3A9">
            <w:pPr>
              <w:overflowPunct/>
              <w:autoSpaceDE/>
              <w:autoSpaceDN/>
              <w:adjustRightInd/>
              <w:rPr>
                <w:rFonts w:ascii="Times New Roman" w:hAnsi="Times New Roman" w:eastAsia="宋体" w:cs="Times New Roman"/>
                <w:sz w:val="15"/>
                <w:szCs w:val="15"/>
              </w:rPr>
            </w:pP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经费控制率</w:t>
            </w:r>
            <w:r>
              <w:rPr>
                <w:rFonts w:ascii="Times New Roman" w:hAnsi="Times New Roman" w:eastAsia="宋体" w:cs="Times New Roman"/>
                <w:sz w:val="15"/>
                <w:szCs w:val="15"/>
              </w:rPr>
              <w:t>=</w:t>
            </w:r>
            <w:r>
              <w:rPr>
                <w:rFonts w:ascii="Times New Roman" w:hAnsi="宋体" w:eastAsia="宋体" w:cs="Times New Roman"/>
                <w:sz w:val="15"/>
                <w:szCs w:val="15"/>
              </w:rPr>
              <w:t>（本年度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经费总额</w:t>
            </w:r>
            <w:r>
              <w:rPr>
                <w:rFonts w:ascii="Times New Roman" w:hAnsi="Times New Roman" w:eastAsia="宋体" w:cs="Times New Roman"/>
                <w:sz w:val="15"/>
                <w:szCs w:val="15"/>
              </w:rPr>
              <w:t>/</w:t>
            </w:r>
            <w:r>
              <w:rPr>
                <w:rFonts w:ascii="Times New Roman" w:hAnsi="宋体" w:eastAsia="宋体" w:cs="Times New Roman"/>
                <w:sz w:val="15"/>
                <w:szCs w:val="15"/>
              </w:rPr>
              <w:t>上年度</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经费总额）</w:t>
            </w:r>
            <w:r>
              <w:rPr>
                <w:rFonts w:ascii="Times New Roman" w:hAnsi="Times New Roman" w:eastAsia="宋体" w:cs="Times New Roman"/>
                <w:sz w:val="15"/>
                <w:szCs w:val="15"/>
              </w:rPr>
              <w:t>×100%</w:t>
            </w:r>
            <w:r>
              <w:rPr>
                <w:rFonts w:ascii="Times New Roman" w:hAnsi="宋体" w:eastAsia="宋体" w:cs="Times New Roman"/>
                <w:sz w:val="15"/>
                <w:szCs w:val="15"/>
              </w:rPr>
              <w:t>。</w:t>
            </w:r>
            <w:r>
              <w:rPr>
                <w:rFonts w:ascii="Times New Roman" w:hAnsi="Times New Roman" w:eastAsia="宋体" w:cs="Times New Roman"/>
                <w:sz w:val="15"/>
                <w:szCs w:val="15"/>
              </w:rPr>
              <w:t>“</w:t>
            </w:r>
            <w:r>
              <w:rPr>
                <w:rFonts w:ascii="Times New Roman" w:hAnsi="宋体" w:eastAsia="宋体" w:cs="Times New Roman"/>
                <w:sz w:val="15"/>
                <w:szCs w:val="15"/>
              </w:rPr>
              <w:t>三公</w:t>
            </w:r>
            <w:r>
              <w:rPr>
                <w:rFonts w:ascii="Times New Roman" w:hAnsi="Times New Roman" w:eastAsia="宋体" w:cs="Times New Roman"/>
                <w:sz w:val="15"/>
                <w:szCs w:val="15"/>
              </w:rPr>
              <w:t>”</w:t>
            </w:r>
            <w:r>
              <w:rPr>
                <w:rFonts w:ascii="Times New Roman" w:hAnsi="宋体" w:eastAsia="宋体" w:cs="Times New Roman"/>
                <w:sz w:val="15"/>
                <w:szCs w:val="15"/>
              </w:rPr>
              <w:t>经费：年度预算安排的因公出国（境）费、公务用车购置及运行费和公务接待费。三公经费控制率</w:t>
            </w:r>
            <w:r>
              <w:rPr>
                <w:rFonts w:ascii="Times New Roman" w:hAnsi="Times New Roman" w:eastAsia="宋体" w:cs="Times New Roman"/>
                <w:sz w:val="15"/>
                <w:szCs w:val="15"/>
              </w:rPr>
              <w:t>≤100%</w:t>
            </w:r>
            <w:r>
              <w:rPr>
                <w:rFonts w:ascii="Times New Roman" w:hAnsi="宋体" w:eastAsia="宋体" w:cs="Times New Roman"/>
                <w:sz w:val="15"/>
                <w:szCs w:val="15"/>
              </w:rPr>
              <w:t>得满分，</w:t>
            </w:r>
            <w:r>
              <w:rPr>
                <w:rFonts w:ascii="Times New Roman" w:hAnsi="Times New Roman" w:eastAsia="宋体" w:cs="Times New Roman"/>
                <w:sz w:val="15"/>
                <w:szCs w:val="15"/>
              </w:rPr>
              <w:t>≥120%</w:t>
            </w:r>
            <w:r>
              <w:rPr>
                <w:rFonts w:ascii="Times New Roman" w:hAnsi="宋体" w:eastAsia="宋体" w:cs="Times New Roman"/>
                <w:sz w:val="15"/>
                <w:szCs w:val="15"/>
              </w:rPr>
              <w:t>得</w:t>
            </w:r>
            <w:r>
              <w:rPr>
                <w:rFonts w:ascii="Times New Roman" w:hAnsi="Times New Roman" w:eastAsia="宋体" w:cs="Times New Roman"/>
                <w:sz w:val="15"/>
                <w:szCs w:val="15"/>
              </w:rPr>
              <w:t>1</w:t>
            </w:r>
            <w:r>
              <w:rPr>
                <w:rFonts w:ascii="Times New Roman" w:hAnsi="宋体" w:eastAsia="宋体" w:cs="Times New Roman"/>
                <w:sz w:val="15"/>
                <w:szCs w:val="15"/>
              </w:rPr>
              <w:t>分，区间内按权重进行扣分。</w:t>
            </w:r>
          </w:p>
        </w:tc>
        <w:tc>
          <w:tcPr>
            <w:tcW w:w="528" w:type="pct"/>
            <w:shd w:val="clear" w:color="auto" w:fill="auto"/>
            <w:vAlign w:val="center"/>
          </w:tcPr>
          <w:p w14:paraId="12365E4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三公经费使用情况</w:t>
            </w:r>
          </w:p>
        </w:tc>
        <w:tc>
          <w:tcPr>
            <w:tcW w:w="251" w:type="pct"/>
            <w:shd w:val="clear" w:color="auto" w:fill="auto"/>
            <w:vAlign w:val="center"/>
          </w:tcPr>
          <w:p w14:paraId="2B61DBDD">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4975D96D">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B0E4D50">
            <w:pPr>
              <w:overflowPunct/>
              <w:autoSpaceDE/>
              <w:autoSpaceDN/>
              <w:adjustRightInd/>
              <w:jc w:val="left"/>
              <w:rPr>
                <w:rFonts w:ascii="Times New Roman" w:hAnsi="Times New Roman" w:eastAsia="宋体" w:cs="Times New Roman"/>
                <w:sz w:val="15"/>
                <w:szCs w:val="15"/>
              </w:rPr>
            </w:pPr>
          </w:p>
        </w:tc>
      </w:tr>
      <w:tr w14:paraId="4F14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4" w:type="pct"/>
            <w:vMerge w:val="continue"/>
            <w:vAlign w:val="center"/>
          </w:tcPr>
          <w:p w14:paraId="5A272763">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DCE7642">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FA3F9D6">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预算调整情况（</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2FF0AC8F">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0C296950">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用以反映预算单位是否根据年中预算实际执行情况及时合规进行预算调整。</w:t>
            </w:r>
          </w:p>
        </w:tc>
        <w:tc>
          <w:tcPr>
            <w:tcW w:w="769" w:type="pct"/>
            <w:shd w:val="clear" w:color="auto" w:fill="auto"/>
            <w:vAlign w:val="center"/>
          </w:tcPr>
          <w:p w14:paraId="0901C733">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①根据年中预算执行情况及时申请预算调整，得</w:t>
            </w:r>
            <w:r>
              <w:rPr>
                <w:rFonts w:ascii="Times New Roman" w:hAnsi="Times New Roman" w:eastAsia="宋体" w:cs="Times New Roman"/>
                <w:sz w:val="15"/>
                <w:szCs w:val="15"/>
              </w:rPr>
              <w:t>0.5</w:t>
            </w:r>
            <w:r>
              <w:rPr>
                <w:rFonts w:ascii="Times New Roman" w:hAnsi="宋体" w:eastAsia="宋体" w:cs="Times New Roman"/>
                <w:sz w:val="15"/>
                <w:szCs w:val="15"/>
              </w:rPr>
              <w:t>分；②按规定程序进行预算调整，得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708C80A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预算调整相关资料</w:t>
            </w:r>
          </w:p>
        </w:tc>
        <w:tc>
          <w:tcPr>
            <w:tcW w:w="251" w:type="pct"/>
            <w:shd w:val="clear" w:color="auto" w:fill="auto"/>
            <w:vAlign w:val="center"/>
          </w:tcPr>
          <w:p w14:paraId="6485742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4A4709E7">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7B237510">
            <w:pPr>
              <w:overflowPunct/>
              <w:autoSpaceDE/>
              <w:autoSpaceDN/>
              <w:adjustRightInd/>
              <w:jc w:val="left"/>
              <w:rPr>
                <w:rFonts w:ascii="Times New Roman" w:hAnsi="Times New Roman" w:eastAsia="宋体" w:cs="Times New Roman"/>
                <w:sz w:val="15"/>
                <w:szCs w:val="15"/>
              </w:rPr>
            </w:pPr>
          </w:p>
        </w:tc>
      </w:tr>
      <w:tr w14:paraId="3B5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4" w:type="pct"/>
            <w:vMerge w:val="restart"/>
            <w:shd w:val="clear" w:color="auto" w:fill="auto"/>
            <w:vAlign w:val="center"/>
          </w:tcPr>
          <w:p w14:paraId="7604ECE5">
            <w:pPr>
              <w:overflowPunct/>
              <w:autoSpaceDE/>
              <w:autoSpaceDN/>
              <w:adjustRightInd/>
              <w:jc w:val="center"/>
              <w:rPr>
                <w:rFonts w:ascii="Times New Roman" w:hAnsi="Times New Roman" w:eastAsia="宋体" w:cs="Times New Roman"/>
                <w:sz w:val="15"/>
                <w:szCs w:val="15"/>
              </w:rPr>
            </w:pPr>
            <w:r>
              <w:rPr>
                <w:rFonts w:ascii="Times New Roman" w:hAnsi="宋体" w:eastAsia="宋体" w:cs="Times New Roman"/>
                <w:sz w:val="15"/>
                <w:szCs w:val="15"/>
              </w:rPr>
              <w:t>二、部门管理（</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336" w:type="pct"/>
            <w:vMerge w:val="restart"/>
            <w:shd w:val="clear" w:color="auto" w:fill="auto"/>
            <w:vAlign w:val="center"/>
          </w:tcPr>
          <w:p w14:paraId="45F02282">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财务管理（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1D071467">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财务管理制度健全性及执行情况（</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70291E25">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18A0430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部门为加强预算管理、规范财务行为而制定的财务管理制度是否健全完整。用以反映和考核部门预算管理制度对完成主要职责或促进事业发展的保障情况。</w:t>
            </w:r>
          </w:p>
        </w:tc>
        <w:tc>
          <w:tcPr>
            <w:tcW w:w="769" w:type="pct"/>
            <w:shd w:val="clear" w:color="auto" w:fill="auto"/>
            <w:vAlign w:val="center"/>
          </w:tcPr>
          <w:p w14:paraId="535D5562">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①是否已制定预算资金管理办法、内部财务管理制度、会计核算制度等管理制度</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分；②相关管理制度是否合法、合规、完整</w:t>
            </w:r>
            <w:r>
              <w:rPr>
                <w:rFonts w:ascii="Times New Roman" w:hAnsi="Times New Roman" w:eastAsia="宋体" w:cs="Times New Roman"/>
                <w:sz w:val="15"/>
                <w:szCs w:val="15"/>
              </w:rPr>
              <w:t>0.5</w:t>
            </w:r>
            <w:r>
              <w:rPr>
                <w:rFonts w:ascii="Times New Roman" w:hAnsi="宋体" w:eastAsia="宋体" w:cs="Times New Roman"/>
                <w:sz w:val="15"/>
                <w:szCs w:val="15"/>
              </w:rPr>
              <w:t>分；③相关管理制度是否得到有效执行</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7875412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财务管理相关制度及执行情况等。</w:t>
            </w:r>
          </w:p>
        </w:tc>
        <w:tc>
          <w:tcPr>
            <w:tcW w:w="251" w:type="pct"/>
            <w:shd w:val="clear" w:color="auto" w:fill="auto"/>
            <w:vAlign w:val="center"/>
          </w:tcPr>
          <w:p w14:paraId="202906F6">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36A8E50C">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C860E62">
            <w:pPr>
              <w:overflowPunct/>
              <w:autoSpaceDE/>
              <w:autoSpaceDN/>
              <w:adjustRightInd/>
              <w:jc w:val="left"/>
              <w:rPr>
                <w:rFonts w:ascii="Times New Roman" w:hAnsi="Times New Roman" w:eastAsia="宋体" w:cs="Times New Roman"/>
                <w:sz w:val="15"/>
                <w:szCs w:val="15"/>
              </w:rPr>
            </w:pPr>
          </w:p>
        </w:tc>
      </w:tr>
      <w:tr w14:paraId="2679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24" w:type="pct"/>
            <w:vMerge w:val="continue"/>
            <w:vAlign w:val="center"/>
          </w:tcPr>
          <w:p w14:paraId="4600372A">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9679C43">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5344734">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资金使用合规性（</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5DF71557">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722FF6E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部门使用预算资金是否符合相关财务管理制度的规定，用以反映和考核部门预算资金的规范运行情况。</w:t>
            </w:r>
          </w:p>
        </w:tc>
        <w:tc>
          <w:tcPr>
            <w:tcW w:w="769" w:type="pct"/>
            <w:shd w:val="clear" w:color="auto" w:fill="auto"/>
            <w:vAlign w:val="center"/>
          </w:tcPr>
          <w:p w14:paraId="2325821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①符合国家财经法规和财务管理制度规定以及有关专项资金管理办法的规定</w:t>
            </w:r>
            <w:r>
              <w:rPr>
                <w:rFonts w:ascii="Times New Roman" w:hAnsi="Times New Roman" w:eastAsia="宋体" w:cs="Times New Roman"/>
                <w:sz w:val="15"/>
                <w:szCs w:val="15"/>
              </w:rPr>
              <w:t>,0.5</w:t>
            </w:r>
            <w:r>
              <w:rPr>
                <w:rFonts w:ascii="Times New Roman" w:hAnsi="宋体" w:eastAsia="宋体" w:cs="Times New Roman"/>
                <w:sz w:val="15"/>
                <w:szCs w:val="15"/>
              </w:rPr>
              <w:t>分；②资金的拨付有完整的审批程序和手续，</w:t>
            </w:r>
            <w:r>
              <w:rPr>
                <w:rFonts w:ascii="Times New Roman" w:hAnsi="Times New Roman" w:eastAsia="宋体" w:cs="Times New Roman"/>
                <w:sz w:val="15"/>
                <w:szCs w:val="15"/>
              </w:rPr>
              <w:t>0.5</w:t>
            </w:r>
            <w:r>
              <w:rPr>
                <w:rFonts w:ascii="Times New Roman" w:hAnsi="宋体" w:eastAsia="宋体" w:cs="Times New Roman"/>
                <w:sz w:val="15"/>
                <w:szCs w:val="15"/>
              </w:rPr>
              <w:t>分；③项目的重大开支经过专题论证，</w:t>
            </w:r>
            <w:r>
              <w:rPr>
                <w:rFonts w:ascii="Times New Roman" w:hAnsi="Times New Roman" w:eastAsia="宋体" w:cs="Times New Roman"/>
                <w:sz w:val="15"/>
                <w:szCs w:val="15"/>
              </w:rPr>
              <w:t>1</w:t>
            </w:r>
            <w:r>
              <w:rPr>
                <w:rFonts w:ascii="Times New Roman" w:hAnsi="宋体" w:eastAsia="宋体" w:cs="Times New Roman"/>
                <w:sz w:val="15"/>
                <w:szCs w:val="15"/>
              </w:rPr>
              <w:t>分；④符合部门预算批复的用途，</w:t>
            </w:r>
            <w:r>
              <w:rPr>
                <w:rFonts w:ascii="Times New Roman" w:hAnsi="Times New Roman" w:eastAsia="宋体" w:cs="Times New Roman"/>
                <w:sz w:val="15"/>
                <w:szCs w:val="15"/>
              </w:rPr>
              <w:t>0</w:t>
            </w:r>
            <w:r>
              <w:rPr>
                <w:rFonts w:ascii="Times New Roman" w:hAnsi="宋体" w:eastAsia="宋体" w:cs="Times New Roman"/>
                <w:sz w:val="15"/>
                <w:szCs w:val="15"/>
              </w:rPr>
              <w:t>分；⑤是否存在截留、挤占、挪用、虚列支出等情况，一旦存在该指标不得分。</w:t>
            </w:r>
          </w:p>
        </w:tc>
        <w:tc>
          <w:tcPr>
            <w:tcW w:w="528" w:type="pct"/>
            <w:shd w:val="clear" w:color="auto" w:fill="auto"/>
            <w:vAlign w:val="center"/>
          </w:tcPr>
          <w:p w14:paraId="5895CFC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资金支出相关凭证、流程梳理等</w:t>
            </w:r>
          </w:p>
        </w:tc>
        <w:tc>
          <w:tcPr>
            <w:tcW w:w="251" w:type="pct"/>
            <w:shd w:val="clear" w:color="auto" w:fill="auto"/>
            <w:vAlign w:val="center"/>
          </w:tcPr>
          <w:p w14:paraId="5FEC7D24">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2A6FBB98">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1E4448D8">
            <w:pPr>
              <w:overflowPunct/>
              <w:autoSpaceDE/>
              <w:autoSpaceDN/>
              <w:adjustRightInd/>
              <w:jc w:val="left"/>
              <w:rPr>
                <w:rFonts w:ascii="Times New Roman" w:hAnsi="Times New Roman" w:eastAsia="宋体" w:cs="Times New Roman"/>
                <w:sz w:val="15"/>
                <w:szCs w:val="15"/>
              </w:rPr>
            </w:pPr>
          </w:p>
        </w:tc>
      </w:tr>
      <w:tr w14:paraId="488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4DFE138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EB05082">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8AD46F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财务监控的有效性（</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240" w:type="pct"/>
            <w:shd w:val="clear" w:color="auto" w:fill="auto"/>
            <w:vAlign w:val="center"/>
          </w:tcPr>
          <w:p w14:paraId="5960AEEB">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671" w:type="pct"/>
            <w:shd w:val="clear" w:color="auto" w:fill="auto"/>
            <w:vAlign w:val="center"/>
          </w:tcPr>
          <w:p w14:paraId="473FD3A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用以反映部门财务监控监督工作的有效性，包括监控、监督措施的制定及执行等方面。</w:t>
            </w:r>
          </w:p>
        </w:tc>
        <w:tc>
          <w:tcPr>
            <w:tcW w:w="769" w:type="pct"/>
            <w:shd w:val="clear" w:color="auto" w:fill="auto"/>
            <w:vAlign w:val="center"/>
          </w:tcPr>
          <w:p w14:paraId="239017F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①制定明确的财务监控监督措施，得</w:t>
            </w:r>
            <w:r>
              <w:rPr>
                <w:rFonts w:ascii="Times New Roman" w:hAnsi="Times New Roman" w:eastAsia="宋体" w:cs="Times New Roman"/>
                <w:sz w:val="15"/>
                <w:szCs w:val="15"/>
              </w:rPr>
              <w:t>0.5</w:t>
            </w:r>
            <w:r>
              <w:rPr>
                <w:rFonts w:ascii="Times New Roman" w:hAnsi="宋体" w:eastAsia="宋体" w:cs="Times New Roman"/>
                <w:sz w:val="15"/>
                <w:szCs w:val="15"/>
              </w:rPr>
              <w:t>分；②监控、监督措施执行有效，得</w:t>
            </w:r>
            <w:r>
              <w:rPr>
                <w:rFonts w:ascii="Times New Roman" w:hAnsi="Times New Roman" w:eastAsia="宋体" w:cs="Times New Roman"/>
                <w:sz w:val="15"/>
                <w:szCs w:val="15"/>
              </w:rPr>
              <w:t>0.5</w:t>
            </w:r>
            <w:r>
              <w:rPr>
                <w:rFonts w:ascii="Times New Roman" w:hAnsi="宋体" w:eastAsia="宋体" w:cs="Times New Roman"/>
                <w:sz w:val="15"/>
                <w:szCs w:val="15"/>
              </w:rPr>
              <w:t>分；</w:t>
            </w:r>
          </w:p>
        </w:tc>
        <w:tc>
          <w:tcPr>
            <w:tcW w:w="528" w:type="pct"/>
            <w:shd w:val="clear" w:color="auto" w:fill="auto"/>
            <w:vAlign w:val="center"/>
          </w:tcPr>
          <w:p w14:paraId="6AC257C8">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财务监控监督相关办法及条款，实际执行情况资料</w:t>
            </w:r>
          </w:p>
        </w:tc>
        <w:tc>
          <w:tcPr>
            <w:tcW w:w="251" w:type="pct"/>
            <w:shd w:val="clear" w:color="auto" w:fill="auto"/>
            <w:vAlign w:val="center"/>
          </w:tcPr>
          <w:p w14:paraId="4DCB06A6">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w:t>
            </w:r>
          </w:p>
        </w:tc>
        <w:tc>
          <w:tcPr>
            <w:tcW w:w="251" w:type="pct"/>
            <w:shd w:val="clear" w:color="auto" w:fill="auto"/>
            <w:vAlign w:val="center"/>
          </w:tcPr>
          <w:p w14:paraId="258D9E74">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1FD3308">
            <w:pPr>
              <w:overflowPunct/>
              <w:autoSpaceDE/>
              <w:autoSpaceDN/>
              <w:adjustRightInd/>
              <w:jc w:val="left"/>
              <w:rPr>
                <w:rFonts w:ascii="Times New Roman" w:hAnsi="Times New Roman" w:eastAsia="宋体" w:cs="Times New Roman"/>
                <w:sz w:val="15"/>
                <w:szCs w:val="15"/>
              </w:rPr>
            </w:pPr>
          </w:p>
        </w:tc>
      </w:tr>
      <w:tr w14:paraId="644E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14:paraId="19D2FE3C">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5C0A4BE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资产管理（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374EE959">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资产管理制度健全性及执行情况（</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0F9B0C02">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677D452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部门为加强资产管理、规范资产使用而制定的资产管理制度是否健全完整，用以反映和考核部门资产管理制度对完成主要职责或促进事业发展的保障情况。</w:t>
            </w:r>
          </w:p>
        </w:tc>
        <w:tc>
          <w:tcPr>
            <w:tcW w:w="769" w:type="pct"/>
            <w:shd w:val="clear" w:color="auto" w:fill="auto"/>
            <w:vAlign w:val="center"/>
          </w:tcPr>
          <w:p w14:paraId="3ED426F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①是否已制定或具有固定资产管理办法、资产使用办法等管理制度，得</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分；②相关管理制度是否合法、合规、完整，得</w:t>
            </w:r>
            <w:r>
              <w:rPr>
                <w:rFonts w:ascii="Times New Roman" w:hAnsi="Times New Roman" w:eastAsia="宋体" w:cs="Times New Roman"/>
                <w:sz w:val="15"/>
                <w:szCs w:val="15"/>
              </w:rPr>
              <w:t>1</w:t>
            </w:r>
            <w:r>
              <w:rPr>
                <w:rFonts w:ascii="Times New Roman" w:hAnsi="宋体" w:eastAsia="宋体" w:cs="Times New Roman"/>
                <w:sz w:val="15"/>
                <w:szCs w:val="15"/>
              </w:rPr>
              <w:t>分；③相关管理制度是否得到有效执行，得</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528" w:type="pct"/>
            <w:shd w:val="clear" w:color="auto" w:fill="auto"/>
            <w:vAlign w:val="center"/>
          </w:tcPr>
          <w:p w14:paraId="0DE5F71A">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资产管理相关办法</w:t>
            </w:r>
          </w:p>
        </w:tc>
        <w:tc>
          <w:tcPr>
            <w:tcW w:w="251" w:type="pct"/>
            <w:shd w:val="clear" w:color="auto" w:fill="auto"/>
            <w:vAlign w:val="center"/>
          </w:tcPr>
          <w:p w14:paraId="101D341D">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47C73B5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204E8FF">
            <w:pPr>
              <w:overflowPunct/>
              <w:autoSpaceDE/>
              <w:autoSpaceDN/>
              <w:adjustRightInd/>
              <w:jc w:val="left"/>
              <w:rPr>
                <w:rFonts w:ascii="Times New Roman" w:hAnsi="Times New Roman" w:eastAsia="宋体" w:cs="Times New Roman"/>
                <w:sz w:val="15"/>
                <w:szCs w:val="15"/>
              </w:rPr>
            </w:pPr>
          </w:p>
        </w:tc>
      </w:tr>
      <w:tr w14:paraId="3A7B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569B9D78">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25DF87E">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7A0A4AE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固定资产在用率（</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13B7326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55E6872B">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部门实际在用固定资产总额与所有固定资产总额的比率，用以反映和考核部门固定资产使用效率及程度。</w:t>
            </w:r>
          </w:p>
        </w:tc>
        <w:tc>
          <w:tcPr>
            <w:tcW w:w="769" w:type="pct"/>
            <w:shd w:val="clear" w:color="auto" w:fill="auto"/>
            <w:vAlign w:val="center"/>
          </w:tcPr>
          <w:p w14:paraId="7B38A500">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固定资产在用率</w:t>
            </w:r>
            <w:r>
              <w:rPr>
                <w:rFonts w:ascii="Times New Roman" w:hAnsi="Times New Roman" w:eastAsia="宋体" w:cs="Times New Roman"/>
                <w:sz w:val="15"/>
                <w:szCs w:val="15"/>
              </w:rPr>
              <w:t>=</w:t>
            </w:r>
            <w:r>
              <w:rPr>
                <w:rFonts w:ascii="Times New Roman" w:hAnsi="宋体" w:eastAsia="宋体" w:cs="Times New Roman"/>
                <w:sz w:val="15"/>
                <w:szCs w:val="15"/>
              </w:rPr>
              <w:t>（实际在用固定资产总额</w:t>
            </w:r>
            <w:r>
              <w:rPr>
                <w:rFonts w:ascii="Times New Roman" w:hAnsi="Times New Roman" w:eastAsia="宋体" w:cs="Times New Roman"/>
                <w:sz w:val="15"/>
                <w:szCs w:val="15"/>
              </w:rPr>
              <w:t>/</w:t>
            </w:r>
            <w:r>
              <w:rPr>
                <w:rFonts w:ascii="Times New Roman" w:hAnsi="宋体" w:eastAsia="宋体" w:cs="Times New Roman"/>
                <w:sz w:val="15"/>
                <w:szCs w:val="15"/>
              </w:rPr>
              <w:t>所有固定资产总额）</w:t>
            </w:r>
            <w:r>
              <w:rPr>
                <w:rFonts w:ascii="Times New Roman" w:hAnsi="Times New Roman" w:eastAsia="宋体" w:cs="Times New Roman"/>
                <w:sz w:val="15"/>
                <w:szCs w:val="15"/>
              </w:rPr>
              <w:t>×100%</w:t>
            </w:r>
            <w:r>
              <w:rPr>
                <w:rFonts w:ascii="Times New Roman" w:hAnsi="宋体" w:eastAsia="宋体" w:cs="Times New Roman"/>
                <w:sz w:val="15"/>
                <w:szCs w:val="15"/>
              </w:rPr>
              <w:t>。固定资产在用率达到</w:t>
            </w:r>
            <w:r>
              <w:rPr>
                <w:rFonts w:ascii="Times New Roman" w:hAnsi="Times New Roman" w:eastAsia="宋体" w:cs="Times New Roman"/>
                <w:sz w:val="15"/>
                <w:szCs w:val="15"/>
              </w:rPr>
              <w:t>95%</w:t>
            </w:r>
            <w:r>
              <w:rPr>
                <w:rFonts w:ascii="Times New Roman" w:hAnsi="宋体" w:eastAsia="宋体" w:cs="Times New Roman"/>
                <w:sz w:val="15"/>
                <w:szCs w:val="15"/>
              </w:rPr>
              <w:t>以上得满分</w:t>
            </w:r>
            <w:r>
              <w:rPr>
                <w:rFonts w:ascii="Times New Roman" w:hAnsi="Times New Roman" w:eastAsia="宋体" w:cs="Times New Roman"/>
                <w:sz w:val="15"/>
                <w:szCs w:val="15"/>
              </w:rPr>
              <w:t>.</w:t>
            </w:r>
            <w:r>
              <w:rPr>
                <w:rFonts w:ascii="Times New Roman" w:hAnsi="宋体" w:eastAsia="宋体" w:cs="Times New Roman"/>
                <w:sz w:val="15"/>
                <w:szCs w:val="15"/>
              </w:rPr>
              <w:t>每降低</w:t>
            </w:r>
            <w:r>
              <w:rPr>
                <w:rFonts w:ascii="Times New Roman" w:hAnsi="Times New Roman" w:eastAsia="宋体" w:cs="Times New Roman"/>
                <w:sz w:val="15"/>
                <w:szCs w:val="15"/>
              </w:rPr>
              <w:t>1%</w:t>
            </w:r>
            <w:r>
              <w:rPr>
                <w:rFonts w:ascii="Times New Roman" w:hAnsi="宋体" w:eastAsia="宋体" w:cs="Times New Roman"/>
                <w:sz w:val="15"/>
                <w:szCs w:val="15"/>
              </w:rPr>
              <w:t>扣</w:t>
            </w:r>
            <w:r>
              <w:rPr>
                <w:rFonts w:ascii="Times New Roman" w:hAnsi="Times New Roman" w:eastAsia="宋体" w:cs="Times New Roman"/>
                <w:sz w:val="15"/>
                <w:szCs w:val="15"/>
              </w:rPr>
              <w:t>0.5</w:t>
            </w:r>
            <w:r>
              <w:rPr>
                <w:rFonts w:ascii="Times New Roman" w:hAnsi="宋体" w:eastAsia="宋体" w:cs="Times New Roman"/>
                <w:sz w:val="15"/>
                <w:szCs w:val="15"/>
              </w:rPr>
              <w:t>分，扣完为止。</w:t>
            </w:r>
          </w:p>
        </w:tc>
        <w:tc>
          <w:tcPr>
            <w:tcW w:w="528" w:type="pct"/>
            <w:shd w:val="clear" w:color="auto" w:fill="auto"/>
            <w:vAlign w:val="center"/>
          </w:tcPr>
          <w:p w14:paraId="2BAAF7D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固定资产卡片、固定资产使用信息等</w:t>
            </w:r>
          </w:p>
        </w:tc>
        <w:tc>
          <w:tcPr>
            <w:tcW w:w="251" w:type="pct"/>
            <w:shd w:val="clear" w:color="auto" w:fill="auto"/>
            <w:vAlign w:val="center"/>
          </w:tcPr>
          <w:p w14:paraId="35AD2917">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4ECB018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2D82181E">
            <w:pPr>
              <w:overflowPunct/>
              <w:autoSpaceDE/>
              <w:autoSpaceDN/>
              <w:adjustRightInd/>
              <w:jc w:val="left"/>
              <w:rPr>
                <w:rFonts w:ascii="Times New Roman" w:hAnsi="Times New Roman" w:eastAsia="宋体" w:cs="Times New Roman"/>
                <w:sz w:val="15"/>
                <w:szCs w:val="15"/>
              </w:rPr>
            </w:pPr>
          </w:p>
        </w:tc>
      </w:tr>
      <w:tr w14:paraId="71C7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24" w:type="pct"/>
            <w:vMerge w:val="continue"/>
            <w:vAlign w:val="center"/>
          </w:tcPr>
          <w:p w14:paraId="1E69E432">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3AB59AC0">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业务管理（</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527" w:type="pct"/>
            <w:shd w:val="clear" w:color="auto" w:fill="auto"/>
            <w:vAlign w:val="center"/>
          </w:tcPr>
          <w:p w14:paraId="2CFBE05A">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业务管理制度健全性及执行情况（</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275D0CD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1A4273A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部门为加强业务管理、规范业务执行而制定的管理制度是否健全完整，用以反映和考核部门业务管理制度对完成主要职责或促进事业发展的保障情况。</w:t>
            </w:r>
          </w:p>
        </w:tc>
        <w:tc>
          <w:tcPr>
            <w:tcW w:w="769" w:type="pct"/>
            <w:shd w:val="clear" w:color="auto" w:fill="auto"/>
            <w:vAlign w:val="center"/>
          </w:tcPr>
          <w:p w14:paraId="291FA022">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①已制定或具有业务管理、项目管理等管理制度，得</w:t>
            </w:r>
            <w:r>
              <w:rPr>
                <w:rFonts w:ascii="Times New Roman" w:hAnsi="Times New Roman" w:eastAsia="宋体" w:cs="Times New Roman"/>
                <w:sz w:val="15"/>
                <w:szCs w:val="15"/>
              </w:rPr>
              <w:t>1</w:t>
            </w:r>
            <w:r>
              <w:rPr>
                <w:rFonts w:ascii="Times New Roman" w:hAnsi="宋体" w:eastAsia="宋体" w:cs="Times New Roman"/>
                <w:sz w:val="15"/>
                <w:szCs w:val="15"/>
              </w:rPr>
              <w:t>分；②相关管理制度合法、合规、完整，得</w:t>
            </w:r>
            <w:r>
              <w:rPr>
                <w:rFonts w:ascii="Times New Roman" w:hAnsi="Times New Roman" w:eastAsia="宋体" w:cs="Times New Roman"/>
                <w:sz w:val="15"/>
                <w:szCs w:val="15"/>
              </w:rPr>
              <w:t>1</w:t>
            </w:r>
            <w:r>
              <w:rPr>
                <w:rFonts w:ascii="Times New Roman" w:hAnsi="宋体" w:eastAsia="宋体" w:cs="Times New Roman"/>
                <w:sz w:val="15"/>
                <w:szCs w:val="15"/>
              </w:rPr>
              <w:t>分；③相关管理制度得到有效执行，得</w:t>
            </w:r>
            <w:r>
              <w:rPr>
                <w:rFonts w:ascii="Times New Roman" w:hAnsi="Times New Roman" w:eastAsia="宋体" w:cs="Times New Roman"/>
                <w:sz w:val="15"/>
                <w:szCs w:val="15"/>
              </w:rPr>
              <w:t>1</w:t>
            </w:r>
            <w:r>
              <w:rPr>
                <w:rFonts w:ascii="Times New Roman" w:hAnsi="宋体" w:eastAsia="宋体" w:cs="Times New Roman"/>
                <w:sz w:val="15"/>
                <w:szCs w:val="15"/>
              </w:rPr>
              <w:t>分。</w:t>
            </w:r>
          </w:p>
        </w:tc>
        <w:tc>
          <w:tcPr>
            <w:tcW w:w="528" w:type="pct"/>
            <w:shd w:val="clear" w:color="auto" w:fill="auto"/>
            <w:vAlign w:val="center"/>
          </w:tcPr>
          <w:p w14:paraId="1A38FD8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业务管理相关办法及执行情况资料</w:t>
            </w:r>
          </w:p>
        </w:tc>
        <w:tc>
          <w:tcPr>
            <w:tcW w:w="251" w:type="pct"/>
            <w:shd w:val="clear" w:color="auto" w:fill="auto"/>
            <w:vAlign w:val="center"/>
          </w:tcPr>
          <w:p w14:paraId="4709FB74">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08981793">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FF32660">
            <w:pPr>
              <w:overflowPunct/>
              <w:autoSpaceDE/>
              <w:autoSpaceDN/>
              <w:adjustRightInd/>
              <w:jc w:val="left"/>
              <w:rPr>
                <w:rFonts w:ascii="Times New Roman" w:hAnsi="Times New Roman" w:eastAsia="宋体" w:cs="Times New Roman"/>
                <w:sz w:val="15"/>
                <w:szCs w:val="15"/>
              </w:rPr>
            </w:pPr>
          </w:p>
        </w:tc>
      </w:tr>
      <w:tr w14:paraId="1CD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24" w:type="pct"/>
            <w:vMerge w:val="continue"/>
            <w:vAlign w:val="center"/>
          </w:tcPr>
          <w:p w14:paraId="43667FDF">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04A0F951">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1953DEF">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政府采购规范性（</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604F5E56">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40F3BA3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考察政府采购项目的采购程序、采购方式的规范性</w:t>
            </w:r>
          </w:p>
        </w:tc>
        <w:tc>
          <w:tcPr>
            <w:tcW w:w="769" w:type="pct"/>
            <w:shd w:val="clear" w:color="auto" w:fill="auto"/>
            <w:vAlign w:val="center"/>
          </w:tcPr>
          <w:p w14:paraId="34A0953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①政府采购方式、程序都规范，得满分；②采购方式、程序中每有一点不规范，扣</w:t>
            </w:r>
            <w:r>
              <w:rPr>
                <w:rFonts w:ascii="Times New Roman" w:hAnsi="Times New Roman" w:eastAsia="宋体" w:cs="Times New Roman"/>
                <w:sz w:val="15"/>
                <w:szCs w:val="15"/>
              </w:rPr>
              <w:t>0.5</w:t>
            </w:r>
            <w:r>
              <w:rPr>
                <w:rFonts w:ascii="Times New Roman" w:hAnsi="宋体" w:eastAsia="宋体" w:cs="Times New Roman"/>
                <w:sz w:val="15"/>
                <w:szCs w:val="15"/>
              </w:rPr>
              <w:t>分，扣完为止。</w:t>
            </w:r>
          </w:p>
        </w:tc>
        <w:tc>
          <w:tcPr>
            <w:tcW w:w="528" w:type="pct"/>
            <w:shd w:val="clear" w:color="auto" w:fill="auto"/>
            <w:vAlign w:val="center"/>
          </w:tcPr>
          <w:p w14:paraId="00A5C1F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政府采购相关资料</w:t>
            </w:r>
          </w:p>
        </w:tc>
        <w:tc>
          <w:tcPr>
            <w:tcW w:w="251" w:type="pct"/>
            <w:shd w:val="clear" w:color="auto" w:fill="auto"/>
            <w:vAlign w:val="center"/>
          </w:tcPr>
          <w:p w14:paraId="0976B6B8">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4C8E48A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3B3E067F">
            <w:pPr>
              <w:overflowPunct/>
              <w:autoSpaceDE/>
              <w:autoSpaceDN/>
              <w:adjustRightInd/>
              <w:jc w:val="left"/>
              <w:rPr>
                <w:rFonts w:ascii="Times New Roman" w:hAnsi="Times New Roman" w:eastAsia="宋体" w:cs="Times New Roman"/>
                <w:sz w:val="15"/>
                <w:szCs w:val="15"/>
              </w:rPr>
            </w:pPr>
          </w:p>
        </w:tc>
      </w:tr>
      <w:tr w14:paraId="2B9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14:paraId="7538ECC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三、部门绩效（</w:t>
            </w:r>
            <w:r>
              <w:rPr>
                <w:rFonts w:ascii="Times New Roman" w:hAnsi="Times New Roman" w:eastAsia="宋体" w:cs="Times New Roman"/>
                <w:sz w:val="15"/>
                <w:szCs w:val="15"/>
              </w:rPr>
              <w:t>45</w:t>
            </w:r>
            <w:r>
              <w:rPr>
                <w:rFonts w:ascii="Times New Roman" w:hAnsi="宋体" w:eastAsia="宋体" w:cs="Times New Roman"/>
                <w:sz w:val="15"/>
                <w:szCs w:val="15"/>
              </w:rPr>
              <w:t>分）</w:t>
            </w:r>
          </w:p>
        </w:tc>
        <w:tc>
          <w:tcPr>
            <w:tcW w:w="336" w:type="pct"/>
            <w:vMerge w:val="restart"/>
            <w:shd w:val="clear" w:color="auto" w:fill="auto"/>
            <w:vAlign w:val="center"/>
          </w:tcPr>
          <w:p w14:paraId="4EE2FA38">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部门产出（</w:t>
            </w:r>
            <w:r>
              <w:rPr>
                <w:rFonts w:ascii="Times New Roman" w:hAnsi="Times New Roman" w:eastAsia="宋体" w:cs="Times New Roman"/>
                <w:sz w:val="15"/>
                <w:szCs w:val="15"/>
              </w:rPr>
              <w:t>25</w:t>
            </w:r>
            <w:r>
              <w:rPr>
                <w:rFonts w:ascii="Times New Roman" w:hAnsi="宋体" w:eastAsia="宋体" w:cs="Times New Roman"/>
                <w:sz w:val="15"/>
                <w:szCs w:val="15"/>
              </w:rPr>
              <w:t>分）</w:t>
            </w:r>
          </w:p>
        </w:tc>
        <w:tc>
          <w:tcPr>
            <w:tcW w:w="527" w:type="pct"/>
            <w:shd w:val="clear" w:color="auto" w:fill="auto"/>
            <w:vAlign w:val="center"/>
          </w:tcPr>
          <w:p w14:paraId="41FA043E">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实际完成率（</w:t>
            </w:r>
            <w:r>
              <w:rPr>
                <w:rFonts w:ascii="Times New Roman" w:hAnsi="Times New Roman" w:eastAsia="宋体" w:cs="Times New Roman"/>
                <w:sz w:val="15"/>
                <w:szCs w:val="15"/>
              </w:rPr>
              <w:t>7</w:t>
            </w:r>
            <w:r>
              <w:rPr>
                <w:rFonts w:ascii="Times New Roman" w:hAnsi="宋体" w:eastAsia="宋体" w:cs="Times New Roman"/>
                <w:sz w:val="15"/>
                <w:szCs w:val="15"/>
              </w:rPr>
              <w:t>分）</w:t>
            </w:r>
          </w:p>
        </w:tc>
        <w:tc>
          <w:tcPr>
            <w:tcW w:w="240" w:type="pct"/>
            <w:shd w:val="clear" w:color="auto" w:fill="auto"/>
            <w:vAlign w:val="center"/>
          </w:tcPr>
          <w:p w14:paraId="27AB8DCD">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671" w:type="pct"/>
            <w:shd w:val="clear" w:color="auto" w:fill="auto"/>
            <w:vAlign w:val="center"/>
          </w:tcPr>
          <w:p w14:paraId="3D75967E">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部门履行职责而实际完成工作数与计划工作数的比率，用以反映和考核部门履职工作任务目标的实现程度。</w:t>
            </w:r>
          </w:p>
        </w:tc>
        <w:tc>
          <w:tcPr>
            <w:tcW w:w="769" w:type="pct"/>
            <w:shd w:val="clear" w:color="auto" w:fill="auto"/>
            <w:vAlign w:val="center"/>
          </w:tcPr>
          <w:p w14:paraId="66231167">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实际完成率得分</w:t>
            </w:r>
            <w:r>
              <w:rPr>
                <w:rFonts w:ascii="Times New Roman" w:hAnsi="Times New Roman" w:eastAsia="宋体" w:cs="Times New Roman"/>
                <w:sz w:val="15"/>
                <w:szCs w:val="15"/>
              </w:rPr>
              <w:t>=</w:t>
            </w:r>
            <w:r>
              <w:rPr>
                <w:rFonts w:ascii="Times New Roman" w:hAnsi="宋体" w:eastAsia="宋体" w:cs="Times New Roman"/>
                <w:sz w:val="15"/>
                <w:szCs w:val="15"/>
              </w:rPr>
              <w:t>实际完成工作数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×7</w:t>
            </w:r>
            <w:r>
              <w:rPr>
                <w:rFonts w:ascii="Times New Roman" w:hAnsi="宋体" w:eastAsia="宋体" w:cs="Times New Roman"/>
                <w:sz w:val="15"/>
                <w:szCs w:val="15"/>
              </w:rPr>
              <w:t>分。全部完成计划目标为满分，每一项不达标扣</w:t>
            </w:r>
            <w:r>
              <w:rPr>
                <w:rFonts w:ascii="Times New Roman" w:hAnsi="Times New Roman" w:eastAsia="宋体" w:cs="Times New Roman"/>
                <w:sz w:val="15"/>
                <w:szCs w:val="15"/>
              </w:rPr>
              <w:t>2</w:t>
            </w:r>
            <w:r>
              <w:rPr>
                <w:rFonts w:ascii="Times New Roman" w:hAnsi="宋体" w:eastAsia="宋体" w:cs="Times New Roman"/>
                <w:sz w:val="15"/>
                <w:szCs w:val="15"/>
              </w:rPr>
              <w:t>分；扣完为止。</w:t>
            </w:r>
          </w:p>
        </w:tc>
        <w:tc>
          <w:tcPr>
            <w:tcW w:w="528" w:type="pct"/>
            <w:shd w:val="clear" w:color="auto" w:fill="auto"/>
            <w:vAlign w:val="center"/>
          </w:tcPr>
          <w:p w14:paraId="2E87160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29B09DAD">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7</w:t>
            </w:r>
          </w:p>
        </w:tc>
        <w:tc>
          <w:tcPr>
            <w:tcW w:w="251" w:type="pct"/>
            <w:shd w:val="clear" w:color="auto" w:fill="auto"/>
            <w:vAlign w:val="center"/>
          </w:tcPr>
          <w:p w14:paraId="29BBDB35">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847CA62">
            <w:pPr>
              <w:overflowPunct/>
              <w:autoSpaceDE/>
              <w:autoSpaceDN/>
              <w:adjustRightInd/>
              <w:jc w:val="left"/>
              <w:rPr>
                <w:rFonts w:ascii="Times New Roman" w:hAnsi="Times New Roman" w:eastAsia="宋体" w:cs="Times New Roman"/>
                <w:sz w:val="15"/>
                <w:szCs w:val="15"/>
              </w:rPr>
            </w:pPr>
          </w:p>
        </w:tc>
      </w:tr>
      <w:tr w14:paraId="11FA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7F1A7F44">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1AF8305A">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B412A71">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完成及时率（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03F06FCF">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210AE17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部门在规定时限内及时完成的实际工作数与计划工作数的比率</w:t>
            </w:r>
            <w:r>
              <w:rPr>
                <w:rFonts w:ascii="Times New Roman" w:hAnsi="Times New Roman" w:eastAsia="宋体" w:cs="Times New Roman"/>
                <w:sz w:val="15"/>
                <w:szCs w:val="15"/>
              </w:rPr>
              <w:t>,</w:t>
            </w:r>
            <w:r>
              <w:rPr>
                <w:rFonts w:ascii="Times New Roman" w:hAnsi="宋体" w:eastAsia="宋体" w:cs="Times New Roman"/>
                <w:sz w:val="15"/>
                <w:szCs w:val="15"/>
              </w:rPr>
              <w:t>用以反映和考核部门履职时效目标的实现程度。</w:t>
            </w:r>
          </w:p>
        </w:tc>
        <w:tc>
          <w:tcPr>
            <w:tcW w:w="769" w:type="pct"/>
            <w:shd w:val="clear" w:color="auto" w:fill="auto"/>
            <w:vAlign w:val="center"/>
          </w:tcPr>
          <w:p w14:paraId="06E0FBA1">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完成及时率</w:t>
            </w:r>
            <w:r>
              <w:rPr>
                <w:rFonts w:ascii="Times New Roman" w:hAnsi="Times New Roman" w:eastAsia="宋体" w:cs="Times New Roman"/>
                <w:sz w:val="15"/>
                <w:szCs w:val="15"/>
              </w:rPr>
              <w:t>=</w:t>
            </w:r>
            <w:r>
              <w:rPr>
                <w:rFonts w:ascii="Times New Roman" w:hAnsi="宋体" w:eastAsia="宋体" w:cs="Times New Roman"/>
                <w:sz w:val="15"/>
                <w:szCs w:val="15"/>
              </w:rPr>
              <w:t>（及时完成实际工作数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×6</w:t>
            </w:r>
            <w:r>
              <w:rPr>
                <w:rFonts w:ascii="Times New Roman" w:hAnsi="宋体" w:eastAsia="宋体" w:cs="Times New Roman"/>
                <w:sz w:val="15"/>
                <w:szCs w:val="15"/>
              </w:rPr>
              <w:t>分。扣完为止。</w:t>
            </w:r>
          </w:p>
        </w:tc>
        <w:tc>
          <w:tcPr>
            <w:tcW w:w="528" w:type="pct"/>
            <w:shd w:val="clear" w:color="auto" w:fill="auto"/>
            <w:vAlign w:val="center"/>
          </w:tcPr>
          <w:p w14:paraId="49B77509">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44458530">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6A4A522">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FCCB663">
            <w:pPr>
              <w:overflowPunct/>
              <w:autoSpaceDE/>
              <w:autoSpaceDN/>
              <w:adjustRightInd/>
              <w:jc w:val="left"/>
              <w:rPr>
                <w:rFonts w:ascii="Times New Roman" w:hAnsi="Times New Roman" w:eastAsia="宋体" w:cs="Times New Roman"/>
                <w:sz w:val="15"/>
                <w:szCs w:val="15"/>
              </w:rPr>
            </w:pPr>
          </w:p>
        </w:tc>
      </w:tr>
      <w:tr w14:paraId="36B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24" w:type="pct"/>
            <w:vMerge w:val="continue"/>
            <w:vAlign w:val="center"/>
          </w:tcPr>
          <w:p w14:paraId="331B51CE">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7C8A5BD0">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00067D9C">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质量达标率（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25EC6E0C">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5ACFAEA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达到质量标准（绩效标准值）的实际工作数与计划工作数的比率</w:t>
            </w:r>
            <w:r>
              <w:rPr>
                <w:rFonts w:ascii="Times New Roman" w:hAnsi="Times New Roman" w:eastAsia="宋体" w:cs="Times New Roman"/>
                <w:sz w:val="15"/>
                <w:szCs w:val="15"/>
              </w:rPr>
              <w:t>,</w:t>
            </w:r>
            <w:r>
              <w:rPr>
                <w:rFonts w:ascii="Times New Roman" w:hAnsi="宋体" w:eastAsia="宋体" w:cs="Times New Roman"/>
                <w:sz w:val="15"/>
                <w:szCs w:val="15"/>
              </w:rPr>
              <w:t>用以反映和考核部门履职质量目标的实现程度。</w:t>
            </w:r>
          </w:p>
        </w:tc>
        <w:tc>
          <w:tcPr>
            <w:tcW w:w="769" w:type="pct"/>
            <w:shd w:val="clear" w:color="auto" w:fill="auto"/>
            <w:vAlign w:val="center"/>
          </w:tcPr>
          <w:p w14:paraId="74500B45">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质量达标率</w:t>
            </w:r>
            <w:r>
              <w:rPr>
                <w:rFonts w:ascii="Times New Roman" w:hAnsi="Times New Roman" w:eastAsia="宋体" w:cs="Times New Roman"/>
                <w:sz w:val="15"/>
                <w:szCs w:val="15"/>
              </w:rPr>
              <w:t>=</w:t>
            </w:r>
            <w:r>
              <w:rPr>
                <w:rFonts w:ascii="Times New Roman" w:hAnsi="宋体" w:eastAsia="宋体" w:cs="Times New Roman"/>
                <w:sz w:val="15"/>
                <w:szCs w:val="15"/>
              </w:rPr>
              <w:t>（质量达标实际工作数</w:t>
            </w:r>
            <w:r>
              <w:rPr>
                <w:rFonts w:ascii="Times New Roman" w:hAnsi="Times New Roman" w:eastAsia="宋体" w:cs="Times New Roman"/>
                <w:sz w:val="15"/>
                <w:szCs w:val="15"/>
              </w:rPr>
              <w:t>/</w:t>
            </w:r>
            <w:r>
              <w:rPr>
                <w:rFonts w:ascii="Times New Roman" w:hAnsi="宋体" w:eastAsia="宋体" w:cs="Times New Roman"/>
                <w:sz w:val="15"/>
                <w:szCs w:val="15"/>
              </w:rPr>
              <w:t>计划工作数）</w:t>
            </w:r>
            <w:r>
              <w:rPr>
                <w:rFonts w:ascii="Times New Roman" w:hAnsi="Times New Roman" w:eastAsia="宋体" w:cs="Times New Roman"/>
                <w:sz w:val="15"/>
                <w:szCs w:val="15"/>
              </w:rPr>
              <w:t>×100%</w:t>
            </w:r>
            <w:r>
              <w:rPr>
                <w:rFonts w:ascii="Times New Roman" w:hAnsi="宋体" w:eastAsia="宋体" w:cs="Times New Roman"/>
                <w:sz w:val="15"/>
                <w:szCs w:val="15"/>
              </w:rPr>
              <w:t>。实际得分</w:t>
            </w:r>
            <w:r>
              <w:rPr>
                <w:rFonts w:ascii="Times New Roman" w:hAnsi="Times New Roman" w:eastAsia="宋体" w:cs="Times New Roman"/>
                <w:sz w:val="15"/>
                <w:szCs w:val="15"/>
              </w:rPr>
              <w:t>=</w:t>
            </w:r>
            <w:r>
              <w:rPr>
                <w:rFonts w:ascii="Times New Roman" w:hAnsi="宋体" w:eastAsia="宋体" w:cs="Times New Roman"/>
                <w:sz w:val="15"/>
                <w:szCs w:val="15"/>
              </w:rPr>
              <w:t>达标率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528" w:type="pct"/>
            <w:shd w:val="clear" w:color="auto" w:fill="auto"/>
            <w:vAlign w:val="center"/>
          </w:tcPr>
          <w:p w14:paraId="2FEAD50B">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64ADF767">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1CEAFE54">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CA65F27">
            <w:pPr>
              <w:overflowPunct/>
              <w:autoSpaceDE/>
              <w:autoSpaceDN/>
              <w:adjustRightInd/>
              <w:jc w:val="left"/>
              <w:rPr>
                <w:rFonts w:ascii="Times New Roman" w:hAnsi="Times New Roman" w:eastAsia="宋体" w:cs="Times New Roman"/>
                <w:sz w:val="15"/>
                <w:szCs w:val="15"/>
              </w:rPr>
            </w:pPr>
          </w:p>
        </w:tc>
      </w:tr>
      <w:tr w14:paraId="4A7E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14:paraId="7E7C88F2">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445136C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54A57D99">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5.</w:t>
            </w:r>
            <w:r>
              <w:rPr>
                <w:rFonts w:ascii="Times New Roman" w:hAnsi="宋体" w:eastAsia="宋体" w:cs="Times New Roman"/>
                <w:sz w:val="15"/>
                <w:szCs w:val="15"/>
              </w:rPr>
              <w:t>重点工作办结率（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240" w:type="pct"/>
            <w:shd w:val="clear" w:color="auto" w:fill="auto"/>
            <w:vAlign w:val="center"/>
          </w:tcPr>
          <w:p w14:paraId="52C67EB8">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671" w:type="pct"/>
            <w:shd w:val="clear" w:color="auto" w:fill="auto"/>
            <w:vAlign w:val="center"/>
          </w:tcPr>
          <w:p w14:paraId="4C48C736">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部门年度重点工作实际完成数与交办或下达数的比率，用以反映部门对重点工作的办理落实程度。</w:t>
            </w:r>
          </w:p>
        </w:tc>
        <w:tc>
          <w:tcPr>
            <w:tcW w:w="769" w:type="pct"/>
            <w:shd w:val="clear" w:color="auto" w:fill="auto"/>
            <w:vAlign w:val="center"/>
          </w:tcPr>
          <w:p w14:paraId="1AC987A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重点工作办结率</w:t>
            </w:r>
            <w:r>
              <w:rPr>
                <w:rFonts w:ascii="Times New Roman" w:hAnsi="Times New Roman" w:eastAsia="宋体" w:cs="Times New Roman"/>
                <w:sz w:val="15"/>
                <w:szCs w:val="15"/>
              </w:rPr>
              <w:t>=</w:t>
            </w:r>
            <w:r>
              <w:rPr>
                <w:rFonts w:ascii="Times New Roman" w:hAnsi="宋体" w:eastAsia="宋体" w:cs="Times New Roman"/>
                <w:sz w:val="15"/>
                <w:szCs w:val="15"/>
              </w:rPr>
              <w:t>（重点工作实际完成数</w:t>
            </w:r>
            <w:r>
              <w:rPr>
                <w:rFonts w:ascii="Times New Roman" w:hAnsi="Times New Roman" w:eastAsia="宋体" w:cs="Times New Roman"/>
                <w:sz w:val="15"/>
                <w:szCs w:val="15"/>
              </w:rPr>
              <w:t>/</w:t>
            </w:r>
            <w:r>
              <w:rPr>
                <w:rFonts w:ascii="Times New Roman" w:hAnsi="宋体" w:eastAsia="宋体" w:cs="Times New Roman"/>
                <w:sz w:val="15"/>
                <w:szCs w:val="15"/>
              </w:rPr>
              <w:t>交办或下达数）</w:t>
            </w:r>
            <w:r>
              <w:rPr>
                <w:rFonts w:ascii="Times New Roman" w:hAnsi="Times New Roman" w:eastAsia="宋体" w:cs="Times New Roman"/>
                <w:sz w:val="15"/>
                <w:szCs w:val="15"/>
              </w:rPr>
              <w:t>×100%</w:t>
            </w:r>
            <w:r>
              <w:rPr>
                <w:rFonts w:ascii="Times New Roman" w:hAnsi="宋体" w:eastAsia="宋体" w:cs="Times New Roman"/>
                <w:sz w:val="15"/>
                <w:szCs w:val="15"/>
              </w:rPr>
              <w:t>。实际得分</w:t>
            </w:r>
            <w:r>
              <w:rPr>
                <w:rFonts w:ascii="Times New Roman" w:hAnsi="Times New Roman" w:eastAsia="宋体" w:cs="Times New Roman"/>
                <w:sz w:val="15"/>
                <w:szCs w:val="15"/>
              </w:rPr>
              <w:t>=</w:t>
            </w:r>
            <w:r>
              <w:rPr>
                <w:rFonts w:ascii="Times New Roman" w:hAnsi="宋体" w:eastAsia="宋体" w:cs="Times New Roman"/>
                <w:sz w:val="15"/>
                <w:szCs w:val="15"/>
              </w:rPr>
              <w:t>办结率</w:t>
            </w:r>
            <w:r>
              <w:rPr>
                <w:rFonts w:ascii="Times New Roman" w:hAnsi="Times New Roman" w:eastAsia="宋体" w:cs="Times New Roman"/>
                <w:sz w:val="15"/>
                <w:szCs w:val="15"/>
              </w:rPr>
              <w:t>×6</w:t>
            </w:r>
            <w:r>
              <w:rPr>
                <w:rFonts w:ascii="Times New Roman" w:hAnsi="宋体" w:eastAsia="宋体" w:cs="Times New Roman"/>
                <w:sz w:val="15"/>
                <w:szCs w:val="15"/>
              </w:rPr>
              <w:t>分。</w:t>
            </w:r>
          </w:p>
        </w:tc>
        <w:tc>
          <w:tcPr>
            <w:tcW w:w="528" w:type="pct"/>
            <w:shd w:val="clear" w:color="auto" w:fill="auto"/>
            <w:vAlign w:val="center"/>
          </w:tcPr>
          <w:p w14:paraId="73AC9695">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工作计划和工作总结等相关资料</w:t>
            </w:r>
          </w:p>
        </w:tc>
        <w:tc>
          <w:tcPr>
            <w:tcW w:w="251" w:type="pct"/>
            <w:shd w:val="clear" w:color="auto" w:fill="auto"/>
            <w:vAlign w:val="center"/>
          </w:tcPr>
          <w:p w14:paraId="3502209A">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6</w:t>
            </w:r>
          </w:p>
        </w:tc>
        <w:tc>
          <w:tcPr>
            <w:tcW w:w="251" w:type="pct"/>
            <w:shd w:val="clear" w:color="auto" w:fill="auto"/>
            <w:vAlign w:val="center"/>
          </w:tcPr>
          <w:p w14:paraId="70DB14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12CC495">
            <w:pPr>
              <w:overflowPunct/>
              <w:autoSpaceDE/>
              <w:autoSpaceDN/>
              <w:adjustRightInd/>
              <w:jc w:val="left"/>
              <w:rPr>
                <w:rFonts w:ascii="Times New Roman" w:hAnsi="Times New Roman" w:eastAsia="宋体" w:cs="Times New Roman"/>
                <w:sz w:val="15"/>
                <w:szCs w:val="15"/>
              </w:rPr>
            </w:pPr>
          </w:p>
        </w:tc>
      </w:tr>
      <w:tr w14:paraId="106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CB08FD8">
            <w:pPr>
              <w:overflowPunct/>
              <w:autoSpaceDE/>
              <w:autoSpaceDN/>
              <w:adjustRightInd/>
              <w:jc w:val="left"/>
              <w:rPr>
                <w:rFonts w:ascii="Times New Roman" w:hAnsi="Times New Roman" w:eastAsia="宋体" w:cs="Times New Roman"/>
                <w:sz w:val="15"/>
                <w:szCs w:val="15"/>
              </w:rPr>
            </w:pPr>
          </w:p>
        </w:tc>
        <w:tc>
          <w:tcPr>
            <w:tcW w:w="336" w:type="pct"/>
            <w:vMerge w:val="restart"/>
            <w:shd w:val="clear" w:color="auto" w:fill="auto"/>
            <w:vAlign w:val="center"/>
          </w:tcPr>
          <w:p w14:paraId="32EEB2BB">
            <w:pPr>
              <w:overflowPunct/>
              <w:autoSpaceDE/>
              <w:autoSpaceDN/>
              <w:adjustRightInd/>
              <w:jc w:val="left"/>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部门效果（</w:t>
            </w:r>
            <w:r>
              <w:rPr>
                <w:rFonts w:ascii="Times New Roman" w:hAnsi="Times New Roman" w:eastAsia="宋体" w:cs="Times New Roman"/>
                <w:sz w:val="15"/>
                <w:szCs w:val="15"/>
              </w:rPr>
              <w:t>20</w:t>
            </w:r>
            <w:r>
              <w:rPr>
                <w:rFonts w:ascii="Times New Roman" w:hAnsi="宋体" w:eastAsia="宋体" w:cs="Times New Roman"/>
                <w:sz w:val="15"/>
                <w:szCs w:val="15"/>
              </w:rPr>
              <w:t>分）</w:t>
            </w:r>
          </w:p>
        </w:tc>
        <w:tc>
          <w:tcPr>
            <w:tcW w:w="527" w:type="pct"/>
            <w:shd w:val="clear" w:color="auto" w:fill="auto"/>
            <w:vAlign w:val="center"/>
          </w:tcPr>
          <w:p w14:paraId="7DC3921A">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1.</w:t>
            </w:r>
            <w:r>
              <w:rPr>
                <w:rFonts w:ascii="Times New Roman" w:hAnsi="宋体" w:eastAsia="宋体" w:cs="Times New Roman"/>
                <w:sz w:val="15"/>
                <w:szCs w:val="15"/>
              </w:rPr>
              <w:t>经济效益（</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240" w:type="pct"/>
            <w:shd w:val="clear" w:color="auto" w:fill="auto"/>
            <w:vAlign w:val="center"/>
          </w:tcPr>
          <w:p w14:paraId="49CAA7F0">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671" w:type="pct"/>
            <w:shd w:val="clear" w:color="auto" w:fill="auto"/>
            <w:vAlign w:val="center"/>
          </w:tcPr>
          <w:p w14:paraId="51AA6AEF">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部门履行职责对经济发展所带来的直接或间接影响。</w:t>
            </w:r>
          </w:p>
        </w:tc>
        <w:tc>
          <w:tcPr>
            <w:tcW w:w="769" w:type="pct"/>
            <w:shd w:val="clear" w:color="auto" w:fill="auto"/>
            <w:vAlign w:val="center"/>
          </w:tcPr>
          <w:p w14:paraId="5D41B0DD">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部门履行职责对经济发展所带来的直接或间接影响，经济效益实现程度较直接影响较大得分（</w:t>
            </w:r>
            <w:r>
              <w:rPr>
                <w:rFonts w:ascii="Times New Roman" w:hAnsi="Times New Roman" w:eastAsia="宋体" w:cs="Times New Roman"/>
                <w:sz w:val="15"/>
                <w:szCs w:val="15"/>
              </w:rPr>
              <w:t>3</w:t>
            </w:r>
            <w:r>
              <w:rPr>
                <w:rFonts w:ascii="Times New Roman" w:hAnsi="宋体" w:eastAsia="宋体" w:cs="Times New Roman"/>
                <w:sz w:val="15"/>
                <w:szCs w:val="15"/>
              </w:rPr>
              <w:t>分）。</w:t>
            </w:r>
          </w:p>
        </w:tc>
        <w:tc>
          <w:tcPr>
            <w:tcW w:w="528" w:type="pct"/>
            <w:shd w:val="clear" w:color="auto" w:fill="auto"/>
            <w:vAlign w:val="center"/>
          </w:tcPr>
          <w:p w14:paraId="6F30486E">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468151CF">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w:t>
            </w:r>
          </w:p>
        </w:tc>
        <w:tc>
          <w:tcPr>
            <w:tcW w:w="251" w:type="pct"/>
            <w:shd w:val="clear" w:color="auto" w:fill="auto"/>
            <w:vAlign w:val="center"/>
          </w:tcPr>
          <w:p w14:paraId="50758080">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6E7B6187">
            <w:pPr>
              <w:overflowPunct/>
              <w:autoSpaceDE/>
              <w:autoSpaceDN/>
              <w:adjustRightInd/>
              <w:jc w:val="left"/>
              <w:rPr>
                <w:rFonts w:ascii="Times New Roman" w:hAnsi="Times New Roman" w:eastAsia="宋体" w:cs="Times New Roman"/>
                <w:sz w:val="15"/>
                <w:szCs w:val="15"/>
              </w:rPr>
            </w:pPr>
          </w:p>
        </w:tc>
      </w:tr>
      <w:tr w14:paraId="3569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B10119C">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3D7DF9C0">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57C4262">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2.</w:t>
            </w:r>
            <w:r>
              <w:rPr>
                <w:rFonts w:ascii="Times New Roman" w:hAnsi="宋体" w:eastAsia="宋体" w:cs="Times New Roman"/>
                <w:sz w:val="15"/>
                <w:szCs w:val="15"/>
              </w:rPr>
              <w:t>社会效益（</w:t>
            </w:r>
            <w:r>
              <w:rPr>
                <w:rFonts w:ascii="Times New Roman" w:hAnsi="Times New Roman" w:eastAsia="宋体" w:cs="Times New Roman"/>
                <w:sz w:val="15"/>
                <w:szCs w:val="15"/>
              </w:rPr>
              <w:t>10</w:t>
            </w:r>
            <w:r>
              <w:rPr>
                <w:rFonts w:ascii="Times New Roman" w:hAnsi="宋体" w:eastAsia="宋体" w:cs="Times New Roman"/>
                <w:sz w:val="15"/>
                <w:szCs w:val="15"/>
              </w:rPr>
              <w:t>分）</w:t>
            </w:r>
          </w:p>
        </w:tc>
        <w:tc>
          <w:tcPr>
            <w:tcW w:w="240" w:type="pct"/>
            <w:shd w:val="clear" w:color="auto" w:fill="auto"/>
            <w:vAlign w:val="center"/>
          </w:tcPr>
          <w:p w14:paraId="379C5859">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671" w:type="pct"/>
            <w:shd w:val="clear" w:color="auto" w:fill="auto"/>
            <w:vAlign w:val="center"/>
          </w:tcPr>
          <w:p w14:paraId="267D6144">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部门履行职责对社会发展所带来的直接或间接影响。</w:t>
            </w:r>
          </w:p>
        </w:tc>
        <w:tc>
          <w:tcPr>
            <w:tcW w:w="769" w:type="pct"/>
            <w:shd w:val="clear" w:color="auto" w:fill="auto"/>
            <w:vAlign w:val="center"/>
          </w:tcPr>
          <w:p w14:paraId="09D064A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部门履行职责对社会发展所带来的直接或间接影响，社会效益实现程度较直接影响较大得分（</w:t>
            </w:r>
            <w:r>
              <w:rPr>
                <w:rFonts w:ascii="Times New Roman" w:hAnsi="Times New Roman" w:eastAsia="宋体" w:cs="Times New Roman"/>
                <w:sz w:val="15"/>
                <w:szCs w:val="15"/>
              </w:rPr>
              <w:t>10</w:t>
            </w:r>
            <w:r>
              <w:rPr>
                <w:rFonts w:ascii="Times New Roman" w:hAnsi="宋体" w:eastAsia="宋体" w:cs="Times New Roman"/>
                <w:sz w:val="15"/>
                <w:szCs w:val="15"/>
              </w:rPr>
              <w:t>分）；</w:t>
            </w:r>
          </w:p>
        </w:tc>
        <w:tc>
          <w:tcPr>
            <w:tcW w:w="528" w:type="pct"/>
            <w:shd w:val="clear" w:color="auto" w:fill="auto"/>
            <w:vAlign w:val="center"/>
          </w:tcPr>
          <w:p w14:paraId="31838511">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6A97FD37">
            <w:pPr>
              <w:overflowPunct/>
              <w:autoSpaceDE/>
              <w:autoSpaceDN/>
              <w:adjustRightInd/>
              <w:jc w:val="cente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10</w:t>
            </w:r>
          </w:p>
        </w:tc>
        <w:tc>
          <w:tcPr>
            <w:tcW w:w="251" w:type="pct"/>
            <w:shd w:val="clear" w:color="auto" w:fill="auto"/>
            <w:vAlign w:val="center"/>
          </w:tcPr>
          <w:p w14:paraId="221B9711">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494227F1">
            <w:pPr>
              <w:overflowPunct/>
              <w:autoSpaceDE/>
              <w:autoSpaceDN/>
              <w:adjustRightInd/>
              <w:jc w:val="left"/>
              <w:rPr>
                <w:rFonts w:ascii="Times New Roman" w:hAnsi="Times New Roman" w:eastAsia="宋体" w:cs="Times New Roman"/>
                <w:sz w:val="15"/>
                <w:szCs w:val="15"/>
              </w:rPr>
            </w:pPr>
          </w:p>
        </w:tc>
      </w:tr>
      <w:tr w14:paraId="3F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14:paraId="13636E50">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0FDB3918">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2E37581F">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3.</w:t>
            </w:r>
            <w:r>
              <w:rPr>
                <w:rFonts w:ascii="Times New Roman" w:hAnsi="宋体" w:eastAsia="宋体" w:cs="Times New Roman"/>
                <w:sz w:val="15"/>
                <w:szCs w:val="15"/>
              </w:rPr>
              <w:t>生态效益（</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240" w:type="pct"/>
            <w:shd w:val="clear" w:color="auto" w:fill="auto"/>
            <w:vAlign w:val="center"/>
          </w:tcPr>
          <w:p w14:paraId="09093BD2">
            <w:pPr>
              <w:overflowPunct/>
              <w:autoSpaceDE/>
              <w:autoSpaceDN/>
              <w:adjustRightInd/>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671" w:type="pct"/>
            <w:shd w:val="clear" w:color="auto" w:fill="auto"/>
            <w:vAlign w:val="center"/>
          </w:tcPr>
          <w:p w14:paraId="3914F564">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部门履行职责对生态环境所带来的直接或间接影响。</w:t>
            </w:r>
          </w:p>
        </w:tc>
        <w:tc>
          <w:tcPr>
            <w:tcW w:w="769" w:type="pct"/>
            <w:shd w:val="clear" w:color="auto" w:fill="auto"/>
            <w:vAlign w:val="center"/>
          </w:tcPr>
          <w:p w14:paraId="42ACFBB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部门履行职责对生态环境所带来的直接或间接影响，生态效益实现程度较直接影响较大得分（</w:t>
            </w:r>
            <w:r>
              <w:rPr>
                <w:rFonts w:ascii="Times New Roman" w:hAnsi="Times New Roman" w:eastAsia="宋体" w:cs="Times New Roman"/>
                <w:sz w:val="15"/>
                <w:szCs w:val="15"/>
              </w:rPr>
              <w:t>2</w:t>
            </w:r>
            <w:r>
              <w:rPr>
                <w:rFonts w:ascii="Times New Roman" w:hAnsi="宋体" w:eastAsia="宋体" w:cs="Times New Roman"/>
                <w:sz w:val="15"/>
                <w:szCs w:val="15"/>
              </w:rPr>
              <w:t>分）。</w:t>
            </w:r>
          </w:p>
        </w:tc>
        <w:tc>
          <w:tcPr>
            <w:tcW w:w="528" w:type="pct"/>
            <w:shd w:val="clear" w:color="auto" w:fill="auto"/>
            <w:vAlign w:val="center"/>
          </w:tcPr>
          <w:p w14:paraId="01EC594F">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绩效目标、工作计划和工作总结等相关资料。</w:t>
            </w:r>
          </w:p>
        </w:tc>
        <w:tc>
          <w:tcPr>
            <w:tcW w:w="251" w:type="pct"/>
            <w:shd w:val="clear" w:color="auto" w:fill="auto"/>
            <w:vAlign w:val="center"/>
          </w:tcPr>
          <w:p w14:paraId="24A634D5">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251" w:type="pct"/>
            <w:shd w:val="clear" w:color="auto" w:fill="auto"/>
            <w:vAlign w:val="center"/>
          </w:tcPr>
          <w:p w14:paraId="0BA05B1A">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0950B907">
            <w:pPr>
              <w:overflowPunct/>
              <w:autoSpaceDE/>
              <w:autoSpaceDN/>
              <w:adjustRightInd/>
              <w:jc w:val="left"/>
              <w:rPr>
                <w:rFonts w:ascii="Times New Roman" w:hAnsi="Times New Roman" w:eastAsia="宋体" w:cs="Times New Roman"/>
                <w:sz w:val="15"/>
                <w:szCs w:val="15"/>
              </w:rPr>
            </w:pPr>
          </w:p>
        </w:tc>
      </w:tr>
      <w:tr w14:paraId="4036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14:paraId="3E2F234B">
            <w:pPr>
              <w:overflowPunct/>
              <w:autoSpaceDE/>
              <w:autoSpaceDN/>
              <w:adjustRightInd/>
              <w:jc w:val="left"/>
              <w:rPr>
                <w:rFonts w:ascii="Times New Roman" w:hAnsi="Times New Roman" w:eastAsia="宋体" w:cs="Times New Roman"/>
                <w:sz w:val="15"/>
                <w:szCs w:val="15"/>
              </w:rPr>
            </w:pPr>
          </w:p>
        </w:tc>
        <w:tc>
          <w:tcPr>
            <w:tcW w:w="336" w:type="pct"/>
            <w:vMerge w:val="continue"/>
            <w:vAlign w:val="center"/>
          </w:tcPr>
          <w:p w14:paraId="54E29807">
            <w:pPr>
              <w:overflowPunct/>
              <w:autoSpaceDE/>
              <w:autoSpaceDN/>
              <w:adjustRightInd/>
              <w:jc w:val="left"/>
              <w:rPr>
                <w:rFonts w:ascii="Times New Roman" w:hAnsi="Times New Roman" w:eastAsia="宋体" w:cs="Times New Roman"/>
                <w:sz w:val="15"/>
                <w:szCs w:val="15"/>
              </w:rPr>
            </w:pPr>
          </w:p>
        </w:tc>
        <w:tc>
          <w:tcPr>
            <w:tcW w:w="527" w:type="pct"/>
            <w:shd w:val="clear" w:color="auto" w:fill="auto"/>
            <w:vAlign w:val="center"/>
          </w:tcPr>
          <w:p w14:paraId="1C122AB1">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4.</w:t>
            </w:r>
            <w:r>
              <w:rPr>
                <w:rFonts w:ascii="Times New Roman" w:hAnsi="宋体" w:eastAsia="宋体" w:cs="Times New Roman"/>
                <w:sz w:val="15"/>
                <w:szCs w:val="15"/>
              </w:rPr>
              <w:t>社会公众或服务对象满意度（</w:t>
            </w:r>
            <w:r>
              <w:rPr>
                <w:rFonts w:ascii="Times New Roman" w:hAnsi="Times New Roman" w:eastAsia="宋体" w:cs="Times New Roman"/>
                <w:sz w:val="15"/>
                <w:szCs w:val="15"/>
              </w:rPr>
              <w:t>5</w:t>
            </w:r>
            <w:r>
              <w:rPr>
                <w:rFonts w:ascii="Times New Roman" w:hAnsi="宋体" w:eastAsia="宋体" w:cs="Times New Roman"/>
                <w:sz w:val="15"/>
                <w:szCs w:val="15"/>
              </w:rPr>
              <w:t>分）</w:t>
            </w:r>
          </w:p>
        </w:tc>
        <w:tc>
          <w:tcPr>
            <w:tcW w:w="240" w:type="pct"/>
            <w:shd w:val="clear" w:color="auto" w:fill="auto"/>
            <w:vAlign w:val="center"/>
          </w:tcPr>
          <w:p w14:paraId="3E074DAD">
            <w:pPr>
              <w:overflowPunct/>
              <w:autoSpaceDE/>
              <w:autoSpaceDN/>
              <w:adjustRightInd/>
              <w:jc w:val="center"/>
              <w:rPr>
                <w:rFonts w:ascii="Times New Roman" w:hAnsi="Times New Roman" w:eastAsia="宋体" w:cs="Times New Roman"/>
                <w:sz w:val="15"/>
                <w:szCs w:val="15"/>
              </w:rPr>
            </w:pPr>
            <w:r>
              <w:rPr>
                <w:rFonts w:ascii="Times New Roman" w:hAnsi="Times New Roman" w:eastAsia="宋体" w:cs="Times New Roman"/>
                <w:sz w:val="15"/>
                <w:szCs w:val="15"/>
              </w:rPr>
              <w:t>5</w:t>
            </w:r>
          </w:p>
        </w:tc>
        <w:tc>
          <w:tcPr>
            <w:tcW w:w="671" w:type="pct"/>
            <w:shd w:val="clear" w:color="auto" w:fill="auto"/>
            <w:vAlign w:val="center"/>
          </w:tcPr>
          <w:p w14:paraId="1DF2837B">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社会公众或部门的服务对象对部门履职效果的满意程度。</w:t>
            </w:r>
          </w:p>
        </w:tc>
        <w:tc>
          <w:tcPr>
            <w:tcW w:w="769" w:type="pct"/>
            <w:shd w:val="clear" w:color="auto" w:fill="auto"/>
            <w:vAlign w:val="center"/>
          </w:tcPr>
          <w:p w14:paraId="59DC48CC">
            <w:pPr>
              <w:overflowPunct/>
              <w:autoSpaceDE/>
              <w:autoSpaceDN/>
              <w:adjustRightInd/>
              <w:rPr>
                <w:rFonts w:ascii="Times New Roman" w:hAnsi="Times New Roman" w:eastAsia="宋体" w:cs="Times New Roman"/>
                <w:sz w:val="15"/>
                <w:szCs w:val="15"/>
              </w:rPr>
            </w:pPr>
            <w:r>
              <w:rPr>
                <w:rFonts w:ascii="Times New Roman" w:hAnsi="宋体" w:eastAsia="宋体" w:cs="Times New Roman"/>
                <w:sz w:val="15"/>
                <w:szCs w:val="15"/>
              </w:rPr>
              <w:t>按收集到的服务对象的满意率计算得分达到</w:t>
            </w:r>
            <w:r>
              <w:rPr>
                <w:rFonts w:ascii="Times New Roman" w:hAnsi="Times New Roman" w:eastAsia="宋体" w:cs="Times New Roman"/>
                <w:sz w:val="15"/>
                <w:szCs w:val="15"/>
              </w:rPr>
              <w:t>90%</w:t>
            </w:r>
            <w:r>
              <w:rPr>
                <w:rFonts w:ascii="Times New Roman" w:hAnsi="宋体" w:eastAsia="宋体" w:cs="Times New Roman"/>
                <w:sz w:val="15"/>
                <w:szCs w:val="15"/>
              </w:rPr>
              <w:t>以上，得</w:t>
            </w:r>
            <w:r>
              <w:rPr>
                <w:rFonts w:ascii="Times New Roman" w:hAnsi="Times New Roman" w:eastAsia="宋体" w:cs="Times New Roman"/>
                <w:sz w:val="15"/>
                <w:szCs w:val="15"/>
              </w:rPr>
              <w:t>5</w:t>
            </w:r>
            <w:r>
              <w:rPr>
                <w:rFonts w:ascii="Times New Roman" w:hAnsi="宋体" w:eastAsia="宋体" w:cs="Times New Roman"/>
                <w:sz w:val="15"/>
                <w:szCs w:val="15"/>
              </w:rPr>
              <w:t>分；每小</w:t>
            </w:r>
            <w:r>
              <w:rPr>
                <w:rFonts w:ascii="Times New Roman" w:hAnsi="Times New Roman" w:eastAsia="宋体" w:cs="Times New Roman"/>
                <w:sz w:val="15"/>
                <w:szCs w:val="15"/>
              </w:rPr>
              <w:t>1%</w:t>
            </w:r>
            <w:r>
              <w:rPr>
                <w:rFonts w:ascii="Times New Roman" w:hAnsi="宋体" w:eastAsia="宋体" w:cs="Times New Roman"/>
                <w:sz w:val="15"/>
                <w:szCs w:val="15"/>
              </w:rPr>
              <w:t>，扣</w:t>
            </w:r>
            <w:r>
              <w:rPr>
                <w:rFonts w:ascii="Times New Roman" w:hAnsi="Times New Roman" w:eastAsia="宋体" w:cs="Times New Roman"/>
                <w:sz w:val="15"/>
                <w:szCs w:val="15"/>
              </w:rPr>
              <w:t>1</w:t>
            </w:r>
            <w:r>
              <w:rPr>
                <w:rFonts w:ascii="Times New Roman" w:hAnsi="宋体" w:eastAsia="宋体" w:cs="Times New Roman"/>
                <w:sz w:val="15"/>
                <w:szCs w:val="15"/>
              </w:rPr>
              <w:t>分，扣完为。。</w:t>
            </w:r>
          </w:p>
        </w:tc>
        <w:tc>
          <w:tcPr>
            <w:tcW w:w="528" w:type="pct"/>
            <w:shd w:val="clear" w:color="auto" w:fill="auto"/>
            <w:vAlign w:val="center"/>
          </w:tcPr>
          <w:p w14:paraId="6CBF6E40">
            <w:pPr>
              <w:overflowPunct/>
              <w:autoSpaceDE/>
              <w:autoSpaceDN/>
              <w:adjustRightInd/>
              <w:jc w:val="left"/>
              <w:rPr>
                <w:rFonts w:ascii="Times New Roman" w:hAnsi="Times New Roman" w:eastAsia="宋体" w:cs="Times New Roman"/>
                <w:sz w:val="15"/>
                <w:szCs w:val="15"/>
              </w:rPr>
            </w:pPr>
            <w:r>
              <w:rPr>
                <w:rFonts w:ascii="Times New Roman" w:hAnsi="宋体" w:eastAsia="宋体" w:cs="Times New Roman"/>
                <w:sz w:val="15"/>
                <w:szCs w:val="15"/>
              </w:rPr>
              <w:t>问卷调查、访谈</w:t>
            </w:r>
          </w:p>
        </w:tc>
        <w:tc>
          <w:tcPr>
            <w:tcW w:w="251" w:type="pct"/>
            <w:shd w:val="clear" w:color="auto" w:fill="auto"/>
            <w:vAlign w:val="center"/>
          </w:tcPr>
          <w:p w14:paraId="5DE50FCB">
            <w:pPr>
              <w:overflowPunct/>
              <w:autoSpaceDE/>
              <w:autoSpaceDN/>
              <w:adjustRightInd/>
              <w:jc w:val="cente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5</w:t>
            </w:r>
          </w:p>
        </w:tc>
        <w:tc>
          <w:tcPr>
            <w:tcW w:w="251" w:type="pct"/>
            <w:shd w:val="clear" w:color="auto" w:fill="auto"/>
            <w:vAlign w:val="center"/>
          </w:tcPr>
          <w:p w14:paraId="6AFBE733">
            <w:pPr>
              <w:overflowPunct/>
              <w:autoSpaceDE/>
              <w:autoSpaceDN/>
              <w:adjustRightInd/>
              <w:jc w:val="center"/>
              <w:rPr>
                <w:rFonts w:ascii="Times New Roman" w:hAnsi="Times New Roman" w:eastAsia="宋体" w:cs="Times New Roman"/>
                <w:sz w:val="15"/>
                <w:szCs w:val="15"/>
              </w:rPr>
            </w:pPr>
          </w:p>
        </w:tc>
        <w:tc>
          <w:tcPr>
            <w:tcW w:w="1103" w:type="pct"/>
            <w:shd w:val="clear" w:color="auto" w:fill="auto"/>
            <w:vAlign w:val="center"/>
          </w:tcPr>
          <w:p w14:paraId="50C6524F">
            <w:pPr>
              <w:overflowPunct/>
              <w:autoSpaceDE/>
              <w:autoSpaceDN/>
              <w:adjustRightInd/>
              <w:jc w:val="left"/>
              <w:rPr>
                <w:rFonts w:ascii="Times New Roman" w:hAnsi="Times New Roman" w:eastAsia="宋体" w:cs="Times New Roman"/>
                <w:sz w:val="15"/>
                <w:szCs w:val="15"/>
              </w:rPr>
            </w:pPr>
          </w:p>
        </w:tc>
      </w:tr>
      <w:tr w14:paraId="29B6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60" w:type="pct"/>
            <w:gridSpan w:val="2"/>
            <w:shd w:val="clear" w:color="auto" w:fill="auto"/>
            <w:vAlign w:val="center"/>
          </w:tcPr>
          <w:p w14:paraId="227F17B3">
            <w:pPr>
              <w:overflowPunct/>
              <w:autoSpaceDE/>
              <w:autoSpaceDN/>
              <w:adjustRightInd/>
              <w:jc w:val="center"/>
              <w:rPr>
                <w:rFonts w:ascii="Times New Roman" w:hAnsi="Times New Roman" w:eastAsia="宋体" w:cs="Times New Roman"/>
                <w:b/>
                <w:bCs/>
                <w:sz w:val="15"/>
                <w:szCs w:val="15"/>
              </w:rPr>
            </w:pPr>
            <w:r>
              <w:rPr>
                <w:rFonts w:ascii="Times New Roman" w:hAnsi="宋体" w:eastAsia="宋体" w:cs="Times New Roman"/>
                <w:b/>
                <w:bCs/>
                <w:sz w:val="15"/>
                <w:szCs w:val="15"/>
              </w:rPr>
              <w:t>合计</w:t>
            </w:r>
          </w:p>
        </w:tc>
        <w:tc>
          <w:tcPr>
            <w:tcW w:w="527" w:type="pct"/>
            <w:shd w:val="clear" w:color="auto" w:fill="auto"/>
            <w:vAlign w:val="center"/>
          </w:tcPr>
          <w:p w14:paraId="7E93E6C9">
            <w:pPr>
              <w:overflowPunct/>
              <w:autoSpaceDE/>
              <w:autoSpaceDN/>
              <w:adjustRightInd/>
              <w:jc w:val="center"/>
              <w:rPr>
                <w:rFonts w:ascii="Times New Roman" w:hAnsi="Times New Roman" w:eastAsia="宋体" w:cs="Times New Roman"/>
                <w:b/>
                <w:bCs/>
                <w:sz w:val="15"/>
                <w:szCs w:val="15"/>
              </w:rPr>
            </w:pPr>
          </w:p>
        </w:tc>
        <w:tc>
          <w:tcPr>
            <w:tcW w:w="240" w:type="pct"/>
            <w:shd w:val="clear" w:color="auto" w:fill="auto"/>
            <w:vAlign w:val="center"/>
          </w:tcPr>
          <w:p w14:paraId="13E38E5F">
            <w:pPr>
              <w:overflowPunct/>
              <w:autoSpaceDE/>
              <w:autoSpaceDN/>
              <w:adjustRightInd/>
              <w:jc w:val="center"/>
              <w:rPr>
                <w:rFonts w:ascii="Times New Roman" w:hAnsi="Times New Roman" w:eastAsia="宋体" w:cs="Times New Roman"/>
                <w:b/>
                <w:bCs/>
                <w:sz w:val="15"/>
                <w:szCs w:val="15"/>
              </w:rPr>
            </w:pPr>
            <w:r>
              <w:rPr>
                <w:rFonts w:ascii="Times New Roman" w:hAnsi="Times New Roman" w:eastAsia="宋体" w:cs="Times New Roman"/>
                <w:b/>
                <w:bCs/>
                <w:sz w:val="15"/>
                <w:szCs w:val="15"/>
              </w:rPr>
              <w:t>100</w:t>
            </w:r>
          </w:p>
        </w:tc>
        <w:tc>
          <w:tcPr>
            <w:tcW w:w="1968" w:type="pct"/>
            <w:gridSpan w:val="3"/>
            <w:shd w:val="clear" w:color="auto" w:fill="auto"/>
            <w:vAlign w:val="center"/>
          </w:tcPr>
          <w:p w14:paraId="2E90E6EA">
            <w:pPr>
              <w:overflowPunct/>
              <w:autoSpaceDE/>
              <w:autoSpaceDN/>
              <w:adjustRightInd/>
              <w:jc w:val="left"/>
              <w:rPr>
                <w:rFonts w:ascii="Times New Roman" w:hAnsi="Times New Roman" w:eastAsia="宋体" w:cs="Times New Roman"/>
                <w:b/>
                <w:bCs/>
                <w:sz w:val="15"/>
                <w:szCs w:val="15"/>
              </w:rPr>
            </w:pPr>
            <w:r>
              <w:rPr>
                <w:rFonts w:ascii="Times New Roman" w:hAnsi="宋体" w:eastAsia="宋体" w:cs="Times New Roman"/>
                <w:b/>
                <w:bCs/>
                <w:sz w:val="15"/>
                <w:szCs w:val="15"/>
              </w:rPr>
              <w:t>　</w:t>
            </w:r>
          </w:p>
        </w:tc>
        <w:tc>
          <w:tcPr>
            <w:tcW w:w="251" w:type="pct"/>
            <w:shd w:val="clear" w:color="auto" w:fill="auto"/>
            <w:vAlign w:val="center"/>
          </w:tcPr>
          <w:p w14:paraId="7B9E0860">
            <w:pPr>
              <w:overflowPunct/>
              <w:autoSpaceDE/>
              <w:autoSpaceDN/>
              <w:adjustRightInd/>
              <w:jc w:val="center"/>
              <w:rPr>
                <w:rFonts w:hint="default" w:ascii="Times New Roman" w:hAnsi="Times New Roman" w:eastAsia="宋体" w:cs="Times New Roman"/>
                <w:b/>
                <w:bCs/>
                <w:sz w:val="15"/>
                <w:szCs w:val="15"/>
                <w:lang w:val="en-US" w:eastAsia="zh-CN"/>
              </w:rPr>
            </w:pPr>
            <w:r>
              <w:rPr>
                <w:rFonts w:hint="eastAsia" w:ascii="Times New Roman" w:hAnsi="Times New Roman" w:eastAsia="宋体" w:cs="Times New Roman"/>
                <w:b/>
                <w:bCs/>
                <w:sz w:val="15"/>
                <w:szCs w:val="15"/>
                <w:lang w:val="en-US" w:eastAsia="zh-CN"/>
              </w:rPr>
              <w:t>100</w:t>
            </w:r>
          </w:p>
        </w:tc>
        <w:tc>
          <w:tcPr>
            <w:tcW w:w="251" w:type="pct"/>
            <w:shd w:val="clear" w:color="auto" w:fill="auto"/>
            <w:vAlign w:val="center"/>
          </w:tcPr>
          <w:p w14:paraId="539F3FFF">
            <w:pPr>
              <w:overflowPunct/>
              <w:autoSpaceDE/>
              <w:autoSpaceDN/>
              <w:adjustRightInd/>
              <w:jc w:val="center"/>
              <w:rPr>
                <w:rFonts w:ascii="Times New Roman" w:hAnsi="Times New Roman" w:eastAsia="宋体" w:cs="Times New Roman"/>
                <w:b/>
                <w:bCs/>
                <w:sz w:val="15"/>
                <w:szCs w:val="15"/>
              </w:rPr>
            </w:pPr>
          </w:p>
        </w:tc>
        <w:tc>
          <w:tcPr>
            <w:tcW w:w="1103" w:type="pct"/>
            <w:shd w:val="clear" w:color="auto" w:fill="auto"/>
            <w:noWrap/>
            <w:vAlign w:val="center"/>
          </w:tcPr>
          <w:p w14:paraId="46289330">
            <w:pPr>
              <w:overflowPunct/>
              <w:autoSpaceDE/>
              <w:autoSpaceDN/>
              <w:adjustRightInd/>
              <w:jc w:val="left"/>
              <w:rPr>
                <w:rFonts w:ascii="Times New Roman" w:hAnsi="Times New Roman" w:eastAsia="宋体" w:cs="Times New Roman"/>
                <w:b/>
                <w:bCs/>
                <w:sz w:val="15"/>
                <w:szCs w:val="15"/>
              </w:rPr>
            </w:pPr>
            <w:r>
              <w:rPr>
                <w:rFonts w:ascii="Times New Roman" w:hAnsi="宋体" w:eastAsia="宋体" w:cs="Times New Roman"/>
                <w:b/>
                <w:bCs/>
                <w:sz w:val="15"/>
                <w:szCs w:val="15"/>
              </w:rPr>
              <w:t>　</w:t>
            </w:r>
          </w:p>
        </w:tc>
      </w:tr>
    </w:tbl>
    <w:p w14:paraId="1EA63944">
      <w:pPr>
        <w:topLinePunct/>
        <w:spacing w:line="54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5B3863"/>
    <w:rsid w:val="007E77B9"/>
    <w:rsid w:val="0087492D"/>
    <w:rsid w:val="008F7E56"/>
    <w:rsid w:val="00A34092"/>
    <w:rsid w:val="00C040C7"/>
    <w:rsid w:val="00C44CFA"/>
    <w:rsid w:val="00DE6A66"/>
    <w:rsid w:val="00F5756A"/>
    <w:rsid w:val="00FE0C9E"/>
    <w:rsid w:val="099A7F50"/>
    <w:rsid w:val="0CFE2282"/>
    <w:rsid w:val="11B151E4"/>
    <w:rsid w:val="12927D71"/>
    <w:rsid w:val="1304620D"/>
    <w:rsid w:val="17B04D98"/>
    <w:rsid w:val="17F378CF"/>
    <w:rsid w:val="181C2CD5"/>
    <w:rsid w:val="1F631F5A"/>
    <w:rsid w:val="24343749"/>
    <w:rsid w:val="32CB43AC"/>
    <w:rsid w:val="34D42939"/>
    <w:rsid w:val="35D35940"/>
    <w:rsid w:val="3DC46AA6"/>
    <w:rsid w:val="40292E53"/>
    <w:rsid w:val="477F63B4"/>
    <w:rsid w:val="49BF7D77"/>
    <w:rsid w:val="49EF799B"/>
    <w:rsid w:val="57485B83"/>
    <w:rsid w:val="59E4713A"/>
    <w:rsid w:val="5F2F4A7A"/>
    <w:rsid w:val="617E2781"/>
    <w:rsid w:val="6F951797"/>
    <w:rsid w:val="70FE44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w:hAnsi="Calibri" w:eastAsia="Calibr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1328</Words>
  <Characters>1391</Characters>
  <Lines>2</Lines>
  <Paragraphs>1</Paragraphs>
  <TotalTime>30</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踏雪</cp:lastModifiedBy>
  <dcterms:modified xsi:type="dcterms:W3CDTF">2026-04-02T01:22:42Z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eyJoZGlkIjoiMDEwZDI2YTgxMDRjMmRjN2U4NmM1ZDc2MDQzYzlmOTIiLCJ1c2VySWQiOiIxMTQyNzM0NTU1In0=</vt:lpwstr>
  </property>
  <property fmtid="{D5CDD505-2E9C-101B-9397-08002B2CF9AE}" pid="4" name="ICV">
    <vt:lpwstr>DFBF60FEE65047D5828E55F40BC36CD7_13</vt:lpwstr>
  </property>
</Properties>
</file>