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4" w:lineRule="auto"/>
        <w:rPr>
          <w:rFonts w:ascii="Arial"/>
          <w:sz w:val="21"/>
        </w:rPr>
      </w:pPr>
    </w:p>
    <w:p>
      <w:pPr>
        <w:spacing w:line="284" w:lineRule="auto"/>
        <w:rPr>
          <w:rFonts w:ascii="Arial"/>
          <w:sz w:val="21"/>
        </w:rPr>
      </w:pPr>
    </w:p>
    <w:p>
      <w:pPr>
        <w:spacing w:before="167" w:line="214" w:lineRule="auto"/>
        <w:ind w:left="1504" w:right="1498" w:hanging="166"/>
        <w:jc w:val="both"/>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富民县科学技术和工业信息化局</w:t>
      </w:r>
      <w:r>
        <w:rPr>
          <w:rFonts w:ascii="Times New Roman" w:hAnsi="Times New Roman" w:eastAsia="Times New Roman" w:cs="Times New Roman"/>
          <w:spacing w:val="7"/>
          <w:sz w:val="43"/>
          <w:szCs w:val="43"/>
        </w:rPr>
        <w:t xml:space="preserve">2024 </w:t>
      </w:r>
      <w:r>
        <w:rPr>
          <w:rFonts w:ascii="方正小标宋简体" w:hAnsi="方正小标宋简体" w:eastAsia="方正小标宋简体" w:cs="方正小标宋简体"/>
          <w:spacing w:val="7"/>
          <w:sz w:val="43"/>
          <w:szCs w:val="43"/>
        </w:rPr>
        <w:t>年项目支出绩效评价报告</w:t>
      </w:r>
      <w:r>
        <w:rPr>
          <w:rFonts w:ascii="方正小标宋简体" w:hAnsi="方正小标宋简体" w:eastAsia="方正小标宋简体" w:cs="方正小标宋简体"/>
          <w:spacing w:val="14"/>
          <w:sz w:val="43"/>
          <w:szCs w:val="43"/>
        </w:rPr>
        <w:t>（磷石膏综合利用扶持方向）</w:t>
      </w:r>
    </w:p>
    <w:p>
      <w:pPr>
        <w:spacing w:line="467" w:lineRule="auto"/>
        <w:rPr>
          <w:rFonts w:ascii="Arial"/>
          <w:sz w:val="21"/>
        </w:rPr>
      </w:pPr>
    </w:p>
    <w:p>
      <w:pPr>
        <w:spacing w:before="101" w:line="228" w:lineRule="auto"/>
        <w:ind w:left="646"/>
        <w:outlineLvl w:val="0"/>
        <w:rPr>
          <w:rFonts w:ascii="黑体" w:hAnsi="黑体" w:eastAsia="黑体" w:cs="黑体"/>
          <w:sz w:val="31"/>
          <w:szCs w:val="31"/>
        </w:rPr>
      </w:pPr>
      <w:r>
        <w:rPr>
          <w:rFonts w:ascii="黑体" w:hAnsi="黑体" w:eastAsia="黑体" w:cs="黑体"/>
          <w:spacing w:val="7"/>
          <w:sz w:val="31"/>
          <w:szCs w:val="31"/>
        </w:rPr>
        <w:t>一、基本情况</w:t>
      </w:r>
    </w:p>
    <w:p>
      <w:pPr>
        <w:spacing w:before="178" w:line="227" w:lineRule="auto"/>
        <w:ind w:left="633"/>
        <w:rPr>
          <w:rFonts w:ascii="KaiTi_GB2312" w:hAnsi="KaiTi_GB2312" w:eastAsia="KaiTi_GB2312" w:cs="KaiTi_GB2312"/>
          <w:sz w:val="31"/>
          <w:szCs w:val="31"/>
        </w:rPr>
      </w:pPr>
      <w:r>
        <w:rPr>
          <w:rFonts w:ascii="KaiTi_GB2312" w:hAnsi="KaiTi_GB2312" w:eastAsia="KaiTi_GB2312" w:cs="KaiTi_GB2312"/>
          <w:spacing w:val="9"/>
          <w:sz w:val="31"/>
          <w:szCs w:val="31"/>
        </w:rPr>
        <w:t>（一）项目概况</w:t>
      </w:r>
    </w:p>
    <w:p>
      <w:pPr>
        <w:pStyle w:val="2"/>
        <w:spacing w:before="131" w:line="325" w:lineRule="auto"/>
        <w:ind w:left="14" w:right="153" w:firstLine="651"/>
      </w:pPr>
      <w:r>
        <w:rPr>
          <w:rFonts w:ascii="Times New Roman" w:hAnsi="Times New Roman" w:eastAsia="Times New Roman" w:cs="Times New Roman"/>
          <w:spacing w:val="10"/>
        </w:rPr>
        <w:t>1.</w:t>
      </w:r>
      <w:r>
        <w:rPr>
          <w:spacing w:val="10"/>
        </w:rPr>
        <w:t>立项背景及目的：《昆明市财政局关于预下达</w:t>
      </w:r>
      <w:r>
        <w:rPr>
          <w:spacing w:val="-45"/>
        </w:rPr>
        <w:t xml:space="preserve"> </w:t>
      </w:r>
      <w:r>
        <w:rPr>
          <w:rFonts w:ascii="Times New Roman" w:hAnsi="Times New Roman" w:eastAsia="Times New Roman" w:cs="Times New Roman"/>
          <w:spacing w:val="10"/>
        </w:rPr>
        <w:t>2024</w:t>
      </w:r>
      <w:r>
        <w:rPr>
          <w:rFonts w:ascii="Times New Roman" w:hAnsi="Times New Roman" w:eastAsia="Times New Roman" w:cs="Times New Roman"/>
          <w:spacing w:val="24"/>
        </w:rPr>
        <w:t xml:space="preserve"> </w:t>
      </w:r>
      <w:r>
        <w:rPr>
          <w:spacing w:val="10"/>
        </w:rPr>
        <w:t>年度</w:t>
      </w:r>
      <w:r>
        <w:rPr>
          <w:spacing w:val="12"/>
        </w:rPr>
        <w:t>昆明市磷石膏综合利用补助资金的通知（</w:t>
      </w:r>
      <w:r>
        <w:rPr>
          <w:spacing w:val="-70"/>
        </w:rPr>
        <w:t xml:space="preserve"> </w:t>
      </w:r>
      <w:r>
        <w:rPr>
          <w:spacing w:val="12"/>
        </w:rPr>
        <w:t>昆财产业［</w:t>
      </w:r>
      <w:r>
        <w:fldChar w:fldCharType="begin"/>
      </w:r>
      <w:r>
        <w:instrText xml:space="preserve"> HYPERLINK \l "bookmark1" </w:instrText>
      </w:r>
      <w:r>
        <w:fldChar w:fldCharType="separate"/>
      </w:r>
      <w:r>
        <w:rPr>
          <w:rFonts w:ascii="Times New Roman" w:hAnsi="Times New Roman" w:eastAsia="Times New Roman" w:cs="Times New Roman"/>
          <w:spacing w:val="12"/>
        </w:rPr>
        <w:t>2024</w:t>
      </w:r>
      <w:r>
        <w:rPr>
          <w:rFonts w:ascii="Times New Roman" w:hAnsi="Times New Roman" w:eastAsia="Times New Roman" w:cs="Times New Roman"/>
          <w:spacing w:val="12"/>
        </w:rPr>
        <w:fldChar w:fldCharType="end"/>
      </w:r>
      <w:r>
        <w:rPr>
          <w:spacing w:val="12"/>
        </w:rPr>
        <w:t>］</w:t>
      </w:r>
      <w:r>
        <w:rPr>
          <w:rFonts w:ascii="Times New Roman" w:hAnsi="Times New Roman" w:eastAsia="Times New Roman" w:cs="Times New Roman"/>
          <w:spacing w:val="12"/>
        </w:rPr>
        <w:t>55</w:t>
      </w:r>
      <w:r>
        <w:rPr>
          <w:spacing w:val="3"/>
        </w:rPr>
        <w:t>号）》立项。</w:t>
      </w:r>
    </w:p>
    <w:p>
      <w:pPr>
        <w:pStyle w:val="2"/>
        <w:spacing w:before="41" w:line="327" w:lineRule="auto"/>
        <w:ind w:left="14" w:right="154" w:firstLine="621"/>
      </w:pPr>
      <w:r>
        <w:rPr>
          <w:rFonts w:ascii="Times New Roman" w:hAnsi="Times New Roman" w:eastAsia="Times New Roman" w:cs="Times New Roman"/>
          <w:spacing w:val="8"/>
        </w:rPr>
        <w:t>2.</w:t>
      </w:r>
      <w:r>
        <w:rPr>
          <w:spacing w:val="8"/>
        </w:rPr>
        <w:t>项目实施情况：云南磊新环保有限公司获得昆明</w:t>
      </w:r>
      <w:r>
        <w:rPr>
          <w:spacing w:val="7"/>
        </w:rPr>
        <w:t>市磷石膏</w:t>
      </w:r>
      <w:r>
        <w:rPr>
          <w:spacing w:val="3"/>
        </w:rPr>
        <w:t>综合利用奖补</w:t>
      </w:r>
      <w:r>
        <w:rPr>
          <w:spacing w:val="-54"/>
        </w:rPr>
        <w:t xml:space="preserve"> </w:t>
      </w:r>
      <w:r>
        <w:rPr>
          <w:rFonts w:ascii="Times New Roman" w:hAnsi="Times New Roman" w:eastAsia="Times New Roman" w:cs="Times New Roman"/>
          <w:spacing w:val="3"/>
        </w:rPr>
        <w:t>26.87</w:t>
      </w:r>
      <w:r>
        <w:rPr>
          <w:rFonts w:ascii="Times New Roman" w:hAnsi="Times New Roman" w:eastAsia="Times New Roman" w:cs="Times New Roman"/>
          <w:spacing w:val="33"/>
        </w:rPr>
        <w:t xml:space="preserve"> </w:t>
      </w:r>
      <w:r>
        <w:rPr>
          <w:spacing w:val="3"/>
        </w:rPr>
        <w:t>万元。</w:t>
      </w:r>
    </w:p>
    <w:p>
      <w:pPr>
        <w:spacing w:before="71" w:line="223" w:lineRule="auto"/>
        <w:ind w:left="633"/>
        <w:rPr>
          <w:rFonts w:ascii="KaiTi_GB2312" w:hAnsi="KaiTi_GB2312" w:eastAsia="KaiTi_GB2312" w:cs="KaiTi_GB2312"/>
          <w:sz w:val="31"/>
          <w:szCs w:val="31"/>
        </w:rPr>
      </w:pPr>
      <w:r>
        <w:rPr>
          <w:rFonts w:ascii="KaiTi_GB2312" w:hAnsi="KaiTi_GB2312" w:eastAsia="KaiTi_GB2312" w:cs="KaiTi_GB2312"/>
          <w:spacing w:val="9"/>
          <w:sz w:val="31"/>
          <w:szCs w:val="31"/>
        </w:rPr>
        <w:t>（二）项目绩效目标</w:t>
      </w:r>
    </w:p>
    <w:p>
      <w:pPr>
        <w:pStyle w:val="2"/>
        <w:spacing w:before="137" w:line="327" w:lineRule="auto"/>
        <w:ind w:left="58" w:right="153" w:firstLine="608"/>
      </w:pPr>
      <w:r>
        <w:rPr>
          <w:rFonts w:ascii="Times New Roman" w:hAnsi="Times New Roman" w:eastAsia="Times New Roman" w:cs="Times New Roman"/>
          <w:spacing w:val="4"/>
        </w:rPr>
        <w:t>1.</w:t>
      </w:r>
      <w:r>
        <w:rPr>
          <w:rFonts w:ascii="Times New Roman" w:hAnsi="Times New Roman" w:eastAsia="Times New Roman" w:cs="Times New Roman"/>
          <w:spacing w:val="-44"/>
        </w:rPr>
        <w:t xml:space="preserve"> </w:t>
      </w:r>
      <w:r>
        <w:rPr>
          <w:spacing w:val="4"/>
        </w:rPr>
        <w:t>总目标：完成省、市下达磷石膏综合利用率达</w:t>
      </w:r>
      <w:r>
        <w:rPr>
          <w:spacing w:val="-64"/>
        </w:rPr>
        <w:t xml:space="preserve"> </w:t>
      </w:r>
      <w:r>
        <w:rPr>
          <w:rFonts w:ascii="Times New Roman" w:hAnsi="Times New Roman" w:eastAsia="Times New Roman" w:cs="Times New Roman"/>
          <w:spacing w:val="4"/>
        </w:rPr>
        <w:t>75%</w:t>
      </w:r>
      <w:r>
        <w:rPr>
          <w:spacing w:val="3"/>
        </w:rPr>
        <w:t>以上的</w:t>
      </w:r>
      <w:r>
        <w:rPr>
          <w:spacing w:val="-18"/>
        </w:rPr>
        <w:t>目标。</w:t>
      </w:r>
    </w:p>
    <w:p>
      <w:pPr>
        <w:pStyle w:val="2"/>
        <w:spacing w:before="23" w:line="328" w:lineRule="auto"/>
        <w:ind w:right="156" w:firstLine="635"/>
      </w:pPr>
      <w:r>
        <w:rPr>
          <w:rFonts w:ascii="Times New Roman" w:hAnsi="Times New Roman" w:eastAsia="Times New Roman" w:cs="Times New Roman"/>
          <w:spacing w:val="14"/>
        </w:rPr>
        <w:t>2.</w:t>
      </w:r>
      <w:r>
        <w:rPr>
          <w:spacing w:val="14"/>
        </w:rPr>
        <w:t>年度目标：</w:t>
      </w:r>
      <w:r>
        <w:rPr>
          <w:rFonts w:ascii="Times New Roman" w:hAnsi="Times New Roman" w:eastAsia="Times New Roman" w:cs="Times New Roman"/>
          <w:spacing w:val="14"/>
        </w:rPr>
        <w:t>2024</w:t>
      </w:r>
      <w:r>
        <w:rPr>
          <w:rFonts w:ascii="Times New Roman" w:hAnsi="Times New Roman" w:eastAsia="Times New Roman" w:cs="Times New Roman"/>
          <w:spacing w:val="50"/>
          <w:w w:val="101"/>
        </w:rPr>
        <w:t xml:space="preserve"> </w:t>
      </w:r>
      <w:r>
        <w:rPr>
          <w:spacing w:val="14"/>
        </w:rPr>
        <w:t>年完成省、市下达磷石膏综合利用率达</w:t>
      </w:r>
      <w:r>
        <w:rPr>
          <w:rFonts w:ascii="Times New Roman" w:hAnsi="Times New Roman" w:eastAsia="Times New Roman" w:cs="Times New Roman"/>
          <w:spacing w:val="5"/>
        </w:rPr>
        <w:t>75%</w:t>
      </w:r>
      <w:r>
        <w:rPr>
          <w:spacing w:val="5"/>
        </w:rPr>
        <w:t>以上的目标。</w:t>
      </w:r>
    </w:p>
    <w:p>
      <w:pPr>
        <w:spacing w:before="64" w:line="219" w:lineRule="auto"/>
        <w:ind w:left="633"/>
        <w:rPr>
          <w:rFonts w:ascii="KaiTi_GB2312" w:hAnsi="KaiTi_GB2312" w:eastAsia="KaiTi_GB2312" w:cs="KaiTi_GB2312"/>
          <w:sz w:val="31"/>
          <w:szCs w:val="31"/>
        </w:rPr>
      </w:pPr>
      <w:r>
        <w:rPr>
          <w:rFonts w:ascii="KaiTi_GB2312" w:hAnsi="KaiTi_GB2312" w:eastAsia="KaiTi_GB2312" w:cs="KaiTi_GB2312"/>
          <w:spacing w:val="9"/>
          <w:sz w:val="31"/>
          <w:szCs w:val="31"/>
        </w:rPr>
        <w:t>（三）项目组织管理情况</w:t>
      </w:r>
    </w:p>
    <w:p>
      <w:pPr>
        <w:pStyle w:val="2"/>
        <w:spacing w:before="148" w:line="323" w:lineRule="auto"/>
        <w:ind w:left="4" w:firstLine="661"/>
      </w:pPr>
      <w:r>
        <w:rPr>
          <w:rFonts w:ascii="Times New Roman" w:hAnsi="Times New Roman" w:eastAsia="Times New Roman" w:cs="Times New Roman"/>
          <w:spacing w:val="9"/>
        </w:rPr>
        <w:t>1.</w:t>
      </w:r>
      <w:r>
        <w:rPr>
          <w:spacing w:val="9"/>
        </w:rPr>
        <w:t>项目组织情况：</w:t>
      </w:r>
      <w:r>
        <w:rPr>
          <w:spacing w:val="-113"/>
        </w:rPr>
        <w:t xml:space="preserve"> </w:t>
      </w:r>
      <w:r>
        <w:rPr>
          <w:spacing w:val="9"/>
        </w:rPr>
        <w:t>《昆明市财政局关于预下达</w:t>
      </w:r>
      <w:r>
        <w:rPr>
          <w:spacing w:val="-61"/>
        </w:rPr>
        <w:t xml:space="preserve"> </w:t>
      </w:r>
      <w:r>
        <w:rPr>
          <w:rFonts w:ascii="Times New Roman" w:hAnsi="Times New Roman" w:eastAsia="Times New Roman" w:cs="Times New Roman"/>
          <w:spacing w:val="9"/>
        </w:rPr>
        <w:t>2024</w:t>
      </w:r>
      <w:r>
        <w:rPr>
          <w:rFonts w:ascii="Times New Roman" w:hAnsi="Times New Roman" w:eastAsia="Times New Roman" w:cs="Times New Roman"/>
          <w:spacing w:val="24"/>
        </w:rPr>
        <w:t xml:space="preserve"> </w:t>
      </w:r>
      <w:r>
        <w:rPr>
          <w:spacing w:val="9"/>
        </w:rPr>
        <w:t>年度昆</w:t>
      </w:r>
      <w:r>
        <w:rPr>
          <w:spacing w:val="-4"/>
        </w:rPr>
        <w:t>明市磷石膏综合利用补助资金的通知（昆财产业［</w:t>
      </w:r>
      <w:r>
        <w:fldChar w:fldCharType="begin"/>
      </w:r>
      <w:r>
        <w:instrText xml:space="preserve"> HYPERLINK \l "bookmark2" </w:instrText>
      </w:r>
      <w:r>
        <w:fldChar w:fldCharType="separate"/>
      </w:r>
      <w:r>
        <w:rPr>
          <w:rFonts w:ascii="Times New Roman" w:hAnsi="Times New Roman" w:eastAsia="Times New Roman" w:cs="Times New Roman"/>
          <w:spacing w:val="-4"/>
        </w:rPr>
        <w:t>2024</w:t>
      </w:r>
      <w:r>
        <w:rPr>
          <w:rFonts w:ascii="Times New Roman" w:hAnsi="Times New Roman" w:eastAsia="Times New Roman" w:cs="Times New Roman"/>
          <w:spacing w:val="-4"/>
        </w:rPr>
        <w:fldChar w:fldCharType="end"/>
      </w:r>
      <w:r>
        <w:rPr>
          <w:spacing w:val="-4"/>
        </w:rPr>
        <w:t>］</w:t>
      </w:r>
      <w:r>
        <w:rPr>
          <w:rFonts w:ascii="Times New Roman" w:hAnsi="Times New Roman" w:eastAsia="Times New Roman" w:cs="Times New Roman"/>
          <w:spacing w:val="-4"/>
        </w:rPr>
        <w:t>55</w:t>
      </w:r>
      <w:r>
        <w:rPr>
          <w:rFonts w:ascii="Times New Roman" w:hAnsi="Times New Roman" w:eastAsia="Times New Roman" w:cs="Times New Roman"/>
          <w:spacing w:val="40"/>
          <w:w w:val="101"/>
        </w:rPr>
        <w:t xml:space="preserve"> </w:t>
      </w:r>
      <w:r>
        <w:rPr>
          <w:spacing w:val="-4"/>
        </w:rPr>
        <w:t>号）》</w:t>
      </w:r>
      <w:r>
        <w:rPr>
          <w:spacing w:val="7"/>
        </w:rPr>
        <w:t>组织符合条件的企业申报。</w:t>
      </w:r>
    </w:p>
    <w:p>
      <w:pPr>
        <w:pStyle w:val="2"/>
        <w:spacing w:before="51" w:line="326" w:lineRule="auto"/>
        <w:ind w:left="4" w:right="219" w:firstLine="631"/>
      </w:pPr>
      <w:r>
        <w:rPr>
          <w:rFonts w:ascii="Times New Roman" w:hAnsi="Times New Roman" w:eastAsia="Times New Roman" w:cs="Times New Roman"/>
          <w:spacing w:val="9"/>
        </w:rPr>
        <w:t>2.</w:t>
      </w:r>
      <w:r>
        <w:rPr>
          <w:spacing w:val="9"/>
        </w:rPr>
        <w:t>项目实施流程：企业申报</w:t>
      </w:r>
      <w:r>
        <w:rPr>
          <w:rFonts w:ascii="Times New Roman" w:hAnsi="Times New Roman" w:eastAsia="Times New Roman" w:cs="Times New Roman"/>
          <w:spacing w:val="9"/>
        </w:rPr>
        <w:t>--</w:t>
      </w:r>
      <w:r>
        <w:rPr>
          <w:spacing w:val="9"/>
        </w:rPr>
        <w:t>县级初审上报（县科工信</w:t>
      </w:r>
      <w:r>
        <w:rPr>
          <w:spacing w:val="8"/>
        </w:rPr>
        <w:t>局、县财政）</w:t>
      </w:r>
      <w:r>
        <w:rPr>
          <w:rFonts w:ascii="Times New Roman" w:hAnsi="Times New Roman" w:eastAsia="Times New Roman" w:cs="Times New Roman"/>
          <w:spacing w:val="8"/>
        </w:rPr>
        <w:t>--</w:t>
      </w:r>
      <w:r>
        <w:rPr>
          <w:spacing w:val="8"/>
        </w:rPr>
        <w:t>市级进行审定（市工信局、市财政局）</w:t>
      </w:r>
    </w:p>
    <w:p>
      <w:pPr>
        <w:spacing w:line="326" w:lineRule="auto"/>
        <w:sectPr>
          <w:footerReference r:id="rId5" w:type="default"/>
          <w:pgSz w:w="11906" w:h="16839"/>
          <w:pgMar w:top="1431" w:right="1377" w:bottom="1761" w:left="1542" w:header="0" w:footer="1393" w:gutter="0"/>
          <w:cols w:space="720" w:num="1"/>
        </w:sectPr>
      </w:pPr>
    </w:p>
    <w:p>
      <w:pPr>
        <w:spacing w:line="345" w:lineRule="auto"/>
        <w:rPr>
          <w:rFonts w:ascii="Arial"/>
          <w:sz w:val="21"/>
        </w:rPr>
      </w:pPr>
    </w:p>
    <w:p>
      <w:pPr>
        <w:spacing w:line="345" w:lineRule="auto"/>
        <w:rPr>
          <w:rFonts w:ascii="Arial"/>
          <w:sz w:val="21"/>
        </w:rPr>
      </w:pPr>
    </w:p>
    <w:p>
      <w:pPr>
        <w:pStyle w:val="2"/>
        <w:spacing w:before="101" w:line="418" w:lineRule="exact"/>
        <w:ind w:left="648"/>
      </w:pPr>
      <w:r>
        <w:rPr>
          <w:rFonts w:ascii="Times New Roman" w:hAnsi="Times New Roman" w:eastAsia="Times New Roman" w:cs="Times New Roman"/>
          <w:spacing w:val="3"/>
          <w:position w:val="1"/>
        </w:rPr>
        <w:t>3.</w:t>
      </w:r>
      <w:r>
        <w:rPr>
          <w:spacing w:val="3"/>
          <w:position w:val="1"/>
        </w:rPr>
        <w:t>资金拨付流程：市财政局</w:t>
      </w:r>
      <w:r>
        <w:rPr>
          <w:rFonts w:ascii="Times New Roman" w:hAnsi="Times New Roman" w:eastAsia="Times New Roman" w:cs="Times New Roman"/>
          <w:spacing w:val="3"/>
          <w:position w:val="1"/>
        </w:rPr>
        <w:t>---</w:t>
      </w:r>
      <w:r>
        <w:rPr>
          <w:spacing w:val="3"/>
          <w:position w:val="1"/>
        </w:rPr>
        <w:t>县财政局</w:t>
      </w:r>
      <w:r>
        <w:rPr>
          <w:rFonts w:ascii="Times New Roman" w:hAnsi="Times New Roman" w:eastAsia="Times New Roman" w:cs="Times New Roman"/>
          <w:spacing w:val="3"/>
          <w:position w:val="1"/>
        </w:rPr>
        <w:t>--</w:t>
      </w:r>
      <w:r>
        <w:rPr>
          <w:spacing w:val="3"/>
          <w:position w:val="1"/>
        </w:rPr>
        <w:t>县科工信局</w:t>
      </w:r>
      <w:r>
        <w:rPr>
          <w:rFonts w:ascii="Times New Roman" w:hAnsi="Times New Roman" w:eastAsia="Times New Roman" w:cs="Times New Roman"/>
          <w:spacing w:val="3"/>
          <w:position w:val="1"/>
        </w:rPr>
        <w:t>--</w:t>
      </w:r>
      <w:r>
        <w:rPr>
          <w:spacing w:val="3"/>
          <w:position w:val="1"/>
        </w:rPr>
        <w:t>各企业</w:t>
      </w:r>
    </w:p>
    <w:p>
      <w:pPr>
        <w:spacing w:before="188" w:line="226" w:lineRule="auto"/>
        <w:ind w:left="653"/>
        <w:outlineLvl w:val="0"/>
        <w:rPr>
          <w:rFonts w:ascii="黑体" w:hAnsi="黑体" w:eastAsia="黑体" w:cs="黑体"/>
          <w:sz w:val="31"/>
          <w:szCs w:val="31"/>
        </w:rPr>
      </w:pPr>
      <w:r>
        <w:rPr>
          <w:rFonts w:ascii="黑体" w:hAnsi="黑体" w:eastAsia="黑体" w:cs="黑体"/>
          <w:spacing w:val="8"/>
          <w:sz w:val="31"/>
          <w:szCs w:val="31"/>
        </w:rPr>
        <w:t>二、绩效评价工作情况</w:t>
      </w:r>
    </w:p>
    <w:p>
      <w:pPr>
        <w:spacing w:before="180" w:line="221" w:lineRule="auto"/>
        <w:ind w:left="640"/>
        <w:rPr>
          <w:rFonts w:ascii="KaiTi_GB2312" w:hAnsi="KaiTi_GB2312" w:eastAsia="KaiTi_GB2312" w:cs="KaiTi_GB2312"/>
          <w:sz w:val="31"/>
          <w:szCs w:val="31"/>
        </w:rPr>
      </w:pPr>
      <w:r>
        <w:rPr>
          <w:rFonts w:ascii="KaiTi_GB2312" w:hAnsi="KaiTi_GB2312" w:eastAsia="KaiTi_GB2312" w:cs="KaiTi_GB2312"/>
          <w:spacing w:val="9"/>
          <w:sz w:val="31"/>
          <w:szCs w:val="31"/>
        </w:rPr>
        <w:t>（一）绩效评价目的、对象和范围</w:t>
      </w:r>
    </w:p>
    <w:p>
      <w:pPr>
        <w:pStyle w:val="2"/>
        <w:spacing w:before="141" w:line="327" w:lineRule="auto"/>
        <w:ind w:left="19" w:right="111" w:firstLine="653"/>
      </w:pPr>
      <w:r>
        <w:rPr>
          <w:rFonts w:ascii="Times New Roman" w:hAnsi="Times New Roman" w:eastAsia="Times New Roman" w:cs="Times New Roman"/>
          <w:spacing w:val="7"/>
        </w:rPr>
        <w:t>1.</w:t>
      </w:r>
      <w:r>
        <w:rPr>
          <w:spacing w:val="7"/>
        </w:rPr>
        <w:t>绩效评价目的：发挥财政资金的使用效益</w:t>
      </w:r>
      <w:r>
        <w:rPr>
          <w:spacing w:val="6"/>
        </w:rPr>
        <w:t>，推动富民县磷</w:t>
      </w:r>
      <w:r>
        <w:rPr>
          <w:spacing w:val="8"/>
        </w:rPr>
        <w:t>石膏的综合利用及完成市县下达各项目标。</w:t>
      </w:r>
    </w:p>
    <w:p>
      <w:pPr>
        <w:pStyle w:val="2"/>
        <w:spacing w:before="21" w:line="418" w:lineRule="exact"/>
        <w:ind w:left="642"/>
      </w:pPr>
      <w:r>
        <w:rPr>
          <w:rFonts w:ascii="Times New Roman" w:hAnsi="Times New Roman" w:eastAsia="Times New Roman" w:cs="Times New Roman"/>
          <w:spacing w:val="8"/>
          <w:position w:val="1"/>
        </w:rPr>
        <w:t>2.</w:t>
      </w:r>
      <w:r>
        <w:rPr>
          <w:spacing w:val="8"/>
          <w:position w:val="1"/>
        </w:rPr>
        <w:t>对象和范围：获得奖励资金的企业。</w:t>
      </w:r>
    </w:p>
    <w:p>
      <w:pPr>
        <w:spacing w:before="190" w:line="319" w:lineRule="auto"/>
        <w:ind w:right="59" w:firstLine="640"/>
        <w:rPr>
          <w:rFonts w:ascii="KaiTi_GB2312" w:hAnsi="KaiTi_GB2312" w:eastAsia="KaiTi_GB2312" w:cs="KaiTi_GB2312"/>
          <w:sz w:val="31"/>
          <w:szCs w:val="31"/>
        </w:rPr>
      </w:pPr>
      <w:r>
        <w:rPr>
          <w:rFonts w:ascii="KaiTi_GB2312" w:hAnsi="KaiTi_GB2312" w:eastAsia="KaiTi_GB2312" w:cs="KaiTi_GB2312"/>
          <w:spacing w:val="7"/>
          <w:sz w:val="31"/>
          <w:szCs w:val="31"/>
        </w:rPr>
        <w:t>（二）绩效评价原则、依据、评价指标体系（附表说明）、</w:t>
      </w:r>
      <w:r>
        <w:rPr>
          <w:rFonts w:ascii="KaiTi_GB2312" w:hAnsi="KaiTi_GB2312" w:eastAsia="KaiTi_GB2312" w:cs="KaiTi_GB2312"/>
          <w:spacing w:val="9"/>
          <w:sz w:val="31"/>
          <w:szCs w:val="31"/>
        </w:rPr>
        <w:t>评价方法、评价标准、评价抽样等</w:t>
      </w:r>
    </w:p>
    <w:p>
      <w:pPr>
        <w:pStyle w:val="2"/>
        <w:spacing w:line="418" w:lineRule="exact"/>
        <w:ind w:left="673"/>
      </w:pPr>
      <w:r>
        <w:rPr>
          <w:rFonts w:ascii="Times New Roman" w:hAnsi="Times New Roman" w:eastAsia="Times New Roman" w:cs="Times New Roman"/>
          <w:spacing w:val="6"/>
          <w:position w:val="1"/>
        </w:rPr>
        <w:t>1.</w:t>
      </w:r>
      <w:r>
        <w:rPr>
          <w:spacing w:val="6"/>
          <w:position w:val="1"/>
        </w:rPr>
        <w:t>绩效评价原则：科学规范、公开公正。</w:t>
      </w:r>
    </w:p>
    <w:p>
      <w:pPr>
        <w:pStyle w:val="2"/>
        <w:spacing w:before="147" w:line="330" w:lineRule="auto"/>
        <w:ind w:left="6" w:right="111" w:firstLine="636"/>
      </w:pPr>
      <w:r>
        <w:rPr>
          <w:rFonts w:ascii="Times New Roman" w:hAnsi="Times New Roman" w:eastAsia="Times New Roman" w:cs="Times New Roman"/>
          <w:spacing w:val="11"/>
        </w:rPr>
        <w:t>2.</w:t>
      </w:r>
      <w:r>
        <w:rPr>
          <w:spacing w:val="11"/>
        </w:rPr>
        <w:t>绩效评价依据：</w:t>
      </w:r>
      <w:r>
        <w:rPr>
          <w:spacing w:val="-129"/>
        </w:rPr>
        <w:t xml:space="preserve"> </w:t>
      </w:r>
      <w:r>
        <w:rPr>
          <w:spacing w:val="11"/>
        </w:rPr>
        <w:t>《云南省财政厅关于下</w:t>
      </w:r>
      <w:r>
        <w:rPr>
          <w:spacing w:val="10"/>
        </w:rPr>
        <w:t>达</w:t>
      </w:r>
      <w:r>
        <w:rPr>
          <w:spacing w:val="-62"/>
        </w:rPr>
        <w:t xml:space="preserve"> </w:t>
      </w:r>
      <w:r>
        <w:rPr>
          <w:rFonts w:ascii="Times New Roman" w:hAnsi="Times New Roman" w:eastAsia="Times New Roman" w:cs="Times New Roman"/>
          <w:spacing w:val="10"/>
        </w:rPr>
        <w:t>2024</w:t>
      </w:r>
      <w:r>
        <w:rPr>
          <w:rFonts w:ascii="Times New Roman" w:hAnsi="Times New Roman" w:eastAsia="Times New Roman" w:cs="Times New Roman"/>
          <w:spacing w:val="24"/>
          <w:w w:val="101"/>
        </w:rPr>
        <w:t xml:space="preserve"> </w:t>
      </w:r>
      <w:r>
        <w:rPr>
          <w:spacing w:val="10"/>
        </w:rPr>
        <w:t>年省级制</w:t>
      </w:r>
      <w:r>
        <w:rPr>
          <w:spacing w:val="-6"/>
        </w:rPr>
        <w:t>造业高质量发展专项资金（磷石膏综合利用奖补方向）的通知（云</w:t>
      </w:r>
      <w:r>
        <w:rPr>
          <w:spacing w:val="10"/>
        </w:rPr>
        <w:t>财建［</w:t>
      </w:r>
      <w:r>
        <w:fldChar w:fldCharType="begin"/>
      </w:r>
      <w:r>
        <w:instrText xml:space="preserve"> HYPERLINK \l "bookmark3" </w:instrText>
      </w:r>
      <w:r>
        <w:fldChar w:fldCharType="separate"/>
      </w:r>
      <w:r>
        <w:rPr>
          <w:rFonts w:ascii="Times New Roman" w:hAnsi="Times New Roman" w:eastAsia="Times New Roman" w:cs="Times New Roman"/>
          <w:spacing w:val="10"/>
        </w:rPr>
        <w:t>2024</w:t>
      </w:r>
      <w:r>
        <w:rPr>
          <w:rFonts w:ascii="Times New Roman" w:hAnsi="Times New Roman" w:eastAsia="Times New Roman" w:cs="Times New Roman"/>
          <w:spacing w:val="10"/>
        </w:rPr>
        <w:fldChar w:fldCharType="end"/>
      </w:r>
      <w:r>
        <w:rPr>
          <w:spacing w:val="10"/>
        </w:rPr>
        <w:t>］</w:t>
      </w:r>
      <w:r>
        <w:rPr>
          <w:rFonts w:ascii="Times New Roman" w:hAnsi="Times New Roman" w:eastAsia="Times New Roman" w:cs="Times New Roman"/>
          <w:spacing w:val="10"/>
        </w:rPr>
        <w:t>225</w:t>
      </w:r>
      <w:r>
        <w:rPr>
          <w:rFonts w:ascii="Times New Roman" w:hAnsi="Times New Roman" w:eastAsia="Times New Roman" w:cs="Times New Roman"/>
          <w:spacing w:val="34"/>
          <w:w w:val="101"/>
        </w:rPr>
        <w:t xml:space="preserve"> </w:t>
      </w:r>
      <w:r>
        <w:rPr>
          <w:spacing w:val="10"/>
        </w:rPr>
        <w:t>号）》及《昆明市</w:t>
      </w:r>
      <w:r>
        <w:rPr>
          <w:spacing w:val="9"/>
        </w:rPr>
        <w:t>财政局关于预下达</w:t>
      </w:r>
      <w:r>
        <w:rPr>
          <w:spacing w:val="-62"/>
        </w:rPr>
        <w:t xml:space="preserve"> </w:t>
      </w:r>
      <w:r>
        <w:rPr>
          <w:rFonts w:ascii="Times New Roman" w:hAnsi="Times New Roman" w:eastAsia="Times New Roman" w:cs="Times New Roman"/>
          <w:spacing w:val="9"/>
        </w:rPr>
        <w:t>2024</w:t>
      </w:r>
      <w:r>
        <w:rPr>
          <w:rFonts w:ascii="Times New Roman" w:hAnsi="Times New Roman" w:eastAsia="Times New Roman" w:cs="Times New Roman"/>
          <w:spacing w:val="24"/>
        </w:rPr>
        <w:t xml:space="preserve"> </w:t>
      </w:r>
      <w:r>
        <w:rPr>
          <w:spacing w:val="9"/>
        </w:rPr>
        <w:t>年</w:t>
      </w:r>
      <w:r>
        <w:rPr>
          <w:spacing w:val="5"/>
        </w:rPr>
        <w:t>度昆明市磷石膏综合利用补助资金的通知（昆财产业［</w:t>
      </w:r>
      <w:r>
        <w:fldChar w:fldCharType="begin"/>
      </w:r>
      <w:r>
        <w:instrText xml:space="preserve"> HYPERLINK \l "bookmark4" </w:instrText>
      </w:r>
      <w:r>
        <w:fldChar w:fldCharType="separate"/>
      </w:r>
      <w:r>
        <w:rPr>
          <w:rFonts w:ascii="Times New Roman" w:hAnsi="Times New Roman" w:eastAsia="Times New Roman" w:cs="Times New Roman"/>
          <w:spacing w:val="5"/>
        </w:rPr>
        <w:t>20</w:t>
      </w:r>
      <w:r>
        <w:rPr>
          <w:rFonts w:ascii="Times New Roman" w:hAnsi="Times New Roman" w:eastAsia="Times New Roman" w:cs="Times New Roman"/>
          <w:spacing w:val="4"/>
        </w:rPr>
        <w:t>24</w:t>
      </w:r>
      <w:r>
        <w:rPr>
          <w:rFonts w:ascii="Times New Roman" w:hAnsi="Times New Roman" w:eastAsia="Times New Roman" w:cs="Times New Roman"/>
          <w:spacing w:val="4"/>
        </w:rPr>
        <w:fldChar w:fldCharType="end"/>
      </w:r>
      <w:r>
        <w:rPr>
          <w:spacing w:val="4"/>
        </w:rPr>
        <w:t>］</w:t>
      </w:r>
      <w:r>
        <w:rPr>
          <w:rFonts w:ascii="Times New Roman" w:hAnsi="Times New Roman" w:eastAsia="Times New Roman" w:cs="Times New Roman"/>
          <w:spacing w:val="4"/>
        </w:rPr>
        <w:t>55</w:t>
      </w:r>
      <w:r>
        <w:rPr>
          <w:spacing w:val="11"/>
        </w:rPr>
        <w:t>号）》</w:t>
      </w:r>
    </w:p>
    <w:p>
      <w:pPr>
        <w:pStyle w:val="2"/>
        <w:spacing w:before="24" w:line="419" w:lineRule="exact"/>
        <w:ind w:left="648"/>
      </w:pPr>
      <w:r>
        <w:rPr>
          <w:rFonts w:ascii="Times New Roman" w:hAnsi="Times New Roman" w:eastAsia="Times New Roman" w:cs="Times New Roman"/>
          <w:spacing w:val="7"/>
          <w:position w:val="1"/>
        </w:rPr>
        <w:t>3.</w:t>
      </w:r>
      <w:r>
        <w:rPr>
          <w:spacing w:val="7"/>
          <w:position w:val="1"/>
        </w:rPr>
        <w:t>评价指标体系（附表）</w:t>
      </w:r>
    </w:p>
    <w:p>
      <w:pPr>
        <w:spacing w:before="192" w:line="220" w:lineRule="auto"/>
        <w:ind w:left="640"/>
        <w:rPr>
          <w:rFonts w:ascii="KaiTi_GB2312" w:hAnsi="KaiTi_GB2312" w:eastAsia="KaiTi_GB2312" w:cs="KaiTi_GB2312"/>
          <w:sz w:val="31"/>
          <w:szCs w:val="31"/>
        </w:rPr>
      </w:pPr>
      <w:r>
        <w:rPr>
          <w:rFonts w:ascii="KaiTi_GB2312" w:hAnsi="KaiTi_GB2312" w:eastAsia="KaiTi_GB2312" w:cs="KaiTi_GB2312"/>
          <w:spacing w:val="9"/>
          <w:sz w:val="31"/>
          <w:szCs w:val="31"/>
        </w:rPr>
        <w:t>（三）绩效评价工作过程</w:t>
      </w:r>
    </w:p>
    <w:p>
      <w:pPr>
        <w:pStyle w:val="2"/>
        <w:spacing w:before="188" w:line="332" w:lineRule="auto"/>
        <w:ind w:left="7" w:right="114" w:firstLine="684"/>
      </w:pPr>
      <w:r>
        <w:rPr>
          <w:spacing w:val="3"/>
        </w:rPr>
        <w:t>由富民县科工信局办公室、工业科及财务等相关科室组成评</w:t>
      </w:r>
      <w:r>
        <w:rPr>
          <w:spacing w:val="9"/>
        </w:rPr>
        <w:t>价小组，对照磷石膏生产及综合利用情况进行评</w:t>
      </w:r>
      <w:r>
        <w:rPr>
          <w:spacing w:val="8"/>
        </w:rPr>
        <w:t>价。</w:t>
      </w:r>
    </w:p>
    <w:p>
      <w:pPr>
        <w:spacing w:before="5" w:line="227" w:lineRule="auto"/>
        <w:ind w:left="654"/>
        <w:outlineLvl w:val="0"/>
        <w:rPr>
          <w:rFonts w:ascii="黑体" w:hAnsi="黑体" w:eastAsia="黑体" w:cs="黑体"/>
          <w:sz w:val="31"/>
          <w:szCs w:val="31"/>
        </w:rPr>
      </w:pPr>
      <w:r>
        <w:rPr>
          <w:rFonts w:ascii="黑体" w:hAnsi="黑体" w:eastAsia="黑体" w:cs="黑体"/>
          <w:spacing w:val="8"/>
          <w:sz w:val="31"/>
          <w:szCs w:val="31"/>
        </w:rPr>
        <w:t>三、综合评价情况及评价结论</w:t>
      </w:r>
    </w:p>
    <w:p>
      <w:pPr>
        <w:pStyle w:val="2"/>
        <w:spacing w:before="131" w:line="419" w:lineRule="exact"/>
        <w:jc w:val="right"/>
      </w:pPr>
      <w:r>
        <w:rPr>
          <w:rFonts w:ascii="KaiTi_GB2312" w:hAnsi="KaiTi_GB2312" w:eastAsia="KaiTi_GB2312" w:cs="KaiTi_GB2312"/>
          <w:spacing w:val="2"/>
          <w:position w:val="1"/>
        </w:rPr>
        <w:t>（一）绩效评价综合结论：</w:t>
      </w:r>
      <w:r>
        <w:rPr>
          <w:spacing w:val="2"/>
          <w:position w:val="1"/>
        </w:rPr>
        <w:t>磷石膏综合利用率未能达到</w:t>
      </w:r>
      <w:r>
        <w:rPr>
          <w:spacing w:val="-60"/>
          <w:position w:val="1"/>
        </w:rPr>
        <w:t xml:space="preserve"> </w:t>
      </w:r>
      <w:r>
        <w:rPr>
          <w:rFonts w:ascii="Times New Roman" w:hAnsi="Times New Roman" w:eastAsia="Times New Roman" w:cs="Times New Roman"/>
          <w:spacing w:val="2"/>
          <w:position w:val="1"/>
        </w:rPr>
        <w:t>75%</w:t>
      </w:r>
      <w:r>
        <w:rPr>
          <w:spacing w:val="2"/>
          <w:position w:val="1"/>
        </w:rPr>
        <w:t>。</w:t>
      </w:r>
    </w:p>
    <w:p>
      <w:pPr>
        <w:pStyle w:val="2"/>
        <w:spacing w:before="139" w:line="329" w:lineRule="auto"/>
        <w:ind w:left="24" w:right="111" w:firstLine="454"/>
      </w:pPr>
      <w:r>
        <w:rPr>
          <w:rFonts w:ascii="KaiTi_GB2312" w:hAnsi="KaiTi_GB2312" w:eastAsia="KaiTi_GB2312" w:cs="KaiTi_GB2312"/>
          <w:spacing w:val="8"/>
        </w:rPr>
        <w:t>（二）绩效目标实现情况：</w:t>
      </w:r>
      <w:r>
        <w:rPr>
          <w:rFonts w:ascii="Times New Roman" w:hAnsi="Times New Roman" w:eastAsia="Times New Roman" w:cs="Times New Roman"/>
          <w:spacing w:val="8"/>
        </w:rPr>
        <w:t xml:space="preserve">2024 </w:t>
      </w:r>
      <w:r>
        <w:rPr>
          <w:spacing w:val="8"/>
        </w:rPr>
        <w:t>年全县产生磷石膏</w:t>
      </w:r>
      <w:r>
        <w:rPr>
          <w:spacing w:val="-59"/>
        </w:rPr>
        <w:t xml:space="preserve"> </w:t>
      </w:r>
      <w:r>
        <w:rPr>
          <w:rFonts w:ascii="Times New Roman" w:hAnsi="Times New Roman" w:eastAsia="Times New Roman" w:cs="Times New Roman"/>
          <w:spacing w:val="8"/>
        </w:rPr>
        <w:t>69</w:t>
      </w:r>
      <w:r>
        <w:rPr>
          <w:rFonts w:ascii="Times New Roman" w:hAnsi="Times New Roman" w:eastAsia="Times New Roman" w:cs="Times New Roman"/>
          <w:spacing w:val="7"/>
        </w:rPr>
        <w:t>.12</w:t>
      </w:r>
      <w:r>
        <w:rPr>
          <w:rFonts w:ascii="Times New Roman" w:hAnsi="Times New Roman" w:eastAsia="Times New Roman" w:cs="Times New Roman"/>
          <w:spacing w:val="35"/>
          <w:w w:val="101"/>
        </w:rPr>
        <w:t xml:space="preserve"> </w:t>
      </w:r>
      <w:r>
        <w:rPr>
          <w:spacing w:val="7"/>
        </w:rPr>
        <w:t>万</w:t>
      </w:r>
      <w:r>
        <w:rPr>
          <w:spacing w:val="4"/>
        </w:rPr>
        <w:t>吨，综合利用量</w:t>
      </w:r>
      <w:r>
        <w:rPr>
          <w:spacing w:val="-58"/>
        </w:rPr>
        <w:t xml:space="preserve"> </w:t>
      </w:r>
      <w:r>
        <w:rPr>
          <w:rFonts w:ascii="Times New Roman" w:hAnsi="Times New Roman" w:eastAsia="Times New Roman" w:cs="Times New Roman"/>
          <w:spacing w:val="4"/>
        </w:rPr>
        <w:t>51.1</w:t>
      </w:r>
      <w:r>
        <w:rPr>
          <w:rFonts w:ascii="Times New Roman" w:hAnsi="Times New Roman" w:eastAsia="Times New Roman" w:cs="Times New Roman"/>
          <w:spacing w:val="33"/>
        </w:rPr>
        <w:t xml:space="preserve"> </w:t>
      </w:r>
      <w:r>
        <w:rPr>
          <w:spacing w:val="4"/>
        </w:rPr>
        <w:t>万吨，综合利用率</w:t>
      </w:r>
      <w:r>
        <w:rPr>
          <w:spacing w:val="-59"/>
        </w:rPr>
        <w:t xml:space="preserve"> </w:t>
      </w:r>
      <w:r>
        <w:rPr>
          <w:rFonts w:ascii="Times New Roman" w:hAnsi="Times New Roman" w:eastAsia="Times New Roman" w:cs="Times New Roman"/>
          <w:spacing w:val="4"/>
        </w:rPr>
        <w:t>67.41</w:t>
      </w:r>
      <w:r>
        <w:rPr>
          <w:rFonts w:ascii="Times New Roman" w:hAnsi="Times New Roman" w:eastAsia="Times New Roman" w:cs="Times New Roman"/>
          <w:spacing w:val="3"/>
        </w:rPr>
        <w:t>%</w:t>
      </w:r>
      <w:r>
        <w:rPr>
          <w:spacing w:val="3"/>
        </w:rPr>
        <w:t>。</w:t>
      </w:r>
    </w:p>
    <w:p>
      <w:pPr>
        <w:spacing w:line="329" w:lineRule="auto"/>
        <w:sectPr>
          <w:footerReference r:id="rId6" w:type="default"/>
          <w:pgSz w:w="11906" w:h="16839"/>
          <w:pgMar w:top="1431" w:right="1419" w:bottom="1761" w:left="1536" w:header="0" w:footer="1393" w:gutter="0"/>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101" w:line="226" w:lineRule="auto"/>
        <w:ind w:left="669"/>
        <w:outlineLvl w:val="0"/>
        <w:rPr>
          <w:rFonts w:ascii="黑体" w:hAnsi="黑体" w:eastAsia="黑体" w:cs="黑体"/>
          <w:sz w:val="31"/>
          <w:szCs w:val="31"/>
        </w:rPr>
      </w:pPr>
      <w:r>
        <w:rPr>
          <w:rFonts w:ascii="黑体" w:hAnsi="黑体" w:eastAsia="黑体" w:cs="黑体"/>
          <w:spacing w:val="6"/>
          <w:sz w:val="31"/>
          <w:szCs w:val="31"/>
        </w:rPr>
        <w:t>四、绩效评价指标分析</w:t>
      </w:r>
    </w:p>
    <w:p>
      <w:pPr>
        <w:pStyle w:val="2"/>
        <w:spacing w:before="131" w:line="325" w:lineRule="auto"/>
        <w:ind w:left="12" w:firstLine="630"/>
      </w:pPr>
      <w:r>
        <w:rPr>
          <w:rFonts w:ascii="KaiTi_GB2312" w:hAnsi="KaiTi_GB2312" w:eastAsia="KaiTi_GB2312" w:cs="KaiTi_GB2312"/>
          <w:spacing w:val="5"/>
        </w:rPr>
        <w:t>（一）项目决策情况分析：</w:t>
      </w:r>
      <w:r>
        <w:rPr>
          <w:spacing w:val="5"/>
        </w:rPr>
        <w:t>《昆明市财政局关于预下达</w:t>
      </w:r>
      <w:r>
        <w:rPr>
          <w:rFonts w:ascii="Times New Roman" w:hAnsi="Times New Roman" w:eastAsia="Times New Roman" w:cs="Times New Roman"/>
          <w:spacing w:val="4"/>
        </w:rPr>
        <w:t>2024</w:t>
      </w:r>
      <w:r>
        <w:rPr>
          <w:spacing w:val="6"/>
        </w:rPr>
        <w:t>年度昆明市磷石膏综合利用补助资金的通知（</w:t>
      </w:r>
      <w:r>
        <w:rPr>
          <w:spacing w:val="-79"/>
        </w:rPr>
        <w:t xml:space="preserve"> </w:t>
      </w:r>
      <w:r>
        <w:rPr>
          <w:spacing w:val="6"/>
        </w:rPr>
        <w:t>昆财产业［</w:t>
      </w:r>
      <w:r>
        <w:fldChar w:fldCharType="begin"/>
      </w:r>
      <w:r>
        <w:instrText xml:space="preserve"> HYPERLINK \l "bookmark5" </w:instrText>
      </w:r>
      <w:r>
        <w:fldChar w:fldCharType="separate"/>
      </w:r>
      <w:r>
        <w:rPr>
          <w:rFonts w:ascii="Times New Roman" w:hAnsi="Times New Roman" w:eastAsia="Times New Roman" w:cs="Times New Roman"/>
          <w:spacing w:val="6"/>
        </w:rPr>
        <w:t>2024</w:t>
      </w:r>
      <w:r>
        <w:rPr>
          <w:rFonts w:ascii="Times New Roman" w:hAnsi="Times New Roman" w:eastAsia="Times New Roman" w:cs="Times New Roman"/>
          <w:spacing w:val="6"/>
        </w:rPr>
        <w:fldChar w:fldCharType="end"/>
      </w:r>
      <w:r>
        <w:rPr>
          <w:spacing w:val="6"/>
        </w:rPr>
        <w:t>］</w:t>
      </w:r>
      <w:r>
        <w:t xml:space="preserve"> </w:t>
      </w:r>
      <w:r>
        <w:rPr>
          <w:rFonts w:ascii="Times New Roman" w:hAnsi="Times New Roman" w:eastAsia="Times New Roman" w:cs="Times New Roman"/>
          <w:spacing w:val="5"/>
        </w:rPr>
        <w:t>55</w:t>
      </w:r>
      <w:r>
        <w:rPr>
          <w:rFonts w:ascii="Times New Roman" w:hAnsi="Times New Roman" w:eastAsia="Times New Roman" w:cs="Times New Roman"/>
          <w:spacing w:val="39"/>
        </w:rPr>
        <w:t xml:space="preserve"> </w:t>
      </w:r>
      <w:r>
        <w:rPr>
          <w:spacing w:val="5"/>
        </w:rPr>
        <w:t>号）》组织实施，科学合理。</w:t>
      </w:r>
    </w:p>
    <w:p>
      <w:pPr>
        <w:pStyle w:val="2"/>
        <w:spacing w:before="91" w:line="333" w:lineRule="auto"/>
        <w:ind w:left="3" w:right="109" w:firstLine="638"/>
      </w:pPr>
      <w:r>
        <w:rPr>
          <w:rFonts w:ascii="KaiTi_GB2312" w:hAnsi="KaiTi_GB2312" w:eastAsia="KaiTi_GB2312" w:cs="KaiTi_GB2312"/>
          <w:spacing w:val="5"/>
        </w:rPr>
        <w:t>（二）项目过程情况分析：</w:t>
      </w:r>
      <w:r>
        <w:rPr>
          <w:spacing w:val="5"/>
        </w:rPr>
        <w:t>项目组织、项目实施、资金拨付严格按程序执行。各环节紧密衔接，责任明确，保障了项目的顺利推进。在实施过程中，相关部门积极履行职责，对申报企业进</w:t>
      </w:r>
      <w:r>
        <w:rPr>
          <w:spacing w:val="9"/>
        </w:rPr>
        <w:t>行严格初审，确保申报材料真实有效，符合政策要求。</w:t>
      </w:r>
    </w:p>
    <w:p>
      <w:pPr>
        <w:pStyle w:val="2"/>
        <w:spacing w:before="5" w:line="333" w:lineRule="auto"/>
        <w:ind w:right="109" w:firstLine="642"/>
      </w:pPr>
      <w:r>
        <w:rPr>
          <w:rFonts w:ascii="KaiTi_GB2312" w:hAnsi="KaiTi_GB2312" w:eastAsia="KaiTi_GB2312" w:cs="KaiTi_GB2312"/>
          <w:spacing w:val="5"/>
        </w:rPr>
        <w:t>（三）项目产出情况分析：</w:t>
      </w:r>
      <w:r>
        <w:rPr>
          <w:spacing w:val="5"/>
        </w:rPr>
        <w:t>该项目资金全部用于对富民县磷</w:t>
      </w:r>
      <w:r>
        <w:rPr>
          <w:spacing w:val="12"/>
        </w:rPr>
        <w:t>石膏综合利用相关项目扶持，资金通过市财政</w:t>
      </w:r>
      <w:r>
        <w:rPr>
          <w:rFonts w:ascii="Times New Roman" w:hAnsi="Times New Roman" w:eastAsia="Times New Roman" w:cs="Times New Roman"/>
          <w:spacing w:val="12"/>
        </w:rPr>
        <w:t>--</w:t>
      </w:r>
      <w:r>
        <w:rPr>
          <w:spacing w:val="12"/>
        </w:rPr>
        <w:t>县财政</w:t>
      </w:r>
      <w:r>
        <w:rPr>
          <w:rFonts w:ascii="Times New Roman" w:hAnsi="Times New Roman" w:eastAsia="Times New Roman" w:cs="Times New Roman"/>
          <w:spacing w:val="12"/>
        </w:rPr>
        <w:t>--</w:t>
      </w:r>
      <w:r>
        <w:rPr>
          <w:spacing w:val="12"/>
        </w:rPr>
        <w:t>县科工</w:t>
      </w:r>
      <w:r>
        <w:rPr>
          <w:spacing w:val="6"/>
        </w:rPr>
        <w:t>信局，实现资金足额、及时支付到企业，并要</w:t>
      </w:r>
      <w:r>
        <w:rPr>
          <w:spacing w:val="5"/>
        </w:rPr>
        <w:t>求企业实行专款专用，用于所申报的项目上，充分发挥专项资金的绩效，为富民县</w:t>
      </w:r>
      <w:r>
        <w:rPr>
          <w:spacing w:val="9"/>
        </w:rPr>
        <w:t>磷石膏综合治理起到支撑作用。</w:t>
      </w:r>
    </w:p>
    <w:p>
      <w:pPr>
        <w:spacing w:before="2" w:line="221" w:lineRule="auto"/>
        <w:ind w:left="642"/>
        <w:rPr>
          <w:rFonts w:ascii="KaiTi_GB2312" w:hAnsi="KaiTi_GB2312" w:eastAsia="KaiTi_GB2312" w:cs="KaiTi_GB2312"/>
          <w:sz w:val="31"/>
          <w:szCs w:val="31"/>
        </w:rPr>
      </w:pPr>
      <w:r>
        <w:rPr>
          <w:rFonts w:ascii="KaiTi_GB2312" w:hAnsi="KaiTi_GB2312" w:eastAsia="KaiTi_GB2312" w:cs="KaiTi_GB2312"/>
          <w:spacing w:val="8"/>
          <w:sz w:val="31"/>
          <w:szCs w:val="31"/>
        </w:rPr>
        <w:t>（四）项目效益情况分析：</w:t>
      </w:r>
    </w:p>
    <w:p>
      <w:pPr>
        <w:pStyle w:val="2"/>
        <w:spacing w:before="135" w:line="334" w:lineRule="auto"/>
        <w:ind w:left="7" w:right="109" w:firstLine="668"/>
      </w:pPr>
      <w:r>
        <w:rPr>
          <w:rFonts w:ascii="Times New Roman" w:hAnsi="Times New Roman" w:eastAsia="Times New Roman" w:cs="Times New Roman"/>
          <w:spacing w:val="7"/>
        </w:rPr>
        <w:t>1.</w:t>
      </w:r>
      <w:r>
        <w:rPr>
          <w:spacing w:val="7"/>
        </w:rPr>
        <w:t>经济效益：通过对云南磊新环保有限公司</w:t>
      </w:r>
      <w:r>
        <w:rPr>
          <w:spacing w:val="6"/>
        </w:rPr>
        <w:t>的资金扶持，在</w:t>
      </w:r>
      <w:r>
        <w:rPr>
          <w:spacing w:val="5"/>
        </w:rPr>
        <w:t>一定程度上减轻了企业在磷石膏综合利用项目上的资金压力，降低了企业的生产成本，提高了企业开展磷石膏综合利用业务的积极性。企业可以利用这些资金进行技术研发、设备更新等，提升生产效率，进而提高企业的经济效益。同时，随着磷石膏综合利用产业的发展，也可能带动相关上下游产业的发展，如原材料供</w:t>
      </w:r>
      <w:r>
        <w:rPr>
          <w:spacing w:val="8"/>
        </w:rPr>
        <w:t>应、产品销售等，促进当地经济的增长。</w:t>
      </w:r>
    </w:p>
    <w:p>
      <w:pPr>
        <w:pStyle w:val="2"/>
        <w:spacing w:line="419" w:lineRule="exact"/>
        <w:ind w:left="644"/>
      </w:pPr>
      <w:r>
        <w:rPr>
          <w:rFonts w:ascii="Times New Roman" w:hAnsi="Times New Roman" w:eastAsia="Times New Roman" w:cs="Times New Roman"/>
          <w:spacing w:val="6"/>
          <w:position w:val="1"/>
        </w:rPr>
        <w:t>2.</w:t>
      </w:r>
      <w:r>
        <w:rPr>
          <w:rFonts w:hint="eastAsia" w:eastAsia="宋体"/>
          <w:spacing w:val="6"/>
          <w:position w:val="1"/>
          <w:lang w:val="en-US" w:eastAsia="zh-CN"/>
        </w:rPr>
        <w:t>生态</w:t>
      </w:r>
      <w:r>
        <w:rPr>
          <w:spacing w:val="6"/>
          <w:position w:val="1"/>
        </w:rPr>
        <w:t>效益：虽然磷石膏综合利用率未达到</w:t>
      </w:r>
      <w:r>
        <w:rPr>
          <w:spacing w:val="-57"/>
          <w:position w:val="1"/>
        </w:rPr>
        <w:t xml:space="preserve"> </w:t>
      </w:r>
      <w:r>
        <w:rPr>
          <w:rFonts w:ascii="Times New Roman" w:hAnsi="Times New Roman" w:eastAsia="Times New Roman" w:cs="Times New Roman"/>
          <w:spacing w:val="6"/>
          <w:position w:val="1"/>
        </w:rPr>
        <w:t>75%</w:t>
      </w:r>
      <w:r>
        <w:rPr>
          <w:spacing w:val="6"/>
          <w:position w:val="1"/>
        </w:rPr>
        <w:t>的目标，但</w:t>
      </w:r>
    </w:p>
    <w:p>
      <w:pPr>
        <w:spacing w:line="419" w:lineRule="exact"/>
        <w:sectPr>
          <w:footerReference r:id="rId7" w:type="default"/>
          <w:pgSz w:w="11906" w:h="16839"/>
          <w:pgMar w:top="1431" w:right="1421" w:bottom="1761" w:left="1533" w:header="0" w:footer="1396" w:gutter="0"/>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1" w:line="324" w:lineRule="auto"/>
        <w:ind w:left="2" w:firstLine="8"/>
        <w:jc w:val="both"/>
      </w:pPr>
      <w:r>
        <w:rPr>
          <w:spacing w:val="-3"/>
        </w:rPr>
        <w:t>通过实施该项目，减少了磷石膏的堆存量，降低了磷石膏对土壤、</w:t>
      </w:r>
      <w:r>
        <w:rPr>
          <w:spacing w:val="5"/>
        </w:rPr>
        <w:t>水体和大气等环境的潜在污染风险，对</w:t>
      </w:r>
      <w:bookmarkStart w:id="0" w:name="_GoBack"/>
      <w:r>
        <w:rPr>
          <w:spacing w:val="5"/>
        </w:rPr>
        <w:t>改善当地的生态环境质量</w:t>
      </w:r>
      <w:bookmarkEnd w:id="0"/>
      <w:r>
        <w:rPr>
          <w:spacing w:val="7"/>
        </w:rPr>
        <w:t>起到了积极作用。</w:t>
      </w:r>
    </w:p>
    <w:p>
      <w:pPr>
        <w:pStyle w:val="2"/>
        <w:spacing w:before="6" w:line="337" w:lineRule="auto"/>
        <w:ind w:right="56" w:firstLine="645"/>
        <w:jc w:val="both"/>
      </w:pPr>
      <w:r>
        <w:rPr>
          <w:rFonts w:ascii="Times New Roman" w:hAnsi="Times New Roman" w:eastAsia="Times New Roman" w:cs="Times New Roman"/>
          <w:spacing w:val="7"/>
        </w:rPr>
        <w:t>3.</w:t>
      </w:r>
      <w:r>
        <w:rPr>
          <w:spacing w:val="7"/>
        </w:rPr>
        <w:t>社会效益：磷石膏综合利用项目的实施，为当地创造了一</w:t>
      </w:r>
      <w:r>
        <w:rPr>
          <w:spacing w:val="5"/>
        </w:rPr>
        <w:t>定的就业机会，特别是在企业的生产、运营和维护等环节，吸纳了部分劳动力，缓解了当地的就业压力。此外，随着磷石膏综合利用技术的推广和应用，有助于提高社会对磷石膏综合利用的认</w:t>
      </w:r>
      <w:r>
        <w:rPr>
          <w:spacing w:val="7"/>
        </w:rPr>
        <w:t>识和重视程度，促进资源的循环利用和可持续发展理念</w:t>
      </w:r>
      <w:r>
        <w:rPr>
          <w:spacing w:val="6"/>
        </w:rPr>
        <w:t>的传播，</w:t>
      </w:r>
      <w:r>
        <w:rPr>
          <w:spacing w:val="8"/>
        </w:rPr>
        <w:t>提升社会对环境保护和资源节约的意识。</w:t>
      </w:r>
    </w:p>
    <w:p>
      <w:pPr>
        <w:spacing w:before="4" w:line="227" w:lineRule="auto"/>
        <w:ind w:left="653"/>
        <w:outlineLvl w:val="0"/>
        <w:rPr>
          <w:rFonts w:ascii="黑体" w:hAnsi="黑体" w:eastAsia="黑体" w:cs="黑体"/>
          <w:sz w:val="31"/>
          <w:szCs w:val="31"/>
        </w:rPr>
      </w:pPr>
      <w:r>
        <w:rPr>
          <w:rFonts w:ascii="黑体" w:hAnsi="黑体" w:eastAsia="黑体" w:cs="黑体"/>
          <w:spacing w:val="7"/>
          <w:sz w:val="31"/>
          <w:szCs w:val="31"/>
        </w:rPr>
        <w:t>五、主要经验及做法</w:t>
      </w:r>
    </w:p>
    <w:p>
      <w:pPr>
        <w:spacing w:before="179" w:line="219" w:lineRule="auto"/>
        <w:ind w:left="636"/>
        <w:rPr>
          <w:rFonts w:ascii="KaiTi_GB2312" w:hAnsi="KaiTi_GB2312" w:eastAsia="KaiTi_GB2312" w:cs="KaiTi_GB2312"/>
          <w:sz w:val="31"/>
          <w:szCs w:val="31"/>
        </w:rPr>
      </w:pPr>
      <w:r>
        <w:rPr>
          <w:rFonts w:ascii="KaiTi_GB2312" w:hAnsi="KaiTi_GB2312" w:eastAsia="KaiTi_GB2312" w:cs="KaiTi_GB2312"/>
          <w:spacing w:val="9"/>
          <w:sz w:val="31"/>
          <w:szCs w:val="31"/>
        </w:rPr>
        <w:t>（一）建立完善的项目申报和审核机制</w:t>
      </w:r>
    </w:p>
    <w:p>
      <w:pPr>
        <w:pStyle w:val="2"/>
        <w:spacing w:before="195" w:line="333" w:lineRule="auto"/>
        <w:ind w:left="7" w:right="95" w:firstLine="631"/>
        <w:jc w:val="both"/>
      </w:pPr>
      <w:r>
        <w:rPr>
          <w:spacing w:val="5"/>
        </w:rPr>
        <w:t>依据相关政策文件要求，明确了项目申报的条件、流程和材料要求，确保符合条件的企业能够顺利申报。同时，县科工信局与县财政局等部门密切配合，对申报企业进行严格初审，对申报材料的真实性、完整性和合规性进行细致审核，保证了项目申报</w:t>
      </w:r>
      <w:r>
        <w:rPr>
          <w:spacing w:val="6"/>
        </w:rPr>
        <w:t>的质量和公正性。</w:t>
      </w:r>
    </w:p>
    <w:p>
      <w:pPr>
        <w:spacing w:before="2" w:line="222" w:lineRule="auto"/>
        <w:ind w:left="636"/>
        <w:rPr>
          <w:rFonts w:ascii="KaiTi_GB2312" w:hAnsi="KaiTi_GB2312" w:eastAsia="KaiTi_GB2312" w:cs="KaiTi_GB2312"/>
          <w:sz w:val="31"/>
          <w:szCs w:val="31"/>
        </w:rPr>
      </w:pPr>
      <w:r>
        <w:rPr>
          <w:rFonts w:ascii="KaiTi_GB2312" w:hAnsi="KaiTi_GB2312" w:eastAsia="KaiTi_GB2312" w:cs="KaiTi_GB2312"/>
          <w:spacing w:val="9"/>
          <w:sz w:val="31"/>
          <w:szCs w:val="31"/>
        </w:rPr>
        <w:t>（二）加强与企业的沟通和服务</w:t>
      </w:r>
    </w:p>
    <w:p>
      <w:pPr>
        <w:pStyle w:val="2"/>
        <w:spacing w:before="187" w:line="333" w:lineRule="auto"/>
        <w:ind w:left="7" w:right="95" w:firstLine="640"/>
      </w:pPr>
      <w:r>
        <w:rPr>
          <w:spacing w:val="5"/>
        </w:rPr>
        <w:t>在项目实施过程中，主动与企业进行沟通，及时</w:t>
      </w:r>
      <w:r>
        <w:rPr>
          <w:spacing w:val="4"/>
        </w:rPr>
        <w:t>了解企业在</w:t>
      </w:r>
      <w:r>
        <w:rPr>
          <w:spacing w:val="9"/>
        </w:rPr>
        <w:t>项目实施中遇到的问题和困难，并提供必要的帮助和</w:t>
      </w:r>
      <w:r>
        <w:rPr>
          <w:spacing w:val="8"/>
        </w:rPr>
        <w:t>支持。</w:t>
      </w:r>
    </w:p>
    <w:p>
      <w:pPr>
        <w:spacing w:before="1" w:line="219" w:lineRule="auto"/>
        <w:ind w:left="636"/>
        <w:rPr>
          <w:rFonts w:ascii="KaiTi_GB2312" w:hAnsi="KaiTi_GB2312" w:eastAsia="KaiTi_GB2312" w:cs="KaiTi_GB2312"/>
          <w:sz w:val="31"/>
          <w:szCs w:val="31"/>
        </w:rPr>
      </w:pPr>
      <w:r>
        <w:rPr>
          <w:rFonts w:ascii="KaiTi_GB2312" w:hAnsi="KaiTi_GB2312" w:eastAsia="KaiTi_GB2312" w:cs="KaiTi_GB2312"/>
          <w:spacing w:val="9"/>
          <w:sz w:val="31"/>
          <w:szCs w:val="31"/>
        </w:rPr>
        <w:t>（三）强化项目监督管理</w:t>
      </w:r>
    </w:p>
    <w:p>
      <w:pPr>
        <w:pStyle w:val="2"/>
        <w:spacing w:before="191" w:line="334" w:lineRule="auto"/>
        <w:ind w:left="13" w:right="95" w:firstLine="628"/>
      </w:pPr>
      <w:r>
        <w:rPr>
          <w:spacing w:val="5"/>
        </w:rPr>
        <w:t>建立了项目监督检查制度，定期对获得资金扶持的企业进行监督检查，了解项目进展情况和资金使用情况。要求企业按照专</w:t>
      </w:r>
    </w:p>
    <w:p>
      <w:pPr>
        <w:spacing w:line="334" w:lineRule="auto"/>
        <w:sectPr>
          <w:footerReference r:id="rId8" w:type="default"/>
          <w:pgSz w:w="11906" w:h="16839"/>
          <w:pgMar w:top="1431" w:right="1435" w:bottom="1761" w:left="1539" w:header="0" w:footer="1393" w:gutter="0"/>
          <w:cols w:space="720" w:num="1"/>
        </w:sect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2"/>
        <w:spacing w:before="101" w:line="333" w:lineRule="auto"/>
        <w:ind w:left="15" w:right="40" w:hanging="7"/>
      </w:pPr>
      <w:r>
        <w:rPr>
          <w:spacing w:val="5"/>
        </w:rPr>
        <w:t>款专用的原则使用资金，并定期报送项目实施情况和资金使用报</w:t>
      </w:r>
      <w:r>
        <w:rPr>
          <w:spacing w:val="3"/>
        </w:rPr>
        <w:t>告，确保项目资金使用规范、合理，项</w:t>
      </w:r>
      <w:r>
        <w:rPr>
          <w:spacing w:val="-72"/>
        </w:rPr>
        <w:t xml:space="preserve"> </w:t>
      </w:r>
      <w:r>
        <w:rPr>
          <w:spacing w:val="3"/>
        </w:rPr>
        <w:t>目</w:t>
      </w:r>
      <w:r>
        <w:rPr>
          <w:spacing w:val="-85"/>
        </w:rPr>
        <w:t xml:space="preserve"> </w:t>
      </w:r>
      <w:r>
        <w:rPr>
          <w:spacing w:val="3"/>
        </w:rPr>
        <w:t>目标能够顺利实现。</w:t>
      </w:r>
    </w:p>
    <w:p>
      <w:pPr>
        <w:spacing w:line="227" w:lineRule="auto"/>
        <w:ind w:left="656"/>
        <w:outlineLvl w:val="0"/>
        <w:rPr>
          <w:rFonts w:ascii="黑体" w:hAnsi="黑体" w:eastAsia="黑体" w:cs="黑体"/>
          <w:sz w:val="31"/>
          <w:szCs w:val="31"/>
        </w:rPr>
      </w:pPr>
      <w:r>
        <w:rPr>
          <w:rFonts w:ascii="黑体" w:hAnsi="黑体" w:eastAsia="黑体" w:cs="黑体"/>
          <w:spacing w:val="7"/>
          <w:sz w:val="31"/>
          <w:szCs w:val="31"/>
        </w:rPr>
        <w:t>六、存在的问题及原因分析</w:t>
      </w:r>
    </w:p>
    <w:p>
      <w:pPr>
        <w:pStyle w:val="2"/>
        <w:spacing w:before="186" w:line="333" w:lineRule="auto"/>
        <w:ind w:left="8" w:right="38" w:firstLine="638"/>
        <w:jc w:val="both"/>
        <w:rPr>
          <w:spacing w:val="5"/>
        </w:rPr>
      </w:pPr>
      <w:r>
        <w:rPr>
          <w:spacing w:val="5"/>
        </w:rPr>
        <w:t>磷石膏综合利用率未达标</w:t>
      </w:r>
      <w:r>
        <w:rPr>
          <w:rFonts w:hint="eastAsia"/>
          <w:spacing w:val="5"/>
          <w:lang w:val="en-US" w:eastAsia="zh-CN"/>
        </w:rPr>
        <w:t>:</w:t>
      </w:r>
      <w:r>
        <w:rPr>
          <w:spacing w:val="5"/>
        </w:rPr>
        <w:t>尽管采取了一系列措施，但 2024 年全县磷石膏综合利用率仅为 67.41% ，未达到 75%的目标。原因主要包括：一方面，部分企业的磷石膏综合利用技术水平有限，生产工艺不够先进，导致综合利用效率不高；另一方面，磷石膏综合利用产品的市场需求相对不足，产品销售渠道不够畅通，企业的生产积极性受到一定影响。此外，磷石膏产生量较大，而综合利用能力相对有限，也是导致综合利用率未达标的重要因素。</w:t>
      </w:r>
    </w:p>
    <w:p>
      <w:pPr>
        <w:spacing w:before="52" w:line="227" w:lineRule="auto"/>
        <w:ind w:left="645"/>
        <w:outlineLvl w:val="0"/>
        <w:rPr>
          <w:rFonts w:ascii="黑体" w:hAnsi="黑体" w:eastAsia="黑体" w:cs="黑体"/>
          <w:sz w:val="31"/>
          <w:szCs w:val="31"/>
        </w:rPr>
      </w:pPr>
      <w:r>
        <w:rPr>
          <w:rFonts w:ascii="黑体" w:hAnsi="黑体" w:eastAsia="黑体" w:cs="黑体"/>
          <w:spacing w:val="7"/>
          <w:sz w:val="31"/>
          <w:szCs w:val="31"/>
        </w:rPr>
        <w:t>七、有关建议</w:t>
      </w:r>
    </w:p>
    <w:p>
      <w:pPr>
        <w:spacing w:before="180" w:line="222" w:lineRule="auto"/>
        <w:ind w:left="477"/>
        <w:rPr>
          <w:rFonts w:ascii="KaiTi_GB2312" w:hAnsi="KaiTi_GB2312" w:eastAsia="KaiTi_GB2312" w:cs="KaiTi_GB2312"/>
          <w:sz w:val="31"/>
          <w:szCs w:val="31"/>
        </w:rPr>
      </w:pPr>
      <w:r>
        <w:rPr>
          <w:rFonts w:ascii="KaiTi_GB2312" w:hAnsi="KaiTi_GB2312" w:eastAsia="KaiTi_GB2312" w:cs="KaiTi_GB2312"/>
          <w:spacing w:val="9"/>
          <w:sz w:val="31"/>
          <w:szCs w:val="31"/>
        </w:rPr>
        <w:t>（一）加大技术研发和创新支持力度</w:t>
      </w:r>
    </w:p>
    <w:p>
      <w:pPr>
        <w:pStyle w:val="2"/>
        <w:spacing w:before="186" w:line="333" w:lineRule="auto"/>
        <w:ind w:left="8" w:right="38" w:firstLine="638"/>
        <w:jc w:val="both"/>
      </w:pPr>
      <w:r>
        <w:rPr>
          <w:spacing w:val="5"/>
        </w:rPr>
        <w:t>设立磷石膏综合利用技术研发专项资金，鼓励企业与</w:t>
      </w:r>
      <w:r>
        <w:rPr>
          <w:spacing w:val="4"/>
        </w:rPr>
        <w:t>科研院</w:t>
      </w:r>
      <w:r>
        <w:rPr>
          <w:spacing w:val="5"/>
        </w:rPr>
        <w:t>校合作，开展磷石膏综合利用技术的研发和创新。支持企业引进先进的生产工艺和设备，提高磷石膏综合利用的效率和质量。同时，建立磷石膏综合利用技术创新平台，促进技术交流和成果转</w:t>
      </w:r>
    </w:p>
    <w:p>
      <w:pPr>
        <w:spacing w:line="333" w:lineRule="auto"/>
        <w:sectPr>
          <w:footerReference r:id="rId9" w:type="default"/>
          <w:pgSz w:w="11906" w:h="16839"/>
          <w:pgMar w:top="1431" w:right="1492" w:bottom="1761" w:left="1537" w:header="0" w:footer="1396" w:gutter="0"/>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0" w:line="221" w:lineRule="auto"/>
        <w:ind w:left="14"/>
      </w:pPr>
      <w:r>
        <w:rPr>
          <w:spacing w:val="-8"/>
        </w:rPr>
        <w:t>化。</w:t>
      </w:r>
    </w:p>
    <w:p>
      <w:pPr>
        <w:spacing w:before="4" w:line="219" w:lineRule="auto"/>
        <w:ind w:left="475"/>
        <w:rPr>
          <w:rFonts w:ascii="KaiTi_GB2312" w:hAnsi="KaiTi_GB2312" w:eastAsia="KaiTi_GB2312" w:cs="KaiTi_GB2312"/>
          <w:sz w:val="31"/>
          <w:szCs w:val="31"/>
        </w:rPr>
      </w:pPr>
      <w:r>
        <w:rPr>
          <w:rFonts w:ascii="KaiTi_GB2312" w:hAnsi="KaiTi_GB2312" w:eastAsia="KaiTi_GB2312" w:cs="KaiTi_GB2312"/>
          <w:spacing w:val="9"/>
          <w:sz w:val="31"/>
          <w:szCs w:val="31"/>
        </w:rPr>
        <w:t>（</w:t>
      </w:r>
      <w:r>
        <w:rPr>
          <w:rFonts w:hint="eastAsia" w:ascii="KaiTi_GB2312" w:hAnsi="KaiTi_GB2312" w:eastAsia="KaiTi_GB2312" w:cs="KaiTi_GB2312"/>
          <w:spacing w:val="9"/>
          <w:sz w:val="31"/>
          <w:szCs w:val="31"/>
          <w:lang w:eastAsia="zh-CN"/>
        </w:rPr>
        <w:t>二</w:t>
      </w:r>
      <w:r>
        <w:rPr>
          <w:rFonts w:ascii="KaiTi_GB2312" w:hAnsi="KaiTi_GB2312" w:eastAsia="KaiTi_GB2312" w:cs="KaiTi_GB2312"/>
          <w:spacing w:val="9"/>
          <w:sz w:val="31"/>
          <w:szCs w:val="31"/>
        </w:rPr>
        <w:t>）拓展磷石膏综合利用产品市场</w:t>
      </w:r>
    </w:p>
    <w:p>
      <w:pPr>
        <w:pStyle w:val="2"/>
        <w:spacing w:before="192" w:line="333" w:lineRule="auto"/>
        <w:ind w:left="6" w:right="38" w:firstLine="638"/>
        <w:jc w:val="both"/>
      </w:pPr>
      <w:r>
        <w:rPr>
          <w:spacing w:val="5"/>
        </w:rPr>
        <w:t>加强对磷石膏综合利用产品的宣传和推广，提高社会对其产品的认知度和认可度。鼓励政府部门和企业在相关工程项目中优先使用磷石膏综合利用产品，扩大产品的市场需求。同时，引导企业加强市场调研，根据市场需求调整产品结构，开发适销对路</w:t>
      </w:r>
      <w:r>
        <w:rPr>
          <w:spacing w:val="7"/>
        </w:rPr>
        <w:t>的产品，拓宽销售渠道。</w:t>
      </w:r>
    </w:p>
    <w:p>
      <w:pPr>
        <w:spacing w:before="4" w:line="226" w:lineRule="auto"/>
        <w:ind w:left="644"/>
        <w:outlineLvl w:val="0"/>
        <w:rPr>
          <w:rFonts w:ascii="黑体" w:hAnsi="黑体" w:eastAsia="黑体" w:cs="黑体"/>
          <w:sz w:val="31"/>
          <w:szCs w:val="31"/>
        </w:rPr>
      </w:pPr>
      <w:r>
        <w:rPr>
          <w:rFonts w:ascii="黑体" w:hAnsi="黑体" w:eastAsia="黑体" w:cs="黑体"/>
          <w:spacing w:val="8"/>
          <w:sz w:val="31"/>
          <w:szCs w:val="31"/>
        </w:rPr>
        <w:t>八、其他需要说明的问题</w:t>
      </w:r>
    </w:p>
    <w:p>
      <w:pPr>
        <w:pStyle w:val="2"/>
        <w:spacing w:before="175" w:line="334" w:lineRule="auto"/>
        <w:ind w:firstLine="648"/>
        <w:jc w:val="both"/>
      </w:pPr>
      <w:r>
        <w:rPr>
          <w:spacing w:val="5"/>
        </w:rPr>
        <w:t>在后续项目实施过程中，需密切关注磷石膏产生</w:t>
      </w:r>
      <w:r>
        <w:rPr>
          <w:spacing w:val="4"/>
        </w:rPr>
        <w:t>量和综合利</w:t>
      </w:r>
      <w:r>
        <w:rPr>
          <w:spacing w:val="5"/>
        </w:rPr>
        <w:t>用量的变化情况，及时调整相关政策和措施。同时，建议加强对</w:t>
      </w:r>
      <w:r>
        <w:rPr>
          <w:spacing w:val="7"/>
        </w:rPr>
        <w:t>磷石膏综合利用行业的统计监测，建立健全相关数据统</w:t>
      </w:r>
      <w:r>
        <w:rPr>
          <w:spacing w:val="6"/>
        </w:rPr>
        <w:t>计体系，</w:t>
      </w:r>
      <w:r>
        <w:rPr>
          <w:spacing w:val="5"/>
        </w:rPr>
        <w:t>为项目的实施和绩效评价提供更加准确、可靠的数据支持。</w:t>
      </w:r>
    </w:p>
    <w:p>
      <w:pPr>
        <w:spacing w:line="451" w:lineRule="auto"/>
        <w:rPr>
          <w:rFonts w:ascii="Arial"/>
          <w:sz w:val="21"/>
        </w:rPr>
      </w:pPr>
    </w:p>
    <w:p>
      <w:pPr>
        <w:pStyle w:val="2"/>
        <w:spacing w:before="101" w:line="419" w:lineRule="exact"/>
        <w:ind w:right="40"/>
        <w:jc w:val="right"/>
      </w:pPr>
      <w:r>
        <w:rPr>
          <w:spacing w:val="11"/>
          <w:position w:val="1"/>
        </w:rPr>
        <w:t>附件</w:t>
      </w:r>
      <w:r>
        <w:rPr>
          <w:spacing w:val="-23"/>
          <w:position w:val="1"/>
        </w:rPr>
        <w:t xml:space="preserve"> </w:t>
      </w:r>
      <w:r>
        <w:rPr>
          <w:rFonts w:ascii="Times New Roman" w:hAnsi="Times New Roman" w:eastAsia="Times New Roman" w:cs="Times New Roman"/>
          <w:spacing w:val="11"/>
          <w:position w:val="1"/>
        </w:rPr>
        <w:t>1</w:t>
      </w:r>
      <w:r>
        <w:rPr>
          <w:rFonts w:ascii="Times New Roman" w:hAnsi="Times New Roman" w:eastAsia="Times New Roman" w:cs="Times New Roman"/>
          <w:spacing w:val="-40"/>
          <w:position w:val="1"/>
        </w:rPr>
        <w:t xml:space="preserve"> </w:t>
      </w:r>
      <w:r>
        <w:rPr>
          <w:spacing w:val="11"/>
          <w:position w:val="1"/>
        </w:rPr>
        <w:t>：富民县科工信局</w:t>
      </w:r>
      <w:r>
        <w:rPr>
          <w:rFonts w:ascii="Times New Roman" w:hAnsi="Times New Roman" w:eastAsia="Times New Roman" w:cs="Times New Roman"/>
          <w:spacing w:val="11"/>
          <w:position w:val="1"/>
        </w:rPr>
        <w:t>2024</w:t>
      </w:r>
      <w:r>
        <w:rPr>
          <w:rFonts w:ascii="Times New Roman" w:hAnsi="Times New Roman" w:eastAsia="Times New Roman" w:cs="Times New Roman"/>
          <w:spacing w:val="24"/>
          <w:position w:val="1"/>
        </w:rPr>
        <w:t xml:space="preserve"> </w:t>
      </w:r>
      <w:r>
        <w:rPr>
          <w:spacing w:val="11"/>
          <w:position w:val="1"/>
        </w:rPr>
        <w:t>年磷石膏综合利用扶持方向</w:t>
      </w:r>
    </w:p>
    <w:p>
      <w:pPr>
        <w:spacing w:line="419" w:lineRule="exact"/>
        <w:sectPr>
          <w:footerReference r:id="rId10" w:type="default"/>
          <w:pgSz w:w="11906" w:h="16839"/>
          <w:pgMar w:top="1431" w:right="1492" w:bottom="1761" w:left="1539" w:header="0" w:footer="1396" w:gutter="0"/>
          <w:cols w:space="720" w:num="1"/>
        </w:sect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2"/>
        <w:spacing w:before="101" w:line="218" w:lineRule="auto"/>
      </w:pPr>
      <w:r>
        <w:rPr>
          <w:spacing w:val="7"/>
        </w:rPr>
        <w:t>资金支出绩效自评表</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2"/>
        <w:spacing w:before="97" w:line="222" w:lineRule="auto"/>
        <w:jc w:val="right"/>
        <w:rPr>
          <w:sz w:val="30"/>
          <w:szCs w:val="30"/>
        </w:rPr>
      </w:pPr>
      <w:r>
        <w:rPr>
          <w:spacing w:val="6"/>
          <w:sz w:val="30"/>
          <w:szCs w:val="30"/>
        </w:rPr>
        <w:t>富民县科学技术和工业信息化局</w:t>
      </w:r>
    </w:p>
    <w:p>
      <w:pPr>
        <w:pStyle w:val="2"/>
        <w:spacing w:before="151" w:line="407" w:lineRule="exact"/>
        <w:ind w:left="5560"/>
        <w:rPr>
          <w:sz w:val="30"/>
          <w:szCs w:val="30"/>
        </w:rPr>
      </w:pPr>
      <w:r>
        <w:rPr>
          <w:rFonts w:ascii="Times New Roman" w:hAnsi="Times New Roman" w:eastAsia="Times New Roman" w:cs="Times New Roman"/>
          <w:spacing w:val="-3"/>
          <w:position w:val="1"/>
          <w:sz w:val="30"/>
          <w:szCs w:val="30"/>
        </w:rPr>
        <w:t>202</w:t>
      </w:r>
      <w:r>
        <w:rPr>
          <w:rFonts w:hint="eastAsia" w:ascii="Times New Roman" w:hAnsi="Times New Roman" w:eastAsia="宋体" w:cs="Times New Roman"/>
          <w:spacing w:val="-3"/>
          <w:position w:val="1"/>
          <w:sz w:val="30"/>
          <w:szCs w:val="30"/>
          <w:lang w:val="en-US" w:eastAsia="zh-CN"/>
        </w:rPr>
        <w:t>6</w:t>
      </w:r>
      <w:r>
        <w:rPr>
          <w:rFonts w:ascii="Times New Roman" w:hAnsi="Times New Roman" w:eastAsia="Times New Roman" w:cs="Times New Roman"/>
          <w:spacing w:val="19"/>
          <w:position w:val="1"/>
          <w:sz w:val="30"/>
          <w:szCs w:val="30"/>
        </w:rPr>
        <w:t xml:space="preserve"> </w:t>
      </w:r>
      <w:r>
        <w:rPr>
          <w:spacing w:val="-3"/>
          <w:position w:val="1"/>
          <w:sz w:val="30"/>
          <w:szCs w:val="30"/>
        </w:rPr>
        <w:t>年</w:t>
      </w:r>
      <w:r>
        <w:rPr>
          <w:spacing w:val="-59"/>
          <w:position w:val="1"/>
          <w:sz w:val="30"/>
          <w:szCs w:val="30"/>
        </w:rPr>
        <w:t xml:space="preserve"> </w:t>
      </w:r>
      <w:r>
        <w:rPr>
          <w:rFonts w:ascii="Times New Roman" w:hAnsi="Times New Roman" w:eastAsia="Times New Roman" w:cs="Times New Roman"/>
          <w:spacing w:val="-3"/>
          <w:position w:val="1"/>
          <w:sz w:val="30"/>
          <w:szCs w:val="30"/>
        </w:rPr>
        <w:t>3</w:t>
      </w:r>
      <w:r>
        <w:rPr>
          <w:rFonts w:ascii="Times New Roman" w:hAnsi="Times New Roman" w:eastAsia="Times New Roman" w:cs="Times New Roman"/>
          <w:spacing w:val="31"/>
          <w:position w:val="1"/>
          <w:sz w:val="30"/>
          <w:szCs w:val="30"/>
        </w:rPr>
        <w:t xml:space="preserve"> </w:t>
      </w:r>
      <w:r>
        <w:rPr>
          <w:spacing w:val="-3"/>
          <w:position w:val="1"/>
          <w:sz w:val="30"/>
          <w:szCs w:val="30"/>
        </w:rPr>
        <w:t>月</w:t>
      </w:r>
      <w:r>
        <w:rPr>
          <w:spacing w:val="-59"/>
          <w:position w:val="1"/>
          <w:sz w:val="30"/>
          <w:szCs w:val="30"/>
        </w:rPr>
        <w:t xml:space="preserve"> </w:t>
      </w:r>
      <w:r>
        <w:rPr>
          <w:rFonts w:hint="eastAsia" w:ascii="Times New Roman" w:hAnsi="Times New Roman" w:eastAsia="宋体" w:cs="Times New Roman"/>
          <w:spacing w:val="-3"/>
          <w:position w:val="1"/>
          <w:sz w:val="30"/>
          <w:szCs w:val="30"/>
          <w:lang w:val="en-US" w:eastAsia="zh-CN"/>
        </w:rPr>
        <w:t>27</w:t>
      </w:r>
      <w:r>
        <w:rPr>
          <w:rFonts w:ascii="Times New Roman" w:hAnsi="Times New Roman" w:eastAsia="Times New Roman" w:cs="Times New Roman"/>
          <w:spacing w:val="-3"/>
          <w:position w:val="1"/>
          <w:sz w:val="30"/>
          <w:szCs w:val="30"/>
        </w:rPr>
        <w:t xml:space="preserve">  </w:t>
      </w:r>
      <w:r>
        <w:rPr>
          <w:spacing w:val="-3"/>
          <w:position w:val="1"/>
          <w:sz w:val="30"/>
          <w:szCs w:val="30"/>
        </w:rPr>
        <w:t>日</w:t>
      </w:r>
    </w:p>
    <w:p>
      <w:pPr>
        <w:spacing w:line="407" w:lineRule="exact"/>
        <w:rPr>
          <w:sz w:val="30"/>
          <w:szCs w:val="30"/>
        </w:rPr>
        <w:sectPr>
          <w:footerReference r:id="rId11" w:type="default"/>
          <w:pgSz w:w="11906" w:h="16839"/>
          <w:pgMar w:top="1431" w:right="1530" w:bottom="1761" w:left="1557" w:header="0" w:footer="1396" w:gutter="0"/>
          <w:cols w:space="720" w:num="1"/>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1" w:line="241" w:lineRule="auto"/>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8</w:t>
      </w:r>
      <w:r>
        <w:rPr>
          <w:rFonts w:ascii="宋体" w:hAnsi="宋体" w:eastAsia="宋体" w:cs="宋体"/>
          <w:spacing w:val="7"/>
          <w:sz w:val="28"/>
          <w:szCs w:val="28"/>
        </w:rPr>
        <w:t xml:space="preserve"> </w:t>
      </w:r>
      <w:r>
        <w:rPr>
          <w:rFonts w:ascii="宋体" w:hAnsi="宋体" w:eastAsia="宋体" w:cs="宋体"/>
          <w:spacing w:val="-7"/>
          <w:sz w:val="28"/>
          <w:szCs w:val="28"/>
        </w:rPr>
        <w:t>-</w:t>
      </w:r>
    </w:p>
    <w:sectPr>
      <w:footerReference r:id="rId12" w:type="default"/>
      <w:pgSz w:w="16839" w:h="11906"/>
      <w:pgMar w:top="1012" w:right="2525" w:bottom="400" w:left="145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ind w:left="8135"/>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3"/>
        <w:sz w:val="28"/>
        <w:szCs w:val="28"/>
      </w:rPr>
      <w:t xml:space="preserve"> </w:t>
    </w:r>
    <w:r>
      <w:rPr>
        <w:rFonts w:ascii="宋体" w:hAnsi="宋体" w:eastAsia="宋体" w:cs="宋体"/>
        <w:spacing w:val="-14"/>
        <w:sz w:val="28"/>
        <w:szCs w:val="28"/>
      </w:rPr>
      <w:t>1</w:t>
    </w:r>
    <w:r>
      <w:rPr>
        <w:rFonts w:ascii="宋体" w:hAnsi="宋体" w:eastAsia="宋体" w:cs="宋体"/>
        <w:spacing w:val="7"/>
        <w:sz w:val="28"/>
        <w:szCs w:val="28"/>
      </w:rPr>
      <w:t xml:space="preserve"> </w:t>
    </w:r>
    <w:r>
      <w:rPr>
        <w:rFonts w:ascii="宋体" w:hAnsi="宋体" w:eastAsia="宋体" w:cs="宋体"/>
        <w:spacing w:val="-14"/>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ind w:left="8"/>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2</w:t>
    </w:r>
    <w:r>
      <w:rPr>
        <w:rFonts w:ascii="宋体" w:hAnsi="宋体" w:eastAsia="宋体" w:cs="宋体"/>
        <w:spacing w:val="7"/>
        <w:sz w:val="28"/>
        <w:szCs w:val="28"/>
      </w:rPr>
      <w:t xml:space="preserve"> </w:t>
    </w:r>
    <w:r>
      <w:rPr>
        <w:rFonts w:ascii="宋体" w:hAnsi="宋体" w:eastAsia="宋体" w:cs="宋体"/>
        <w:spacing w:val="-8"/>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8144"/>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3</w:t>
    </w:r>
    <w:r>
      <w:rPr>
        <w:rFonts w:ascii="宋体" w:hAnsi="宋体" w:eastAsia="宋体" w:cs="宋体"/>
        <w:spacing w:val="7"/>
        <w:sz w:val="28"/>
        <w:szCs w:val="28"/>
      </w:rPr>
      <w:t xml:space="preserve"> </w:t>
    </w:r>
    <w:r>
      <w:rPr>
        <w:rFonts w:ascii="宋体" w:hAnsi="宋体" w:eastAsia="宋体" w:cs="宋体"/>
        <w:spacing w:val="-9"/>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ind w:left="4"/>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0"/>
        <w:sz w:val="28"/>
        <w:szCs w:val="28"/>
      </w:rPr>
      <w:t xml:space="preserve"> </w:t>
    </w:r>
    <w:r>
      <w:rPr>
        <w:rFonts w:ascii="宋体" w:hAnsi="宋体" w:eastAsia="宋体" w:cs="宋体"/>
        <w:spacing w:val="-6"/>
        <w:sz w:val="28"/>
        <w:szCs w:val="28"/>
      </w:rPr>
      <w:t>4</w:t>
    </w:r>
    <w:r>
      <w:rPr>
        <w:rFonts w:ascii="宋体" w:hAnsi="宋体" w:eastAsia="宋体" w:cs="宋体"/>
        <w:spacing w:val="6"/>
        <w:sz w:val="28"/>
        <w:szCs w:val="28"/>
      </w:rPr>
      <w:t xml:space="preserve"> </w:t>
    </w:r>
    <w:r>
      <w:rPr>
        <w:rFonts w:ascii="宋体" w:hAnsi="宋体" w:eastAsia="宋体" w:cs="宋体"/>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right="35"/>
      <w:jc w:val="right"/>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5</w:t>
    </w:r>
    <w:r>
      <w:rPr>
        <w:rFonts w:ascii="宋体" w:hAnsi="宋体" w:eastAsia="宋体" w:cs="宋体"/>
        <w:spacing w:val="7"/>
        <w:sz w:val="28"/>
        <w:szCs w:val="28"/>
      </w:rPr>
      <w:t xml:space="preserve"> </w:t>
    </w:r>
    <w:r>
      <w:rPr>
        <w:rFonts w:ascii="宋体" w:hAnsi="宋体" w:eastAsia="宋体" w:cs="宋体"/>
        <w:spacing w:val="-9"/>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4"/>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3"/>
        <w:sz w:val="28"/>
        <w:szCs w:val="28"/>
      </w:rPr>
      <w:t xml:space="preserve"> </w:t>
    </w:r>
    <w:r>
      <w:rPr>
        <w:rFonts w:ascii="宋体" w:hAnsi="宋体" w:eastAsia="宋体" w:cs="宋体"/>
        <w:spacing w:val="-7"/>
        <w:sz w:val="28"/>
        <w:szCs w:val="28"/>
      </w:rPr>
      <w:t>6</w:t>
    </w:r>
    <w:r>
      <w:rPr>
        <w:rFonts w:ascii="宋体" w:hAnsi="宋体" w:eastAsia="宋体" w:cs="宋体"/>
        <w:spacing w:val="6"/>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jc w:val="right"/>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19"/>
        <w:sz w:val="28"/>
        <w:szCs w:val="28"/>
      </w:rPr>
      <w:t xml:space="preserve"> </w:t>
    </w:r>
    <w:r>
      <w:rPr>
        <w:rFonts w:ascii="宋体" w:hAnsi="宋体" w:eastAsia="宋体" w:cs="宋体"/>
        <w:spacing w:val="-13"/>
        <w:sz w:val="28"/>
        <w:szCs w:val="28"/>
      </w:rPr>
      <w:t>7</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0BC4F4F"/>
    <w:rsid w:val="668315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2799</Words>
  <Characters>2915</Characters>
  <TotalTime>9</TotalTime>
  <ScaleCrop>false</ScaleCrop>
  <LinksUpToDate>false</LinksUpToDate>
  <CharactersWithSpaces>2966</CharactersWithSpaces>
  <Application>WPS Office_11.8.2.12089_F1E327BC-269C-435d-A152-05C5408002CA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2026-03-27T11:28:00Z</dcterms:created>
  <dc:creator>t1</dc:creator>
  <cp:lastModifiedBy>lenovo</cp:lastModifiedBy>
  <dcterms:modified xsi:type="dcterms:W3CDTF">2026-04-14T02:45:00Z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2026-03-27T11:28:50Z</vt:filetime>
  </property>
  <property fmtid="{D5CDD505-2E9C-101B-9397-08002B2CF9AE}" pid="4" name="KSOTemplateDocerSaveRecord">
    <vt:lpwstr>eyJoZGlkIjoiY2JjOWEwNTZjYjUwMjEzMmRmZDc5ZDhlYzJlOTE1MmEiLCJ1c2VySWQiOiIyNzI4NDYxMTYifQ==</vt:lpwstr>
  </property>
  <property fmtid="{D5CDD505-2E9C-101B-9397-08002B2CF9AE}" pid="5" name="KSOProductBuildVer">
    <vt:lpwstr>2052-11.8.2.12089</vt:lpwstr>
  </property>
  <property fmtid="{D5CDD505-2E9C-101B-9397-08002B2CF9AE}" pid="6" name="ICV">
    <vt:lpwstr>D139F7FEE0C34D18B75AFDB6CE2E1299_12</vt:lpwstr>
  </property>
</Properties>
</file>