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富民县市场监督管理局市场监管专项经费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项目支出绩效评价报告</w:t>
      </w:r>
    </w:p>
    <w:p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600" w:lineRule="exact"/>
        <w:ind w:left="263" w:leftChars="125" w:firstLine="640" w:firstLineChars="200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全面履行市场监管法定职责，规范市场经营秩序，强化食品药品、特种设备、产品质量、价格、反不正当竞争、知识产权等重点领域监管执法，防范市场安全风险，维护消费者合法权益，保障市场经济平稳有序运行，特设立市场监管执法经费项目。2025年县财政预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市场监管专项经费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万元，实际到位资金15万元，已全部投入使用，使用率100%。主要用于办公用品保障、印刷相关宣传材料标语，开展执法人员培训、企业培训，专项整治行动、执法办案、投诉举报处置、市场日常巡查等方面，资金专款专用，支出合规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（二）项目绩效目标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总体目标。提升市场监管执法效能，严守市场安全底线，规范市场竞争秩序，降低市场安全事故发生率，提高群众消费满意度，营造公平、有序、安全的市场环境。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2.阶段性目标。完成年度执法检查、抽样检验、案件查办、消费维权等量化任务；完善执法流程，提升执法队伍专业能力；保障重点领域市场安全，有效遏制违法违规行为。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（三）项目组织管理情况。</w:t>
      </w:r>
      <w:r>
        <w:rPr>
          <w:rFonts w:hint="eastAsia" w:ascii="Times New Roman" w:hAnsi="Times New Roman" w:eastAsia="仿宋_GB2312"/>
          <w:sz w:val="32"/>
          <w:szCs w:val="32"/>
        </w:rPr>
        <w:t>包括项目相关方职责分工、管理流程、组织实施、制度建设情况等。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</w:rPr>
        <w:t>富民县市场监督管理局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lang w:eastAsia="zh-CN"/>
        </w:rPr>
        <w:t>市场监管专项经费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lang w:val="en-US" w:eastAsia="zh-CN"/>
        </w:rPr>
        <w:t>根据分配科学性原则，建立“预算申报—执行管控—绩效跟踪—决算审核”全流程管理机制。由项目实施科室统一安排相关资金使用情况。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</w:rPr>
        <w:t>富民县市场监督管理局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  <w:lang w:eastAsia="zh-CN"/>
        </w:rPr>
        <w:t>办公室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</w:rPr>
        <w:t>接到财政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  <w:lang w:val="en-US" w:eastAsia="zh-CN"/>
        </w:rPr>
        <w:t>下达项目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</w:rPr>
        <w:t>资金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  <w:lang w:eastAsia="zh-CN"/>
        </w:rPr>
        <w:t>通知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</w:rPr>
        <w:t>，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  <w:lang w:eastAsia="zh-CN"/>
        </w:rPr>
        <w:t>由财务人员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</w:rPr>
        <w:t>做项目绩效目标表，录入绩效目标和相关指示情况，在科学合理的情况下进行项目费用细化指标，并对细化后的资金支出进行跟踪监督。</w:t>
      </w:r>
      <w:r>
        <w:rPr>
          <w:rFonts w:hint="eastAsia" w:ascii="仿宋_GB2312" w:hAnsi="楷体" w:eastAsia="仿宋_GB2312" w:cs="方正仿宋_GBK"/>
          <w:color w:val="auto"/>
          <w:sz w:val="32"/>
          <w:szCs w:val="32"/>
          <w:lang w:val="en-US" w:eastAsia="zh-CN"/>
        </w:rPr>
        <w:t>拨付项目资金时，项目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资金实行专项核算、统一管理、专款专用。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使用资金时，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严格执行《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法》和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政府会计制度》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，加强内部资金监管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在资金使用时，由主管副局长核实，报局长审批，再交由财政部门审核后，拨付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资金。</w:t>
      </w:r>
      <w:r>
        <w:rPr>
          <w:rFonts w:hint="eastAsia" w:ascii="仿宋_GB2312" w:eastAsia="仿宋_GB2312"/>
          <w:color w:val="auto"/>
          <w:sz w:val="32"/>
          <w:szCs w:val="32"/>
        </w:rPr>
        <w:t>在资金使用过程中，实行专项管理，封闭运行，避免出现虚列开支、编制假账、挤占、挪用、截留建设资金的情况。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1.评价目的。全面掌握市场监管执法经费使用效益，评估项目绩效目标实现程度，发现管理短板，提出改进措施，提升资金使用效率与监管执法水平。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2.评价对象。市场监管执法经费项目。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3.评价范围。项目资金使用、组织实施、产出成果、社会效益、可持续影响等全流程内容。</w:t>
      </w:r>
    </w:p>
    <w:p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评价方法、标准、抽样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等</w:t>
      </w:r>
    </w:p>
    <w:p>
      <w:pPr>
        <w:numPr>
          <w:ilvl w:val="0"/>
          <w:numId w:val="0"/>
        </w:num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富民县市场监督管理局市场监管专项经费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评价根据科学公正、统筹兼顾、客观精准的原则，依据《云南省项目支出绩效评价管理办法》、《内部控制管理办法》、《富民县市场监督管理局财务制度管理办法》等相关制度文件。 从产出、效益、满意度 3个维度设置指标，涵盖数量、质量、时效、成本、社会影响等多方面指标内容，采用因素分析法、文档核查、问卷调查等方法，以年度工作计划、法定监管职责、群众满意度为依据。随机抽取执法案卷、抽检报告、消费投诉处置记录、资金支出凭证等进行核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263" w:leftChars="125"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富民县市场监督管理局成立以分管财务的副局长为组长，财务负责人为副组长，各科室、所、中心负责人为成员的评价小组，制定了评价方案。由有资金支出的各科室自行收集材料，并对数据核查，核查范围包括资金使用情况，与事前评估是否一致、效益成果等。由各市场所、行政许可科走访经营主体、群众，发放调查问卷，调查企业、群众满意度，营商环境提升程度等。前期工作准备完毕后统一进行综合分析，对照指标评分，形成评价结论。 </w:t>
      </w:r>
    </w:p>
    <w:p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综合评价情况及评价结论（附相关评分表）</w:t>
      </w:r>
    </w:p>
    <w:p>
      <w:pPr>
        <w:numPr>
          <w:ilvl w:val="0"/>
          <w:numId w:val="3"/>
        </w:numPr>
        <w:spacing w:line="600" w:lineRule="exact"/>
        <w:ind w:left="20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绩效评价综合结论</w:t>
      </w:r>
    </w:p>
    <w:p>
      <w:pPr>
        <w:pStyle w:val="2"/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15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15"/>
          <w:lang w:eastAsia="zh-CN"/>
        </w:rPr>
        <w:t>市场监管专项经费项目支出绩效目标评分如下表所示：</w:t>
      </w:r>
    </w:p>
    <w:p>
      <w:pPr>
        <w:pStyle w:val="2"/>
        <w:numPr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15"/>
          <w:lang w:eastAsia="zh-CN"/>
        </w:rPr>
      </w:pPr>
    </w:p>
    <w:tbl>
      <w:tblPr>
        <w:tblW w:w="9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273"/>
        <w:gridCol w:w="1462"/>
        <w:gridCol w:w="825"/>
        <w:gridCol w:w="830"/>
        <w:gridCol w:w="3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6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项目支出绩效目标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项目绩效指标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年度指标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监管企业户数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本年度监管覆盖企业和个体工商户，年初设置指标值未充分预判市场主体注销、迁出、吊销等情况，导致存在偏差，下一步我单位将合理制定监管户数。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开展专项检查次数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开展宣传次数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本年度开展宣传覆盖领域包含法律法规宣传、质量计量日宣传、消费者权益宣传、用药安全宣传、知识产权保护宣传等多个领域导致的偏差，下一步我单位将合理规划宣传次数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开展企业培训次数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食品安全监督和风险监测抽样覆盖率和不合格产品处置率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监管工作完成率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监管工作办公设备的保障及时完成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专项检查任务按时完成率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198400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规范市场秩序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营商环境稳步提升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消费者消费信心指数满意度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无偏差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Noto Color Emoji" w:hAnsi="Noto Color Emoji" w:eastAsia="Noto Color Emoji" w:cs="Noto Color Emoj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kern w:val="0"/>
          <w:sz w:val="32"/>
          <w:szCs w:val="32"/>
          <w:shd w:val="clear" w:fill="FFFFFF"/>
          <w:lang w:val="en-US" w:eastAsia="zh-CN" w:bidi="ar"/>
        </w:rPr>
        <w:t>经综合评价，本项目绩效评价满分90分，得分为 85 分，自评等级为优秀。项目资金使用规范，组织管理到位，较好完成年度执法任务，有效维护市场秩序，保障群众消费安全。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="840" w:leftChars="0"/>
        <w:jc w:val="left"/>
        <w:rPr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（二）绩效目标实现情况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2025年度，市场监管工作以党建引领，创新市场监管理念，优化营商环境，推动消费环境建设，加强了执法队伍建设，积极开展培训工作，守住了“四大”安全防线，在食品安全、药品化妆品保健品领域、特种设备安全、质量标准、知识产权保护、消费者权益保护、市场物价维护均取得成果，助推了县经济社会稳步健康发展，绩效目标总体实现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</w:t>
      </w:r>
    </w:p>
    <w:p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15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15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15"/>
          <w:lang w:val="en-US" w:eastAsia="zh-CN"/>
        </w:rPr>
        <w:t>2025年市场监管专项经费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15"/>
          <w:lang w:eastAsia="zh-CN"/>
        </w:rPr>
        <w:t>项目实施方案，市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15"/>
          <w:lang w:val="en-US" w:eastAsia="zh-CN"/>
        </w:rPr>
        <w:t>场监督管理局的监管服务范围涵盖了多个领域，且随着市场经济的发展，业务量呈现持续增长态势，新的市场主体不断涌现，对各类市场经营行为的监管频次增加。每年本单位非税收入上缴县财政的情况，县级财政返还市场监管补助经费用于市场监管工作。项目立项依据充分，符合市场监管法定职责与民生需求；绩效目标设定清晰、可量化；预算编制科学合理，与工作任务匹配度高。</w:t>
      </w:r>
    </w:p>
    <w:p>
      <w:pPr>
        <w:numPr>
          <w:ilvl w:val="0"/>
          <w:numId w:val="3"/>
        </w:numPr>
        <w:spacing w:line="600" w:lineRule="exact"/>
        <w:ind w:left="20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市场监管专项经费过程管理严谨有序，资金到位后使用严格审批，严格按照单位内部控制制度实行，未出现违规支出情况，组织实施层面管理制度健全、职责分工明确、执法流程规范，各项监管任务按计划推进。</w:t>
      </w:r>
    </w:p>
    <w:p>
      <w:pPr>
        <w:numPr>
          <w:ilvl w:val="0"/>
          <w:numId w:val="3"/>
        </w:numPr>
        <w:spacing w:line="600" w:lineRule="exact"/>
        <w:ind w:left="20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项目全面完成市场主体日常巡查、专项整治、抽样检验、案件查办、消费投诉处置、普法宣传、人员培训及执法装备维护更新等各项既定工作任务，各项产出数量均达到或超过年度计划要求。</w:t>
      </w:r>
      <w:r>
        <w:rPr>
          <w:rStyle w:val="13"/>
          <w:rFonts w:hint="eastAsia" w:ascii="Times New Roman" w:hAnsi="Times New Roman" w:eastAsia="仿宋_GB2312"/>
          <w:color w:val="000000"/>
          <w:sz w:val="32"/>
          <w:szCs w:val="32"/>
        </w:rPr>
        <w:t>聚焦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特种设备、食品、药品、工业产品“四大安全”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加强监管，严守安全底线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针对群众反映强烈的“校园食品安全”、民用“三表”收费、“生猪产品销售”、“兴港名都电梯检测”等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急难愁盼问题及时做出回应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年，市场监管领域未发生重特大安全事故。</w:t>
      </w:r>
    </w:p>
    <w:p>
      <w:pPr>
        <w:numPr>
          <w:ilvl w:val="0"/>
          <w:numId w:val="3"/>
        </w:numPr>
        <w:spacing w:line="600" w:lineRule="exact"/>
        <w:ind w:left="20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市场违法违规行为得到有效遏制，重点领域安全事故发生率明显下降，市场经营秩序持续规范，营商环境不断优化，有效降低市场交易风险，促进市场主体健康发展，同时执法能力与监管体系逐步完善，长效监管机制不断健全，群众消费满意度与经营主体满意度均达到较高水平，项目社会效益、经济效益及可持续影响均得到充分体现。</w:t>
      </w:r>
    </w:p>
    <w:p>
      <w:pPr>
        <w:numPr>
          <w:numId w:val="0"/>
        </w:numPr>
        <w:spacing w:line="600" w:lineRule="exact"/>
        <w:ind w:leftChars="32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>
      <w:pPr>
        <w:snapToGrid w:val="0"/>
        <w:spacing w:line="520" w:lineRule="exact"/>
        <w:ind w:firstLine="640" w:firstLineChars="200"/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做好“三个加强”保障。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加强组织领导。各科室及监管所协同联动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加强工作协调和业务指导，制定实施方案，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各项工作任务落到实处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加强经费保障。将人员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培训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宣传手册、质量抽检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等必需的工作经费予以保障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加强督办考核。对各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科室、所、中心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工作进行督导检查，及时通报进展情况，交流好的经验和做法。</w:t>
      </w:r>
    </w:p>
    <w:p>
      <w:pPr>
        <w:numPr>
          <w:ilvl w:val="0"/>
          <w:numId w:val="4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资金管理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与项目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实施不协调不同步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未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及时足额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支付项目资金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</w:rPr>
        <w:t>富民县市场监督管理局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lang w:val="en-US" w:eastAsia="zh-CN"/>
        </w:rPr>
        <w:t>项目实施科室和财务配合度不够，资金到位后，账务告知项目实施科室，但项目实施科室对报账等流程不是很熟悉，资金的使用效力不是很高。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继续加强业务人员的业务培训和学习，认真领会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项目绩效评价方面的知识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。在工作开展中进一步规范建设项目管理，结合自身实际，稳定专管人员和业务技术骨干，加强能力建设开展业务技术培训和经验交流，提高业务水平，增强工作效率，保证补偿资金及时兑现。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3、部分基层执法装备存在老化问题，更新更换不够及时，主要原因是装备预算额度有限，同时采购流程周期较长，难以快速满足基层执法硬件需求。</w:t>
      </w:r>
    </w:p>
    <w:p>
      <w:p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>
      <w:pPr>
        <w:spacing w:line="600" w:lineRule="exact"/>
        <w:ind w:left="263" w:leftChars="125" w:firstLine="640" w:firstLineChars="2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加强组织领导，加大经费保障力度，进一步提高人民群众的安全意识，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促进社会共治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600" w:lineRule="exact"/>
        <w:ind w:left="263" w:leftChars="125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无其他需要说明的问题。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富民县市场监督管理局</w:t>
      </w:r>
    </w:p>
    <w:p>
      <w:pPr>
        <w:pStyle w:val="2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2026年4月24日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Color Emoji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6A99D"/>
    <w:multiLevelType w:val="singleLevel"/>
    <w:tmpl w:val="8FF6A99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F75898"/>
    <w:multiLevelType w:val="singleLevel"/>
    <w:tmpl w:val="DBF758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3F36F41"/>
    <w:multiLevelType w:val="singleLevel"/>
    <w:tmpl w:val="E3F36F4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F3FE413"/>
    <w:multiLevelType w:val="singleLevel"/>
    <w:tmpl w:val="6F3FE413"/>
    <w:lvl w:ilvl="0" w:tentative="0">
      <w:start w:val="1"/>
      <w:numFmt w:val="chineseCounting"/>
      <w:suff w:val="nothing"/>
      <w:lvlText w:val="（%1）"/>
      <w:lvlJc w:val="left"/>
      <w:pPr>
        <w:ind w:left="-63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12927D71"/>
    <w:rsid w:val="35FE74E4"/>
    <w:rsid w:val="37FE9941"/>
    <w:rsid w:val="5FFDCD15"/>
    <w:rsid w:val="6EBFE643"/>
    <w:rsid w:val="6F7F06C5"/>
    <w:rsid w:val="6F951797"/>
    <w:rsid w:val="7EF3BEFF"/>
    <w:rsid w:val="AF3BE31D"/>
    <w:rsid w:val="DBBBE9AF"/>
    <w:rsid w:val="DFE3695C"/>
    <w:rsid w:val="F5AF8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44"/>
      <w:szCs w:val="20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sz w:val="20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15"/>
    <w:basedOn w:val="9"/>
    <w:qFormat/>
    <w:uiPriority w:val="0"/>
    <w:rPr>
      <w:rFonts w:hint="default" w:ascii="Calibri" w:hAnsi="Calibri"/>
    </w:rPr>
  </w:style>
  <w:style w:type="paragraph" w:customStyle="1" w:styleId="14">
    <w:name w:val="戴明正文1"/>
    <w:basedOn w:val="1"/>
    <w:qFormat/>
    <w:uiPriority w:val="99"/>
    <w:pPr>
      <w:adjustRightInd w:val="0"/>
      <w:snapToGrid w:val="0"/>
      <w:spacing w:beforeLines="50" w:afterLines="50" w:line="360" w:lineRule="auto"/>
      <w:ind w:firstLine="750" w:firstLineChars="250"/>
      <w:outlineLvl w:val="1"/>
    </w:pPr>
    <w:rPr>
      <w:rFonts w:ascii="宋体" w:hAnsi="宋体" w:cs="宋体"/>
      <w:color w:val="000000"/>
      <w:kern w:val="0"/>
      <w:sz w:val="30"/>
      <w:szCs w:val="30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2</Pages>
  <Words>60</Words>
  <Characters>348</Characters>
  <Lines>2</Lines>
  <Paragraphs>1</Paragraphs>
  <TotalTime>2</TotalTime>
  <ScaleCrop>false</ScaleCrop>
  <LinksUpToDate>false</LinksUpToDate>
  <CharactersWithSpaces>407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2021-01-08T21:40:00Z</dcterms:created>
  <dc:creator>lenovo</dc:creator>
  <cp:lastModifiedBy>huawei</cp:lastModifiedBy>
  <cp:lastPrinted>2025-04-01T19:22:00Z</cp:lastPrinted>
  <dcterms:modified xsi:type="dcterms:W3CDTF">2026-04-24T16:42:44Z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B46C41B39A049BCE5695E869AB4B7328</vt:lpwstr>
  </property>
</Properties>
</file>