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06A11">
      <w:pPr>
        <w:spacing w:line="620" w:lineRule="exact"/>
        <w:ind w:left="263" w:leftChars="125"/>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富民县交通运输局</w:t>
      </w:r>
    </w:p>
    <w:p w14:paraId="78A02CD6">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关于2023年度农村客运补贴资金和城市交通发展奖励资金</w:t>
      </w:r>
      <w:r>
        <w:rPr>
          <w:rFonts w:hint="eastAsia" w:ascii="方正小标宋简体" w:hAnsi="方正小标宋简体" w:eastAsia="方正小标宋简体" w:cs="方正小标宋简体"/>
          <w:sz w:val="44"/>
          <w:szCs w:val="44"/>
        </w:rPr>
        <w:t>项目支出绩效评价报告</w:t>
      </w:r>
    </w:p>
    <w:p w14:paraId="7A06D9BA">
      <w:pPr>
        <w:spacing w:line="500" w:lineRule="exact"/>
        <w:ind w:left="263" w:leftChars="125" w:firstLine="640" w:firstLineChars="200"/>
        <w:rPr>
          <w:rFonts w:ascii="黑体" w:hAnsi="黑体" w:eastAsia="黑体" w:cs="黑体"/>
          <w:sz w:val="32"/>
          <w:szCs w:val="32"/>
        </w:rPr>
      </w:pPr>
    </w:p>
    <w:p w14:paraId="03C460F3">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一、基本情况</w:t>
      </w:r>
    </w:p>
    <w:p w14:paraId="266C592C">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7409BF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为进一步做好成品油价格改革财政奖励资金补贴工作，我县严格按照《云南省农村客运和出租车行业油价补贴政策调整实施方案》，实施农村客运和出租车行业油价补贴调整政策。严格落实“固定总量、优化结构、退坡管理、统筹使用”四项调整内容，全面推进</w:t>
      </w:r>
      <w:bookmarkStart w:id="1" w:name="_GoBack"/>
      <w:bookmarkEnd w:id="1"/>
      <w:r>
        <w:rPr>
          <w:rFonts w:hint="eastAsia" w:ascii="Times New Roman" w:hAnsi="Times New Roman" w:eastAsia="仿宋_GB2312"/>
          <w:sz w:val="32"/>
          <w:szCs w:val="32"/>
          <w:lang w:val="en-US" w:eastAsia="zh-CN"/>
        </w:rPr>
        <w:t>全县农村客运和出租车行业油价补贴政策调整工作。</w:t>
      </w:r>
    </w:p>
    <w:p w14:paraId="16C5CA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云南省农村客运出租车油价补贴政策调整实施方案》（云交运输〔2022〕43号）、《云南省农村客运、城市交通发展奖励资金管理办法》（云财规〔2022〕26号）文件要求，本次下达我县农村客运和出租车行业油价财政补贴资金为7.48万元。我局严格按照企业申报、主管部门（财政、交运、运管）审核、进行公示、资金兑付、健全台账的原则，已将补助资金全额兑付到位。</w:t>
      </w:r>
    </w:p>
    <w:p w14:paraId="18F87EF4">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项目绩效目标</w:t>
      </w:r>
    </w:p>
    <w:p w14:paraId="7964E9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总体目标（2025-2027年）：提升农村道路客运普遍服务能力，维护农村道路客运、出租汽车行业稳定，推动出租车、城市公交车行业新能源车占比提升，提升农村水路客运基础设施、运营效率、服务质量、安全运营等目标。</w:t>
      </w:r>
    </w:p>
    <w:p w14:paraId="6900B69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阶段性目标（2025年）：加强和规范农村客运补贴资金、城市交通发展奖励资金管理，发挥财政资金的激励引导作用，促进农村客运（含农村道路客运、农村水路客运，下同）和出租车行业（指巡游出租车，下同）、城市公共交通行业健康稳定发展</w:t>
      </w:r>
    </w:p>
    <w:p w14:paraId="531E10C3">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项目组织管理情况</w:t>
      </w:r>
    </w:p>
    <w:p w14:paraId="33E941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县交通运输局牵头负责项目申报、资格审查、公示及资金拨付；县财政局负责资金预算审核、下达及监督；各运输企业负责组织申报并对材料真实性负责。管理流程为企业申报、联合审核、县级公示、资金兑付、归档备查。制定了本项目资金管理办法，确保有章可循。</w:t>
      </w:r>
    </w:p>
    <w:p w14:paraId="32BD9ED6">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14:paraId="53073F14">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471C89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次绩效评价的核心目的是：全面检验年度农村客运补贴和城市交通发展奖励资金的使用效益，客观反映资金在稳定行业、保障出行、引导绿色转型等方面的实际效果，查找资金管理和项目执行中存在的薄弱环节，为下一年度资金分配、政策优化及监管完善提供依据。</w:t>
      </w:r>
    </w:p>
    <w:p w14:paraId="66828EC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评价对象为：年度农村客运补贴资金和城市交通发展奖励资金项目整体，包括费改税补贴部分和涨价补贴部分。</w:t>
      </w:r>
    </w:p>
    <w:p w14:paraId="7A051C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评价范围涵盖：项目前期决策、制度建设、资金拨付与使用、产出成果（发放及时性、准确性、覆盖率）、实施效益（社会效益、生态效益、可持续影响）以及受益对象满意度。</w:t>
      </w:r>
    </w:p>
    <w:p w14:paraId="60AEE18C">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绩效评价原则、依据、评价指标体系（附表说明）、评价方法、评价标准、评价抽样等。</w:t>
      </w:r>
    </w:p>
    <w:p w14:paraId="03BEE14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评价工作坚持以下原则：一是科学规范，按照统一指标体系进行量化打分；二是客观公正，以事实和证据为依据；三是绩效导向，重点关注资金使用结果和公众感受；四是问题导向，不回避矛盾，不掩饰短板。</w:t>
      </w:r>
    </w:p>
    <w:p w14:paraId="6004BE4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方法上，主要采用比较法（将实际执行结果与年初设定的绩效目标逐一对比）、因素分析法（对影响补贴发放进度、新能源推广难度的内外部因素进行剖析）以及案卷研究法（调取申报材料、公示资料、财务凭证、会议记录等档案资料）。</w:t>
      </w:r>
    </w:p>
    <w:p w14:paraId="21BDC1B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评价标准设定为：以上级主管部门下达的绩效目标值为基准，结合本县近三年历史平均水平及行业通行标准，划分优秀、良好、合格、不合格四个等次。</w:t>
      </w:r>
    </w:p>
    <w:p w14:paraId="299E8FD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评价抽样方面，采取重点全覆盖与随机抽样相结合的方式：对所有取得补贴资格的客运企业、公交公司进行全覆盖访谈；对个体经营驾驶员，按照一定比例随机抽取，通过多种方式开展满意度调查，确保样本具有代表性。</w:t>
      </w:r>
    </w:p>
    <w:p w14:paraId="4B0A0EB0">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绩效评价工作流程。</w:t>
      </w:r>
    </w:p>
    <w:p w14:paraId="5D58C43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第一阶段，组建绩效评价工作小组，由局内相关业务股室骨干人员参加，明确任务分工，制定详细评价方案，设计调查问卷和访谈提纲。</w:t>
      </w:r>
    </w:p>
    <w:p w14:paraId="798F1B6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二阶段，开展资料收集与现场核验。工作小组逐一查阅项目档案，包括申报审批表、资金下达文件、公示资料、银行拨付凭证、台账记录等；同时前往主要运输企业实地查看，调取车辆运营记录、动态监控数据等佐证材料。</w:t>
      </w:r>
    </w:p>
    <w:p w14:paraId="3832CD7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第三阶段，实施受益对象满意度调查。通过电话访问、现场问卷、集中座谈等形式收集运输企业负责人和驾驶员的真实反馈，累计回收有效问卷达到预定样本量。</w:t>
      </w:r>
    </w:p>
    <w:p w14:paraId="760A80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第四阶段，数据汇总与报告撰写。对收集到的信息进行分类整理，对照指标体系逐项打分，分析偏差原因，提炼经验做法，指出存在问题，提出改进建议，形成绩效评价报告初稿，并征求相关部门意见后定稿。</w:t>
      </w:r>
    </w:p>
    <w:p w14:paraId="4508795C">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三、综合评价情况及评价结论</w:t>
      </w:r>
    </w:p>
    <w:p w14:paraId="0C8AC68E">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62285F2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经综合评价，2025年度农村客运补贴资金和城市交通发展奖励资金项目总体实施情况良好。项目立项符合上级政策导向，资金分配科学合理，审核程序规范透明，资金拨付及时足额，未发生截留、挪用、虚报冒领等违规问题。从实施效果看，补贴资金有效缓解了燃油成本上涨对农村客运和城市公交的冲击，车辆运营保持稳定，群众出行未受影响；新能源公交车推广取得积极进展，行业绿色化水平稳步提升。根据绩效评价指标体系逐项打分，项目综合得分达到优秀等次，绩效评级为“优”。</w:t>
      </w:r>
    </w:p>
    <w:p w14:paraId="7C99DCF3">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绩效目标实现情况。</w:t>
      </w:r>
    </w:p>
    <w:p w14:paraId="6E83A2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在产出数量方面，目标要求补贴资金发放率达到百分之百，实际已完成全部符合条件对象的资金兑付，发放率达标。</w:t>
      </w:r>
    </w:p>
    <w:p w14:paraId="5CF2B6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在产出质量方面，目标要求受益对象资格审核准确率达到百分之百，经抽查复核，所有公示对象均符合政策规定，未发现错发漏发情况，准确率达标。</w:t>
      </w:r>
    </w:p>
    <w:p w14:paraId="7A8E2AA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在产出时效方面，目标要求资金在规定时限内全部兑付到位，实际兑付完成时间符合时限要求，时效性达标。</w:t>
      </w:r>
    </w:p>
    <w:p w14:paraId="4674B4C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在生态效益方面，目标要求新能源公交车推广比例稳步提升，实际当年新增或更新新能源公交车数量达到预期，运营补贴足额发放，但农村客运领域电动化进展相对缓慢，有待持续推进。</w:t>
      </w:r>
    </w:p>
    <w:p w14:paraId="6B81D2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在满意度方面，目标要求受益对象综合满意度达到既定标准，实际调查结果显示总体满意率超过目标值，受益对象普遍认为补贴政策有效降低了经营成本。</w:t>
      </w:r>
    </w:p>
    <w:p w14:paraId="2F8411F3">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四、绩效评价指标分析</w:t>
      </w:r>
    </w:p>
    <w:p w14:paraId="6E2F9C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4844B7E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决策的科学性体现在三个方面：一是立项依据充分，完全符合上级农村客运和出租车行业油价补贴政策调整实施方案及年度资金下达文件要求，属于共同财政事权范围；二是绩效目标设定合理，各项指标既有一定挑战性又具备可实现性，与资金规模、实施周期相匹配；三是资金分配方式透明，按照公式化方式测算，减少了自由裁量空间。决策层面未发现明显扣分项。</w:t>
      </w:r>
    </w:p>
    <w:p w14:paraId="1413965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项目过程情况分析</w:t>
      </w:r>
    </w:p>
    <w:p w14:paraId="783CAD6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从组织实施看，多级审核及公示制度得到严格执行。从制度建设看，县级管理办法覆盖了申报、审核、公示、拨付、监督全部环节，责任明确，流程闭环。</w:t>
      </w:r>
    </w:p>
    <w:p w14:paraId="254BA46F">
      <w:pPr>
        <w:keepNext w:val="0"/>
        <w:keepLines w:val="0"/>
        <w:pageBreakBefore w:val="0"/>
        <w:numPr>
          <w:ilvl w:val="0"/>
          <w:numId w:val="0"/>
        </w:numPr>
        <w:kinsoku/>
        <w:wordWrap/>
        <w:overflowPunct/>
        <w:topLinePunct w:val="0"/>
        <w:autoSpaceDE/>
        <w:autoSpaceDN/>
        <w:bidi w:val="0"/>
        <w:adjustRightInd/>
        <w:snapToGrid/>
        <w:spacing w:line="560" w:lineRule="exact"/>
        <w:ind w:leftChars="325"/>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项目产出情况分析。</w:t>
      </w:r>
    </w:p>
    <w:p w14:paraId="5027C0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产出指标整体完成情况良好。在数量上，全县所有符合补贴条件的农村客运车辆、巡游出租车、新能源公交车全部纳入补贴范围，无遗漏。在质量上，补贴标准严格按照上级公式计算，同类对象同等待遇，公平性得到认可。在时效上，从资金到达县级财政到最终兑付至受益人账户，全过程用时控制在规定天数以内，较上年度有所提速。项目在“及时、足额、精准”发放这个核心要求上执行到位。</w:t>
      </w:r>
    </w:p>
    <w:p w14:paraId="7BF21E6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项目效益情况分析</w:t>
      </w:r>
    </w:p>
    <w:p w14:paraId="00E02E8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Times New Roman" w:hAnsi="Times New Roman" w:eastAsia="仿宋_GB2312"/>
          <w:sz w:val="32"/>
          <w:szCs w:val="32"/>
          <w:lang w:val="en-US" w:eastAsia="zh-CN"/>
        </w:rPr>
        <w:t>社会效益方面，通过补贴资金注入，行业未出现不稳定事件；农村群众出行需求得到保障，尤其是偏远建制村的客运服务没有因为油价上涨而缩减班次。生态效益方面，城市交通发展奖励资金中的涨价补贴部分全部用于新能源公交运营补助，有效降低了公交企业更换新能源车辆的综合成本。</w:t>
      </w:r>
    </w:p>
    <w:p w14:paraId="3D567068">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主要经验及做法</w:t>
      </w:r>
    </w:p>
    <w:p w14:paraId="00545E9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一是推行全面公开公示。在政府网站公示补贴对象、标准、测算方式及监督渠道，公示期符合规定，异议均得到复核答复。</w:t>
      </w:r>
    </w:p>
    <w:p w14:paraId="64A3FC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二是实行资金直达拨付。对个体驾驶员的补贴通过统一发放渠道直接拨付至本人账户，对企业补贴通过对公账户拨付，压缩中间环节，防止截留挪用。</w:t>
      </w:r>
    </w:p>
    <w:p w14:paraId="438732F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三是建立事后回访制度。资金发放后随机抽取受益对象进行回访核查，确认资金到账及内部分配合规情况，强化监督闭环。</w:t>
      </w:r>
    </w:p>
    <w:p w14:paraId="4385005E">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存在的问题及原因分析</w:t>
      </w:r>
    </w:p>
    <w:p w14:paraId="2B32D4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一是农村客运新能源化推广困难。新能源公交车主要集中在县城线路，城乡和农村客运仍以燃油车为主。</w:t>
      </w:r>
    </w:p>
    <w:p w14:paraId="26407C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原因：乡镇充电设施覆盖率低，车辆停靠分散，充电不便；个体经营者更换新能源车一次性投入大，回收周期长，转型意愿不强；部分偏远线路里程较长，存在续航顾虑。</w:t>
      </w:r>
    </w:p>
    <w:p w14:paraId="5548F6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二是政策宣传覆盖不全面。少数驾驶员不清楚补贴具体计算方式。</w:t>
      </w:r>
    </w:p>
    <w:p w14:paraId="7360CE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原因：政策文件专业性强，计算变量多；宣传方式单一，主要依靠企业转发；部分驾驶员不关注线上通知渠道。</w:t>
      </w:r>
    </w:p>
    <w:p w14:paraId="2BF6E06D">
      <w:pPr>
        <w:keepNext w:val="0"/>
        <w:keepLines w:val="0"/>
        <w:pageBreakBefore w:val="0"/>
        <w:numPr>
          <w:ilvl w:val="0"/>
          <w:numId w:val="1"/>
        </w:numPr>
        <w:kinsoku/>
        <w:wordWrap/>
        <w:overflowPunct/>
        <w:topLinePunct w:val="0"/>
        <w:autoSpaceDE/>
        <w:autoSpaceDN/>
        <w:bidi w:val="0"/>
        <w:adjustRightInd/>
        <w:snapToGrid/>
        <w:spacing w:line="560" w:lineRule="exact"/>
        <w:ind w:left="263" w:leftChars="125"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有关建议</w:t>
      </w:r>
    </w:p>
    <w:p w14:paraId="7605CC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一是分类推进农村客运新能源化。对充电条件成熟的短途线路鼓励优先置换新能源车辆，可适当提高相关补贴权重；对偏远长距离线路暂不强制要求，加快沿线充电设施布局，编制充电基础设施布点规划。</w:t>
      </w:r>
    </w:p>
    <w:p w14:paraId="16CDF4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二是开展精准政策宣传。制作通俗易懂的宣传材料，在客运站、公交场站、车厢内张贴；每年组织企业政策宣讲会，多渠道宣传政策要点。</w:t>
      </w:r>
    </w:p>
    <w:p w14:paraId="3AB8813E">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left"/>
        <w:textAlignment w:val="auto"/>
        <w:rPr>
          <w:rFonts w:ascii="仿宋" w:hAnsi="仿宋" w:eastAsia="仿宋"/>
          <w:sz w:val="32"/>
          <w:szCs w:val="32"/>
        </w:rPr>
      </w:pPr>
      <w:r>
        <w:rPr>
          <w:rFonts w:hint="eastAsia" w:ascii="黑体" w:hAnsi="黑体" w:eastAsia="黑体" w:cs="黑体"/>
          <w:sz w:val="32"/>
          <w:szCs w:val="32"/>
        </w:rPr>
        <w:t>八、其它需要说明的问题</w:t>
      </w:r>
    </w:p>
    <w:p w14:paraId="643287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Times New Roman" w:hAnsi="Times New Roman" w:eastAsia="仿宋_GB2312"/>
          <w:sz w:val="32"/>
          <w:szCs w:val="32"/>
          <w:lang w:val="en-US" w:eastAsia="zh-CN"/>
        </w:rPr>
        <w:t>一是成品油价格波动风险，若油价持续超预期上涨，部分微</w:t>
      </w:r>
      <w:r>
        <w:rPr>
          <w:rFonts w:ascii="仿宋_GB2312" w:eastAsia="仿宋_GB2312"/>
          <w:sz w:val="32"/>
          <w:szCs w:val="32"/>
          <w:lang w:val="en-US" w:eastAsia="zh-CN"/>
        </w:rPr>
        <w:t>利经营的农村客运班线可能面临停运风险；二是新能源技术迭代不确定性，可能影响经营者购买决策；三是上级资金拨付时序若较晚，将压缩审核时间，影响时效指标。</w:t>
      </w:r>
    </w:p>
    <w:p w14:paraId="7A222E33">
      <w:pPr>
        <w:widowControl/>
        <w:jc w:val="left"/>
        <w:rPr>
          <w:rFonts w:ascii="仿宋_GB2312" w:eastAsia="仿宋_GB2312"/>
          <w:sz w:val="32"/>
          <w:szCs w:val="32"/>
        </w:rPr>
      </w:pPr>
    </w:p>
    <w:p w14:paraId="379B1E0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富民县交通运输局</w:t>
      </w:r>
    </w:p>
    <w:p w14:paraId="04FFF50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2026年4月27日</w:t>
      </w:r>
    </w:p>
    <w:p w14:paraId="7FA6F04B">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（以下无内容）</w:t>
      </w:r>
    </w:p>
    <w:p w14:paraId="5272A41B">
      <w:pPr>
        <w:sectPr>
          <w:footerReference r:id="rId3" w:type="default"/>
          <w:pgSz w:w="11906" w:h="16838"/>
          <w:pgMar w:top="1440" w:right="1800" w:bottom="1440" w:left="1800" w:header="851" w:footer="992" w:gutter="0"/>
          <w:pgNumType w:fmt="decimal"/>
          <w:cols w:space="425" w:num="1"/>
          <w:docGrid w:type="lines" w:linePitch="312" w:charSpace="0"/>
        </w:sectPr>
      </w:pPr>
    </w:p>
    <w:p w14:paraId="18FA46CD">
      <w:pPr>
        <w:pStyle w:val="2"/>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14:paraId="2A605322">
      <w:pPr>
        <w:pStyle w:val="2"/>
        <w:widowControl w:val="0"/>
        <w:overflowPunct/>
        <w:autoSpaceDE/>
        <w:autoSpaceDN/>
        <w:adjustRightInd/>
        <w:spacing w:before="120" w:after="120" w:line="415" w:lineRule="auto"/>
        <w:jc w:val="center"/>
      </w:pPr>
      <w:r>
        <w:rPr>
          <w:rFonts w:hint="eastAsia" w:ascii="仿宋_GB2312" w:hAnsi="Arial Narrow" w:eastAsia="仿宋_GB2312" w:cstheme="majorBidi"/>
          <w:kern w:val="2"/>
          <w:sz w:val="32"/>
          <w:szCs w:val="32"/>
          <w:lang w:val="en-US" w:eastAsia="zh-CN"/>
        </w:rPr>
        <w:t>2025年度农村客运补贴资金和城市交通发展奖励资金</w:t>
      </w:r>
      <w:r>
        <w:rPr>
          <w:rFonts w:hint="eastAsia" w:ascii="仿宋_GB2312" w:hAnsi="Arial Narrow" w:eastAsia="仿宋_GB2312" w:cstheme="majorBidi"/>
          <w:kern w:val="2"/>
          <w:sz w:val="32"/>
          <w:szCs w:val="32"/>
        </w:rPr>
        <w:t>支出</w:t>
      </w:r>
      <w:bookmarkEnd w:id="0"/>
      <w:r>
        <w:rPr>
          <w:rFonts w:hint="eastAsia" w:ascii="仿宋_GB2312" w:eastAsia="仿宋_GB2312"/>
          <w:kern w:val="2"/>
          <w:sz w:val="32"/>
          <w:szCs w:val="32"/>
        </w:rPr>
        <w:t>绩效评价指标体系及打分表</w:t>
      </w:r>
    </w:p>
    <w:tbl>
      <w:tblPr>
        <w:tblStyle w:val="7"/>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14:paraId="7A6D275C">
        <w:tblPrEx>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14:paraId="414C803B">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14:paraId="36ED4ABA">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14:paraId="400A8185">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14:paraId="2EA1F367">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2C6AEC7">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E6B3645">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49CD5AD8">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14:paraId="3860CB6B">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3C96B52">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0D19BC2">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20CC873D">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14:paraId="2745F67D">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7732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right w:val="single" w:color="auto" w:sz="4" w:space="0"/>
            </w:tcBorders>
            <w:shd w:val="clear" w:color="auto" w:fill="auto"/>
            <w:vAlign w:val="center"/>
          </w:tcPr>
          <w:p w14:paraId="4DEFC8DF">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w:t>
            </w:r>
            <w:r>
              <w:rPr>
                <w:rFonts w:hint="eastAsia" w:ascii="Arial Narrow" w:hAnsi="Arial Narrow" w:eastAsia="宋体" w:cs="宋体"/>
                <w:kern w:val="0"/>
                <w:sz w:val="18"/>
                <w:szCs w:val="18"/>
                <w:lang w:val="en-US" w:eastAsia="zh-CN"/>
              </w:rPr>
              <w:t>3</w:t>
            </w:r>
            <w:r>
              <w:rPr>
                <w:rFonts w:ascii="Arial Narrow" w:hAnsi="Arial Narrow" w:eastAsia="宋体" w:cs="宋体"/>
                <w:kern w:val="0"/>
                <w:sz w:val="18"/>
                <w:szCs w:val="18"/>
              </w:rPr>
              <w:t>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0E92CE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立项依据充分性（1分）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BEB7173">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项目立项是否符合法律法规、相关政策、发展规划 以及部门职责，用以反映和考核项目立项依据情况。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56F5DEB0">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①项目立项是否符合国家法律法规、国民经济发展规划和相关政策；</w:t>
            </w:r>
          </w:p>
          <w:p w14:paraId="5BA533CB">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②项目立项是否符合行业发展规划和</w:t>
            </w:r>
          </w:p>
          <w:p w14:paraId="3D272A69">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政策要求；</w:t>
            </w:r>
          </w:p>
          <w:p w14:paraId="0A0C954F">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③项目立项是否与部门职责范围相符， 属于部门履职所需；</w:t>
            </w:r>
          </w:p>
          <w:p w14:paraId="16D235CD">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④项目是否属于公共财政支持范围，是否符合中央、地方事权支出责任划分原则；</w:t>
            </w:r>
          </w:p>
          <w:p w14:paraId="79BC90B2">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⑤项目是否与相关部门同类项目或部门内部相关项目重复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77E79D51">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707F08FE">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1775DB6">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57CDF598">
            <w:pPr>
              <w:widowControl/>
              <w:jc w:val="center"/>
              <w:rPr>
                <w:rFonts w:ascii="Arial Narrow" w:hAnsi="Arial Narrow" w:eastAsia="宋体" w:cs="宋体"/>
                <w:kern w:val="0"/>
                <w:sz w:val="18"/>
                <w:szCs w:val="18"/>
              </w:rPr>
            </w:pPr>
          </w:p>
        </w:tc>
      </w:tr>
      <w:tr w14:paraId="4935A203">
        <w:tblPrEx>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68F2FB1B">
            <w:pPr>
              <w:widowControl/>
              <w:jc w:val="left"/>
              <w:rPr>
                <w:rFonts w:ascii="Arial Narrow" w:hAnsi="Arial Narrow"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14:paraId="19DC2DF2">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691990F">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立项程序规范性（2分）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A944319">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24B37761">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①项目是否按照规定的程序申请设立；②审批文件、材料是否符合相关要求；③事前是否已经过必要的可行性研究、专家论证、风险评估、绩效评估、集体决策</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6C0B088C">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A886768">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8708238">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5F556FE3">
            <w:pPr>
              <w:widowControl/>
              <w:jc w:val="center"/>
              <w:rPr>
                <w:rFonts w:ascii="Arial Narrow" w:hAnsi="Arial Narrow" w:eastAsia="宋体" w:cs="宋体"/>
                <w:kern w:val="0"/>
                <w:sz w:val="18"/>
                <w:szCs w:val="18"/>
              </w:rPr>
            </w:pPr>
          </w:p>
        </w:tc>
      </w:tr>
      <w:tr w14:paraId="36D19D94">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0B23896D">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right w:val="single" w:color="auto" w:sz="4" w:space="0"/>
            </w:tcBorders>
            <w:vAlign w:val="center"/>
          </w:tcPr>
          <w:p w14:paraId="2CFD8BA9">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绩效目标</w:t>
            </w:r>
          </w:p>
          <w:p w14:paraId="4522FED2">
            <w:pPr>
              <w:widowControl/>
              <w:jc w:val="left"/>
              <w:rPr>
                <w:rFonts w:hint="eastAsia" w:ascii="Arial Narrow" w:hAnsi="Arial Narrow" w:eastAsia="宋体" w:cs="宋体"/>
                <w:kern w:val="0"/>
                <w:sz w:val="18"/>
                <w:szCs w:val="18"/>
                <w:lang w:eastAsia="zh-CN"/>
              </w:rPr>
            </w:pP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4分</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1CCD815">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413CABB">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项目所设定的绩效目标是否依据充分，是否符合客观实际，用以反映和考核项目绩效目标与项目实施的相符情况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2EAF441F">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①项目是否有绩效目标；</w:t>
            </w:r>
          </w:p>
          <w:p w14:paraId="7EE87501">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②项目绩效目标与实际工作内容是否具有相关性；</w:t>
            </w:r>
          </w:p>
          <w:p w14:paraId="2266A53C">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③项目预期产出效益和效果是否符合正常的业绩水平；</w:t>
            </w:r>
          </w:p>
          <w:p w14:paraId="0B2C5B4C">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④是否与预算确定的项目投资额或资金量相匹配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37BE6C46">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85EC679">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0CAFDDFE">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641EE0C">
            <w:pPr>
              <w:widowControl/>
              <w:jc w:val="center"/>
              <w:rPr>
                <w:rFonts w:ascii="Arial Narrow" w:hAnsi="Arial Narrow" w:eastAsia="宋体" w:cs="宋体"/>
                <w:kern w:val="0"/>
                <w:sz w:val="18"/>
                <w:szCs w:val="18"/>
              </w:rPr>
            </w:pPr>
          </w:p>
        </w:tc>
      </w:tr>
      <w:tr w14:paraId="1B24B71B">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1C68A287">
            <w:pPr>
              <w:widowControl/>
              <w:jc w:val="left"/>
              <w:rPr>
                <w:rFonts w:ascii="Arial Narrow" w:hAnsi="Arial Narrow"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14:paraId="45AA8AD6">
            <w:pPr>
              <w:widowControl/>
              <w:jc w:val="left"/>
              <w:rPr>
                <w:rFonts w:hint="eastAsia" w:ascii="Arial Narrow" w:hAnsi="Arial Narrow" w:eastAsia="宋体" w:cs="宋体"/>
                <w:kern w:val="0"/>
                <w:sz w:val="18"/>
                <w:szCs w:val="18"/>
                <w:lang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9A64971">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绩效指标明确性</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2分</w:t>
            </w:r>
            <w:r>
              <w:rPr>
                <w:rFonts w:hint="eastAsia" w:ascii="Arial Narrow" w:hAnsi="Arial Narrow" w:eastAsia="宋体" w:cs="宋体"/>
                <w:kern w:val="0"/>
                <w:sz w:val="18"/>
                <w:szCs w:val="18"/>
                <w:lang w:eastAsia="zh-CN"/>
              </w:rPr>
              <w:t>）</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D350683">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依据绩效目标设  定的绩效指标是否清晰、细化、可衡量等，用以反映和考核项目绩效目标的明细化情况</w:t>
            </w:r>
            <w:r>
              <w:rPr>
                <w:rFonts w:hint="eastAsia" w:ascii="Arial Narrow" w:hAnsi="Arial Narrow" w:eastAsia="宋体" w:cs="宋体"/>
                <w:kern w:val="0"/>
                <w:sz w:val="18"/>
                <w:szCs w:val="18"/>
                <w:lang w:eastAsia="zh-CN"/>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3AC568C9">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①是否将项目绩效目标细化分解为具</w:t>
            </w:r>
          </w:p>
          <w:p w14:paraId="4BAF6095">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体的绩效指标；</w:t>
            </w:r>
          </w:p>
          <w:p w14:paraId="5454F864">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②是否通过清晰、可衡量的指标值予以 体现；</w:t>
            </w:r>
          </w:p>
          <w:p w14:paraId="653BAEB5">
            <w:pPr>
              <w:widowControl/>
              <w:jc w:val="left"/>
              <w:rPr>
                <w:rFonts w:hint="eastAsia" w:ascii="宋体" w:hAnsi="宋体" w:eastAsia="宋体" w:cs="宋体"/>
                <w:kern w:val="0"/>
                <w:sz w:val="18"/>
                <w:szCs w:val="18"/>
              </w:rPr>
            </w:pPr>
            <w:r>
              <w:rPr>
                <w:rFonts w:hint="eastAsia" w:ascii="宋体" w:hAnsi="宋体" w:eastAsia="宋体" w:cs="宋体"/>
                <w:kern w:val="0"/>
                <w:sz w:val="18"/>
                <w:szCs w:val="18"/>
                <w:lang w:eastAsia="zh-CN"/>
              </w:rPr>
              <w:t>③是否与项目目标任务数或计划数相 对应。</w:t>
            </w:r>
          </w:p>
        </w:tc>
        <w:tc>
          <w:tcPr>
            <w:tcW w:w="673" w:type="dxa"/>
            <w:tcBorders>
              <w:top w:val="single" w:color="auto" w:sz="4" w:space="0"/>
              <w:left w:val="single" w:color="auto" w:sz="4" w:space="0"/>
              <w:bottom w:val="single" w:color="auto" w:sz="4" w:space="0"/>
              <w:right w:val="single" w:color="auto" w:sz="4" w:space="0"/>
            </w:tcBorders>
            <w:vAlign w:val="center"/>
          </w:tcPr>
          <w:p w14:paraId="492267CA">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2C3C367">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FE6AEA0">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0AE638FA">
            <w:pPr>
              <w:widowControl/>
              <w:jc w:val="center"/>
              <w:rPr>
                <w:rFonts w:ascii="Arial Narrow" w:hAnsi="Arial Narrow" w:eastAsia="宋体" w:cs="宋体"/>
                <w:kern w:val="0"/>
                <w:sz w:val="18"/>
                <w:szCs w:val="18"/>
              </w:rPr>
            </w:pPr>
          </w:p>
        </w:tc>
      </w:tr>
      <w:tr w14:paraId="33597206">
        <w:tblPrEx>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01799BE7">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185F8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资金投入(3分)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A449E97">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预算编制科学性（1分）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7BBB666">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项目预算编制是否经过科学论证、有明确标准，资金额度与年度目标是否相适应，用以反映和考核项目预算编制的科学性、合理性情况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1376B4CA">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①预算编制是否经过科学论证；</w:t>
            </w:r>
          </w:p>
          <w:p w14:paraId="2EC4D3B7">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②预算内容与项目内容是否匹配；</w:t>
            </w:r>
          </w:p>
          <w:p w14:paraId="315CC1D1">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③预算额度测算依据是否充分，是否按照标准编制；</w:t>
            </w:r>
          </w:p>
          <w:p w14:paraId="2589578B">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④预算确定的项目投资额或资金量是否与工作任务相匹配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664D190F">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A99514D">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26BF65C">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3E9A371">
            <w:pPr>
              <w:widowControl/>
              <w:jc w:val="center"/>
              <w:rPr>
                <w:rFonts w:ascii="Arial Narrow" w:hAnsi="Arial Narrow" w:eastAsia="宋体" w:cs="宋体"/>
                <w:kern w:val="0"/>
                <w:sz w:val="18"/>
                <w:szCs w:val="18"/>
              </w:rPr>
            </w:pPr>
          </w:p>
        </w:tc>
      </w:tr>
      <w:tr w14:paraId="3F400039">
        <w:tblPrEx>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550EA28">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FBB4A6B">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F3D527C">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资金分配合理性（2分）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325B766">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项目预算资金分 配是否有测算依据，与补助单位或地方实际是否相适应，用以反 映和考核项目预算资金分配的科学性、合理性情况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32F31BFA">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①预算资金分配依据是否充分；</w:t>
            </w:r>
          </w:p>
          <w:p w14:paraId="6C6E6DE4">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②资金分配额度是否合理，与项目单位或地方实际是否相适应</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769B8713">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C60CD64">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C51436A">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4A912404">
            <w:pPr>
              <w:widowControl/>
              <w:jc w:val="center"/>
              <w:rPr>
                <w:rFonts w:ascii="Arial Narrow" w:hAnsi="Arial Narrow" w:eastAsia="宋体" w:cs="宋体"/>
                <w:kern w:val="0"/>
                <w:sz w:val="18"/>
                <w:szCs w:val="18"/>
              </w:rPr>
            </w:pPr>
          </w:p>
        </w:tc>
      </w:tr>
      <w:tr w14:paraId="1CD4A03F">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8E055">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2248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资金管理（</w:t>
            </w:r>
            <w:r>
              <w:rPr>
                <w:rFonts w:hint="eastAsia" w:ascii="Arial Narrow" w:hAnsi="Arial Narrow" w:eastAsia="宋体" w:cs="宋体"/>
                <w:kern w:val="0"/>
                <w:sz w:val="18"/>
                <w:szCs w:val="18"/>
                <w:lang w:val="en-US" w:eastAsia="zh-CN"/>
              </w:rPr>
              <w:t>18</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C9055E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w:t>
            </w:r>
          </w:p>
          <w:p w14:paraId="7D4841A2">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率（</w:t>
            </w:r>
            <w:r>
              <w:rPr>
                <w:rFonts w:hint="eastAsia" w:ascii="Arial Narrow" w:hAnsi="Arial Narrow" w:eastAsia="宋体" w:cs="宋体"/>
                <w:kern w:val="0"/>
                <w:sz w:val="18"/>
                <w:szCs w:val="18"/>
                <w:lang w:val="en-US" w:eastAsia="zh-CN"/>
              </w:rPr>
              <w:t>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AAD5878">
            <w:pPr>
              <w:widowControl/>
              <w:jc w:val="left"/>
              <w:rPr>
                <w:rFonts w:ascii="Arial Narrow" w:hAnsi="Arial Narrow" w:eastAsia="宋体" w:cs="宋体"/>
                <w:kern w:val="0"/>
                <w:sz w:val="18"/>
                <w:szCs w:val="18"/>
              </w:rPr>
            </w:pPr>
            <w:r>
              <w:rPr>
                <w:rFonts w:hint="eastAsia" w:ascii="Arial Narrow" w:hAnsi="Arial Narrow" w:eastAsia="宋体" w:cs="宋体"/>
                <w:kern w:val="0"/>
                <w:sz w:val="18"/>
                <w:szCs w:val="18"/>
              </w:rPr>
              <w:t>实际到位资金与预算资金的比率，用以反映和考核资金落实情况对项目实施的总体保障程度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7E7E3C67">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资金到位率=(实际到位资金/预算资金)×100%。</w:t>
            </w:r>
          </w:p>
          <w:p w14:paraId="2659FE6D">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实际到位资金：一定时期(本年度或项目期)内落实到具体项目的资金。</w:t>
            </w:r>
          </w:p>
          <w:p w14:paraId="55D1270D">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预算资金：一定时期(本年度或项目期)内预算安排到具体项目的资金</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0D37FD20">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4957D83D">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BC9DC8D">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012A8B1E">
            <w:pPr>
              <w:widowControl/>
              <w:jc w:val="left"/>
              <w:rPr>
                <w:rFonts w:ascii="Arial Narrow" w:hAnsi="Arial Narrow" w:eastAsia="宋体" w:cs="宋体"/>
                <w:kern w:val="0"/>
                <w:sz w:val="18"/>
                <w:szCs w:val="18"/>
              </w:rPr>
            </w:pPr>
          </w:p>
        </w:tc>
      </w:tr>
      <w:tr w14:paraId="37246E69">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14F6A8B8">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28B314E">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41B411A">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预算执行率</w:t>
            </w:r>
          </w:p>
          <w:p w14:paraId="6271C9E6">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2125EBF">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项目预算资金是否按照计划执行，用以反映或考核项目预算执行情况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0CC605EC">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预算执行率=(实际支出资金/实际到位资金)×100%。</w:t>
            </w:r>
          </w:p>
          <w:p w14:paraId="2EC79E07">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实际支出资金：一定时期(本年度或项目期)内项目实际拨付的资金</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0CC6CC9E">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CD3DDBB">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B3C1704">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1AE97D82">
            <w:pPr>
              <w:widowControl/>
              <w:jc w:val="center"/>
              <w:rPr>
                <w:rFonts w:ascii="Arial Narrow" w:hAnsi="Arial Narrow" w:eastAsia="宋体" w:cs="宋体"/>
                <w:kern w:val="0"/>
                <w:sz w:val="18"/>
                <w:szCs w:val="18"/>
              </w:rPr>
            </w:pPr>
          </w:p>
        </w:tc>
      </w:tr>
      <w:tr w14:paraId="67120CA7">
        <w:tblPrEx>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40380D2">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4648DF8">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A37D938">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AB2C8F8">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项目资金使用是否符合相关的财务管理制度规定，用以反映和考核项目资金的规范运行情况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0C1854A9">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①是否符合国家财经法规和财务管理制度以及有关专项资金管理办法的规 定；</w:t>
            </w:r>
          </w:p>
          <w:p w14:paraId="7C099296">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②资金的拨付是否有完整的审批程序和手续；</w:t>
            </w:r>
          </w:p>
          <w:p w14:paraId="374F5FF6">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③是否符合项目预算批复或合同规定的用途；</w:t>
            </w:r>
          </w:p>
          <w:p w14:paraId="75474C60">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④是否存在截留、挤占、挪用、虚列支出等情况</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58F81B7F">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5615387A">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9F709E6">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D21328F">
            <w:pPr>
              <w:widowControl/>
              <w:jc w:val="left"/>
              <w:rPr>
                <w:rFonts w:ascii="Arial Narrow" w:hAnsi="Arial Narrow" w:eastAsia="宋体" w:cs="宋体"/>
                <w:kern w:val="0"/>
                <w:sz w:val="18"/>
                <w:szCs w:val="18"/>
              </w:rPr>
            </w:pPr>
          </w:p>
        </w:tc>
      </w:tr>
      <w:tr w14:paraId="6AC81828">
        <w:tblPrEx>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21FA850">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1DAEEF">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组织实施（1</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C18352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w:t>
            </w:r>
            <w:r>
              <w:rPr>
                <w:rFonts w:hint="eastAsia" w:ascii="Arial Narrow" w:hAnsi="Arial Narrow" w:eastAsia="宋体" w:cs="宋体"/>
                <w:kern w:val="0"/>
                <w:sz w:val="18"/>
                <w:szCs w:val="18"/>
                <w:lang w:val="en-US" w:eastAsia="zh-CN"/>
              </w:rPr>
              <w:t>6</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9B28330">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项目实施单位的财务和业务管理制度是否健全，用以反映和考核财务和业务管理制度对项目顺利</w:t>
            </w:r>
          </w:p>
          <w:p w14:paraId="17E336FC">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200952E4">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①是否已制定或具有相应的财务和业务管理制度；</w:t>
            </w:r>
          </w:p>
          <w:p w14:paraId="06247457">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②财务和业务管理制度是否合法、合规、完整</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1DD511E0">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202A9510">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EF08A0B">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2FA1E5A5">
            <w:pPr>
              <w:widowControl/>
              <w:jc w:val="left"/>
              <w:rPr>
                <w:rFonts w:ascii="Arial Narrow" w:hAnsi="Arial Narrow" w:eastAsia="宋体" w:cs="宋体"/>
                <w:kern w:val="0"/>
                <w:sz w:val="18"/>
                <w:szCs w:val="18"/>
              </w:rPr>
            </w:pPr>
          </w:p>
        </w:tc>
      </w:tr>
      <w:tr w14:paraId="0CCE79BC">
        <w:tblPrEx>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F10A91D">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EBB4769">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080BFC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w:t>
            </w:r>
            <w:r>
              <w:rPr>
                <w:rFonts w:hint="eastAsia" w:ascii="Arial Narrow" w:hAnsi="Arial Narrow" w:eastAsia="宋体" w:cs="宋体"/>
                <w:kern w:val="0"/>
                <w:sz w:val="18"/>
                <w:szCs w:val="18"/>
                <w:lang w:val="en-US" w:eastAsia="zh-CN"/>
              </w:rPr>
              <w:t>6</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0F89375">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项目实施是否符合相关管理规定，用以反映和考核相关管理制度的有效执行情况</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6D44483D">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①是否遵守相关法律法规和相关管理规定；</w:t>
            </w:r>
          </w:p>
          <w:p w14:paraId="227D4AD4">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②项目调整及支出调整手续是否完备；</w:t>
            </w:r>
          </w:p>
          <w:p w14:paraId="12227D39">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③项目合同书、验收报告、技术鉴定等资料是否齐全并及时归档；</w:t>
            </w:r>
          </w:p>
          <w:p w14:paraId="24D90E64">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④项目实施的人员条件、场地设备、信息支撑等是否落实到位</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523FB65E">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478D526F">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19A884A">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C56ED3D">
            <w:pPr>
              <w:widowControl/>
              <w:jc w:val="left"/>
              <w:rPr>
                <w:rFonts w:ascii="Arial Narrow" w:hAnsi="Arial Narrow" w:eastAsia="宋体" w:cs="宋体"/>
                <w:kern w:val="0"/>
                <w:sz w:val="18"/>
                <w:szCs w:val="18"/>
              </w:rPr>
            </w:pPr>
          </w:p>
        </w:tc>
      </w:tr>
      <w:tr w14:paraId="305CAC78">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B7E5D">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81FA35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产出数量（</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8B5BA39">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实际完成率（</w:t>
            </w:r>
            <w:r>
              <w:rPr>
                <w:rFonts w:hint="eastAsia" w:ascii="Arial Narrow" w:hAnsi="Arial Narrow" w:eastAsia="宋体" w:cs="宋体"/>
                <w:kern w:val="0"/>
                <w:sz w:val="18"/>
                <w:szCs w:val="18"/>
                <w:lang w:val="en-US" w:eastAsia="zh-CN"/>
              </w:rPr>
              <w:t>8</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2353E19">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项目实施的实际产出数与计划产出数的比率，用以反映和考核项目产出数量目标的实现程度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03ADA02C">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实际完成率=(实际产出数/计划产出数)×100%。</w:t>
            </w:r>
          </w:p>
          <w:p w14:paraId="6481D5B5">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实际产出数：一定时期(本年度或项目期)内项目实际产出的产品或提供的服务数量。</w:t>
            </w:r>
          </w:p>
          <w:p w14:paraId="4BB5BAC9">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计划产出数：项目绩效目标确定的在一</w:t>
            </w:r>
          </w:p>
          <w:p w14:paraId="2ECB52A3">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定时期(本年度或项目期)内计划产出的产品或提供的服务数量</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4CC31A3E">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2DE0951C">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A3E44D4">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6EEFA523">
            <w:pPr>
              <w:widowControl/>
              <w:jc w:val="center"/>
              <w:rPr>
                <w:rFonts w:ascii="Arial Narrow" w:hAnsi="Arial Narrow" w:eastAsia="宋体" w:cs="宋体"/>
                <w:kern w:val="0"/>
                <w:sz w:val="18"/>
                <w:szCs w:val="18"/>
              </w:rPr>
            </w:pPr>
          </w:p>
        </w:tc>
      </w:tr>
      <w:tr w14:paraId="4B45A39B">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7D09CAA">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14:paraId="22550468">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产出质量</w:t>
            </w:r>
          </w:p>
          <w:p w14:paraId="38914703">
            <w:pPr>
              <w:widowControl/>
              <w:jc w:val="center"/>
              <w:rPr>
                <w:rFonts w:hint="eastAsia" w:ascii="Arial Narrow" w:hAnsi="Arial Narrow" w:eastAsia="宋体" w:cs="宋体"/>
                <w:kern w:val="0"/>
                <w:sz w:val="18"/>
                <w:szCs w:val="18"/>
                <w:lang w:eastAsia="zh-CN"/>
              </w:rPr>
            </w:pP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12</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C6F27EF">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w:t>
            </w:r>
          </w:p>
          <w:p w14:paraId="16219875">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率（</w:t>
            </w:r>
            <w:r>
              <w:rPr>
                <w:rFonts w:hint="eastAsia" w:ascii="Arial Narrow" w:hAnsi="Arial Narrow" w:eastAsia="宋体" w:cs="宋体"/>
                <w:kern w:val="0"/>
                <w:sz w:val="18"/>
                <w:szCs w:val="18"/>
                <w:lang w:val="en-US" w:eastAsia="zh-CN"/>
              </w:rPr>
              <w:t>15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5280F0DA">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项目完成的质量达标产出数与实际产出数的比率，用以反映和考核项目产出质量目标的实现程度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1D0F7C41">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质量达标率=(质量达标产出数/实际产出数)×100%。</w:t>
            </w:r>
          </w:p>
          <w:p w14:paraId="6AE95DC6">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质量达标产出数：一定时期(本年度或项目期)内实际达到既定质量标准的产品或服务数量。既定质量标准是指项目</w:t>
            </w:r>
          </w:p>
          <w:p w14:paraId="350DBA5A">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实施单位设立绩效目标时依据计划标准、行业标准、历史标准或其他标准而设定的绩效指标值</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6A29C2F2">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48CB906C">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296AA75">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1C6F1C40">
            <w:pPr>
              <w:widowControl/>
              <w:jc w:val="left"/>
              <w:rPr>
                <w:rFonts w:ascii="Arial Narrow" w:hAnsi="Arial Narrow" w:eastAsia="宋体" w:cs="宋体"/>
                <w:kern w:val="0"/>
                <w:sz w:val="18"/>
                <w:szCs w:val="18"/>
              </w:rPr>
            </w:pPr>
          </w:p>
        </w:tc>
      </w:tr>
      <w:tr w14:paraId="10972CA1">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16636AD8">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14:paraId="5809DBB4">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产出时效</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5</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B77108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w:t>
            </w:r>
            <w:r>
              <w:rPr>
                <w:rFonts w:hint="eastAsia" w:ascii="Arial Narrow" w:hAnsi="Arial Narrow" w:eastAsia="宋体" w:cs="宋体"/>
                <w:kern w:val="0"/>
                <w:sz w:val="18"/>
                <w:szCs w:val="18"/>
                <w:lang w:val="en-US" w:eastAsia="zh-CN"/>
              </w:rPr>
              <w:t>2</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0DAE27A7">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项目实际完成时间与计划完成时间的比较，用以反映和考核项目产出时效目标的实现程度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099B6845">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实际完成时间：项目实施单位完成该项目实际所耗用的时间。</w:t>
            </w:r>
          </w:p>
          <w:p w14:paraId="526FA0EE">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计划完成时间：按照项目实施计划或相关规定完成该项目所需的时间</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7F5E9B9E">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78DD6A3">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D13BA94">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3AD4815">
            <w:pPr>
              <w:widowControl/>
              <w:rPr>
                <w:rFonts w:ascii="Arial Narrow" w:hAnsi="Arial Narrow" w:eastAsia="宋体" w:cs="宋体"/>
                <w:kern w:val="0"/>
                <w:sz w:val="18"/>
                <w:szCs w:val="18"/>
              </w:rPr>
            </w:pPr>
          </w:p>
        </w:tc>
      </w:tr>
      <w:tr w14:paraId="450435B3">
        <w:tblPrEx>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37B4999A">
            <w:pPr>
              <w:widowControl/>
              <w:jc w:val="left"/>
              <w:rPr>
                <w:rFonts w:ascii="Arial Narrow" w:hAnsi="Arial Narrow"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14:paraId="5C45C36B">
            <w:pPr>
              <w:widowControl/>
              <w:jc w:val="center"/>
              <w:rPr>
                <w:rFonts w:hint="eastAsia" w:ascii="Arial Narrow" w:hAnsi="Arial Narrow" w:eastAsia="宋体" w:cs="宋体"/>
                <w:kern w:val="0"/>
                <w:sz w:val="18"/>
                <w:szCs w:val="18"/>
                <w:lang w:eastAsia="zh-CN"/>
              </w:rPr>
            </w:pPr>
            <w:r>
              <w:rPr>
                <w:rFonts w:ascii="Arial Narrow" w:hAnsi="Arial Narrow" w:eastAsia="宋体" w:cs="宋体"/>
                <w:kern w:val="0"/>
                <w:sz w:val="18"/>
                <w:szCs w:val="18"/>
              </w:rPr>
              <w:t>产出成本</w:t>
            </w:r>
            <w:r>
              <w:rPr>
                <w:rFonts w:hint="eastAsia" w:ascii="Arial Narrow" w:hAnsi="Arial Narrow" w:eastAsia="宋体" w:cs="宋体"/>
                <w:kern w:val="0"/>
                <w:sz w:val="18"/>
                <w:szCs w:val="18"/>
                <w:lang w:eastAsia="zh-CN"/>
              </w:rPr>
              <w:t>（</w:t>
            </w:r>
            <w:r>
              <w:rPr>
                <w:rFonts w:hint="eastAsia" w:ascii="Arial Narrow" w:hAnsi="Arial Narrow" w:eastAsia="宋体" w:cs="宋体"/>
                <w:kern w:val="0"/>
                <w:sz w:val="18"/>
                <w:szCs w:val="18"/>
                <w:lang w:val="en-US" w:eastAsia="zh-CN"/>
              </w:rPr>
              <w:t>5</w:t>
            </w:r>
            <w:r>
              <w:rPr>
                <w:rFonts w:hint="eastAsia" w:ascii="Arial Narrow" w:hAnsi="Arial Narrow" w:eastAsia="宋体" w:cs="宋体"/>
                <w:kern w:val="0"/>
                <w:sz w:val="18"/>
                <w:szCs w:val="18"/>
                <w:lang w:eastAsia="zh-CN"/>
              </w:rPr>
              <w:t>）</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611755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成本节约率（</w:t>
            </w:r>
            <w:r>
              <w:rPr>
                <w:rFonts w:hint="eastAsia" w:ascii="Arial Narrow" w:hAnsi="Arial Narrow" w:eastAsia="宋体" w:cs="宋体"/>
                <w:kern w:val="0"/>
                <w:sz w:val="18"/>
                <w:szCs w:val="18"/>
                <w:lang w:val="en-US" w:eastAsia="zh-CN"/>
              </w:rPr>
              <w:t>5</w:t>
            </w:r>
            <w:r>
              <w:rPr>
                <w:rFonts w:ascii="Arial Narrow" w:hAnsi="Arial Narrow" w:eastAsia="宋体"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82B06C7">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完成项目计划工作目标的实际节约成本与计划成本的比率，用以反映和考核项目的成本节约程度</w:t>
            </w:r>
            <w:r>
              <w:rPr>
                <w:rFonts w:ascii="Arial Narrow" w:hAnsi="Arial Narrow" w:eastAsia="宋体" w:cs="宋体"/>
                <w:kern w:val="0"/>
                <w:sz w:val="18"/>
                <w:szCs w:val="18"/>
              </w:rPr>
              <w:t>。</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181735C6">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成本节约率=[(计划成本-实际成本)/计划成本]×100%。</w:t>
            </w:r>
          </w:p>
          <w:p w14:paraId="417B0C82">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实际成本：项目实施单位如期、保质、保量完成既定工作目标实际所耗费的</w:t>
            </w:r>
          </w:p>
          <w:p w14:paraId="484EDD79">
            <w:pPr>
              <w:widowControl/>
              <w:jc w:val="left"/>
              <w:rPr>
                <w:rFonts w:ascii="Arial Narrow" w:hAnsi="Arial Narrow" w:eastAsia="宋体" w:cs="宋体"/>
                <w:kern w:val="0"/>
                <w:sz w:val="18"/>
                <w:szCs w:val="18"/>
                <w:lang w:eastAsia="zh-CN"/>
              </w:rPr>
            </w:pPr>
            <w:r>
              <w:rPr>
                <w:rFonts w:ascii="Arial Narrow" w:hAnsi="Arial Narrow" w:eastAsia="宋体" w:cs="宋体"/>
                <w:kern w:val="0"/>
                <w:sz w:val="18"/>
                <w:szCs w:val="18"/>
                <w:lang w:eastAsia="zh-CN"/>
              </w:rPr>
              <w:t>支出。</w:t>
            </w:r>
          </w:p>
          <w:p w14:paraId="4828E84F">
            <w:pPr>
              <w:widowControl/>
              <w:jc w:val="left"/>
              <w:rPr>
                <w:rFonts w:ascii="Arial Narrow" w:hAnsi="Arial Narrow" w:eastAsia="宋体" w:cs="宋体"/>
                <w:kern w:val="0"/>
                <w:sz w:val="18"/>
                <w:szCs w:val="18"/>
              </w:rPr>
            </w:pPr>
            <w:r>
              <w:rPr>
                <w:rFonts w:ascii="Arial Narrow" w:hAnsi="Arial Narrow" w:eastAsia="宋体" w:cs="宋体"/>
                <w:kern w:val="0"/>
                <w:sz w:val="18"/>
                <w:szCs w:val="18"/>
                <w:lang w:eastAsia="zh-CN"/>
              </w:rPr>
              <w:t>计划成本：项目实施单位为完成工作目标计划安排的支出，一般以项目预算为参考</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1B2032A9">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1276AE1">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6177527">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83BBC02">
            <w:pPr>
              <w:widowControl/>
              <w:rPr>
                <w:rFonts w:ascii="Arial Narrow" w:hAnsi="Arial Narrow" w:eastAsia="宋体" w:cs="宋体"/>
                <w:kern w:val="0"/>
                <w:sz w:val="18"/>
                <w:szCs w:val="18"/>
              </w:rPr>
            </w:pPr>
          </w:p>
        </w:tc>
      </w:tr>
      <w:tr w14:paraId="0190C2E2">
        <w:tblPrEx>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509B8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56A8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7A912BB2">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实施效益（6分）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34FC7749">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5A4BC0A6">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14:paraId="1BDEC409">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2ED9591D">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7268CF7">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1E14E239">
            <w:pPr>
              <w:widowControl/>
              <w:rPr>
                <w:rFonts w:ascii="Arial Narrow" w:hAnsi="Arial Narrow" w:eastAsia="宋体" w:cs="宋体"/>
                <w:kern w:val="0"/>
                <w:sz w:val="18"/>
                <w:szCs w:val="18"/>
              </w:rPr>
            </w:pPr>
          </w:p>
        </w:tc>
      </w:tr>
      <w:tr w14:paraId="315977B9">
        <w:tblPrEx>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A7731D8">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330D22F">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831CAE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B304E33">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05EE60BD">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14:paraId="5410BC28">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9560A7C">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FA77006">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4BE71C3C">
            <w:pPr>
              <w:widowControl/>
              <w:rPr>
                <w:rFonts w:ascii="Arial Narrow" w:hAnsi="Arial Narrow" w:eastAsia="宋体" w:cs="宋体"/>
                <w:kern w:val="0"/>
                <w:sz w:val="18"/>
                <w:szCs w:val="18"/>
              </w:rPr>
            </w:pPr>
          </w:p>
        </w:tc>
      </w:tr>
      <w:tr w14:paraId="7E234A33">
        <w:tblPrEx>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4F8DB840">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F369519">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5842A5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4352FD0F">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37A07A7C">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14:paraId="2F7F95BB">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72A2587">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5A5CFBB">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613B2700">
            <w:pPr>
              <w:widowControl/>
              <w:rPr>
                <w:rFonts w:ascii="Arial Narrow" w:hAnsi="Arial Narrow" w:eastAsia="宋体" w:cs="宋体"/>
                <w:kern w:val="0"/>
                <w:sz w:val="18"/>
                <w:szCs w:val="18"/>
              </w:rPr>
            </w:pPr>
          </w:p>
        </w:tc>
      </w:tr>
      <w:tr w14:paraId="7447FE52">
        <w:tblPrEx>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50541B4">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44C7043">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4F9112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11191C61">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14:paraId="2C74EE32">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w:t>
            </w:r>
            <w:r>
              <w:rPr>
                <w:rFonts w:ascii="Arial Narrow" w:hAnsi="Arial Narrow" w:eastAsia="宋体" w:cs="宋体"/>
                <w:kern w:val="0"/>
                <w:sz w:val="18"/>
                <w:szCs w:val="18"/>
                <w:lang w:eastAsia="zh-CN"/>
              </w:rPr>
              <w:t>社会公众或服务对象是指因该项目实施而受到影响的部门(单位)、群体或个人。一般采取社会调查的方式</w:t>
            </w:r>
            <w:r>
              <w:rPr>
                <w:rFonts w:ascii="Arial Narrow" w:hAnsi="Arial Narrow" w:eastAsia="宋体"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2563F539">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3E78AB">
            <w:pPr>
              <w:widowControl/>
              <w:jc w:val="center"/>
              <w:rPr>
                <w:rFonts w:hint="default"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575E068">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7344DD3B">
            <w:pPr>
              <w:widowControl/>
              <w:rPr>
                <w:rFonts w:ascii="Arial Narrow" w:hAnsi="Arial Narrow" w:eastAsia="宋体" w:cs="宋体"/>
                <w:kern w:val="0"/>
                <w:sz w:val="18"/>
                <w:szCs w:val="18"/>
              </w:rPr>
            </w:pPr>
          </w:p>
        </w:tc>
      </w:tr>
      <w:tr w14:paraId="632000DA">
        <w:tblPrEx>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6F7ACF">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14:paraId="51D0F0F1">
            <w:pPr>
              <w:widowControl/>
              <w:jc w:val="center"/>
              <w:rPr>
                <w:rFonts w:ascii="Arial Narrow" w:hAnsi="Arial Narrow" w:eastAsia="宋体" w:cs="宋体"/>
                <w:bCs/>
                <w:kern w:val="0"/>
                <w:szCs w:val="21"/>
              </w:rPr>
            </w:pPr>
            <w:r>
              <w:rPr>
                <w:rFonts w:hint="eastAsia" w:ascii="Arial Narrow" w:hAnsi="Arial Narrow" w:eastAsia="宋体" w:cs="宋体"/>
                <w:b/>
                <w:kern w:val="0"/>
                <w:szCs w:val="21"/>
                <w:lang w:val="en-US" w:eastAsia="zh-CN"/>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3B7DA03">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0BC43D21">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14:paraId="3004B8A1">
            <w:pPr>
              <w:widowControl/>
              <w:jc w:val="center"/>
              <w:rPr>
                <w:rFonts w:ascii="Arial Narrow" w:hAnsi="Arial Narrow" w:eastAsia="宋体" w:cs="宋体"/>
                <w:b/>
                <w:bCs/>
                <w:kern w:val="0"/>
                <w:sz w:val="18"/>
                <w:szCs w:val="18"/>
              </w:rPr>
            </w:pPr>
          </w:p>
        </w:tc>
      </w:tr>
    </w:tbl>
    <w:p w14:paraId="390FE0AC"/>
    <w:p w14:paraId="63959A89"/>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Arial Narrow">
    <w:altName w:val="Arial"/>
    <w:panose1 w:val="020B0606020202030204"/>
    <w:charset w:val="00"/>
    <w:family w:val="swiss"/>
    <w:pitch w:val="default"/>
    <w:sig w:usb0="00000000" w:usb1="00000000" w:usb2="00000000" w:usb3="00000000" w:csb0="0000009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E7F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EBE0598">
                          <w:pPr>
                            <w:pStyle w:val="4"/>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1</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7EBE0598">
                    <w:pPr>
                      <w:pStyle w:val="4"/>
                      <w:rPr>
                        <w:rFonts w:hint="default" w:ascii="Nimbus Roman" w:hAnsi="Nimbus Roman" w:cs="Nimbus Roman"/>
                        <w:sz w:val="28"/>
                        <w:szCs w:val="28"/>
                      </w:rPr>
                    </w:pPr>
                    <w:r>
                      <w:rPr>
                        <w:rFonts w:hint="default" w:ascii="Nimbus Roman" w:hAnsi="Nimbus Roman" w:cs="Nimbus Roman"/>
                        <w:sz w:val="28"/>
                        <w:szCs w:val="28"/>
                      </w:rPr>
                      <w:t xml:space="preserve">— </w:t>
                    </w:r>
                    <w:r>
                      <w:rPr>
                        <w:rFonts w:hint="default" w:ascii="Nimbus Roman" w:hAnsi="Nimbus Roman" w:cs="Nimbus Roman"/>
                        <w:sz w:val="28"/>
                        <w:szCs w:val="28"/>
                      </w:rPr>
                      <w:fldChar w:fldCharType="begin"/>
                    </w:r>
                    <w:r>
                      <w:rPr>
                        <w:rFonts w:hint="default" w:ascii="Nimbus Roman" w:hAnsi="Nimbus Roman" w:cs="Nimbus Roman"/>
                        <w:sz w:val="28"/>
                        <w:szCs w:val="28"/>
                      </w:rPr>
                      <w:instrText xml:space="preserve"> PAGE  \* MERGEFORMAT </w:instrText>
                    </w:r>
                    <w:r>
                      <w:rPr>
                        <w:rFonts w:hint="default" w:ascii="Nimbus Roman" w:hAnsi="Nimbus Roman" w:cs="Nimbus Roman"/>
                        <w:sz w:val="28"/>
                        <w:szCs w:val="28"/>
                      </w:rPr>
                      <w:fldChar w:fldCharType="separate"/>
                    </w:r>
                    <w:r>
                      <w:rPr>
                        <w:rFonts w:hint="default" w:ascii="Nimbus Roman" w:hAnsi="Nimbus Roman" w:cs="Nimbus Roman"/>
                        <w:sz w:val="28"/>
                        <w:szCs w:val="28"/>
                      </w:rPr>
                      <w:t>1</w:t>
                    </w:r>
                    <w:r>
                      <w:rPr>
                        <w:rFonts w:hint="default" w:ascii="Nimbus Roman" w:hAnsi="Nimbus Roman" w:cs="Nimbus Roman"/>
                        <w:sz w:val="28"/>
                        <w:szCs w:val="28"/>
                      </w:rPr>
                      <w:fldChar w:fldCharType="end"/>
                    </w:r>
                    <w:r>
                      <w:rPr>
                        <w:rFonts w:hint="default" w:ascii="Nimbus Roman" w:hAnsi="Nimbus Roman" w:cs="Nimbus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E0F96"/>
    <w:multiLevelType w:val="singleLevel"/>
    <w:tmpl w:val="6F3E0F9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927D71"/>
    <w:rsid w:val="1E3D382D"/>
    <w:rsid w:val="6F951797"/>
    <w:rsid w:val="73D7D0DF"/>
    <w:rsid w:val="777BE1F6"/>
    <w:rsid w:val="B7DBB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13</Pages>
  <Words>6013</Words>
  <Characters>6102</Characters>
  <Lines>2</Lines>
  <Paragraphs>1</Paragraphs>
  <TotalTime>0</TotalTime>
  <ScaleCrop>false</ScaleCrop>
  <LinksUpToDate>false</LinksUpToDate>
  <CharactersWithSpaces>6111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2021-01-09T05:40:00Z</dcterms:created>
  <dc:creator>lenovo</dc:creator>
  <cp:lastModifiedBy>平淡是真</cp:lastModifiedBy>
  <cp:lastPrinted>2025-04-02T03:22:00Z</cp:lastPrinted>
  <dcterms:modified xsi:type="dcterms:W3CDTF">2026-04-28T07:36:50Z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170A49AC9CF2BEBC3C12EF692C9601E9</vt:lpwstr>
  </property>
  <property fmtid="{D5CDD505-2E9C-101B-9397-08002B2CF9AE}" pid="4" name="KSOTemplateDocerSaveRecord">
    <vt:lpwstr>eyJoZGlkIjoiZTI5NmJkNWNkMDQyYWJmNjZkZWMwMzBmZjg0NDQ1ZTgiLCJ1c2VySWQiOiI3NDUzODE4MTQifQ==</vt:lpwstr>
  </property>
</Properties>
</file>