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635630">
      <w:pPr>
        <w:spacing w:line="620" w:lineRule="exact"/>
        <w:ind w:left="263" w:leftChars="125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 xml:space="preserve"> 追加安排2023年散旦镇小白井村公路</w:t>
      </w:r>
    </w:p>
    <w:p w14:paraId="525E34C1">
      <w:pPr>
        <w:spacing w:line="620" w:lineRule="exact"/>
        <w:ind w:left="263" w:leftChars="125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硬化项目相关费用资金支出绩效评价报告</w:t>
      </w:r>
    </w:p>
    <w:p w14:paraId="03961D5F">
      <w:pPr>
        <w:spacing w:line="500" w:lineRule="exact"/>
        <w:ind w:left="263" w:leftChars="125" w:firstLine="640" w:firstLineChars="200"/>
        <w:rPr>
          <w:rFonts w:ascii="黑体" w:hAnsi="黑体" w:eastAsia="黑体" w:cs="黑体"/>
          <w:sz w:val="32"/>
          <w:szCs w:val="32"/>
        </w:rPr>
      </w:pPr>
    </w:p>
    <w:p w14:paraId="77B1CB2C">
      <w:pPr>
        <w:spacing w:line="600" w:lineRule="exact"/>
        <w:ind w:left="263" w:leftChars="125"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一、基本情况</w:t>
      </w:r>
    </w:p>
    <w:p w14:paraId="22418958">
      <w:pPr>
        <w:spacing w:line="600" w:lineRule="exact"/>
        <w:ind w:left="263" w:leftChars="125" w:firstLine="640" w:firstLineChars="200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（一）项目概况。</w:t>
      </w:r>
    </w:p>
    <w:p w14:paraId="3013A89C">
      <w:pPr>
        <w:numPr>
          <w:ilvl w:val="0"/>
          <w:numId w:val="1"/>
        </w:numPr>
        <w:spacing w:line="600" w:lineRule="exact"/>
        <w:ind w:left="263" w:leftChars="125" w:firstLine="640" w:firstLineChars="200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缴纳2023年散旦镇小白井村公路硬化项目耕地占用税</w:t>
      </w:r>
      <w:r>
        <w:rPr>
          <w:rFonts w:hint="eastAsia" w:ascii="楷体_GB2312" w:hAnsi="楷体_GB2312" w:eastAsia="楷体_GB2312" w:cs="楷体_GB2312"/>
          <w:sz w:val="32"/>
          <w:szCs w:val="32"/>
        </w:rPr>
        <w:t>项目绩效目标。</w:t>
      </w:r>
    </w:p>
    <w:p w14:paraId="74FF1B4E">
      <w:pPr>
        <w:numPr>
          <w:ilvl w:val="0"/>
          <w:numId w:val="0"/>
        </w:numPr>
        <w:spacing w:line="600" w:lineRule="exact"/>
        <w:ind w:firstLine="640" w:firstLineChars="200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按照县委、政府的决定，完成缴纳2023年散旦镇小白井村公路硬化项目耕地占用税，使工程顺利开展。</w:t>
      </w:r>
    </w:p>
    <w:p w14:paraId="3BB05CF1">
      <w:pPr>
        <w:numPr>
          <w:ilvl w:val="0"/>
          <w:numId w:val="1"/>
        </w:numPr>
        <w:spacing w:line="600" w:lineRule="exact"/>
        <w:ind w:left="263" w:leftChars="125" w:firstLine="640" w:firstLineChars="200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项目组织管理情况。</w:t>
      </w:r>
    </w:p>
    <w:p w14:paraId="1B4313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590" w:lineRule="exact"/>
        <w:ind w:firstLine="640" w:firstLineChars="200"/>
        <w:textAlignment w:val="auto"/>
        <w:outlineLvl w:val="0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我局认真履行行业管理职责，严格执行基本建设程序,</w:t>
      </w:r>
    </w:p>
    <w:p w14:paraId="56BD43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590" w:lineRule="exact"/>
        <w:textAlignment w:val="auto"/>
        <w:outlineLvl w:val="0"/>
        <w:rPr>
          <w:rFonts w:hint="eastAsia" w:ascii="Times New Roman" w:hAnsi="Times New Roman" w:eastAsia="仿宋_GB2312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制定了完善的项目管理制度和</w:t>
      </w:r>
      <w:bookmarkStart w:id="0" w:name="_GoBack"/>
      <w:bookmarkEnd w:id="0"/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资金管理办法，并对项目管理</w:t>
      </w:r>
      <w:r>
        <w:rPr>
          <w:rFonts w:hint="eastAsia" w:ascii="Times New Roman" w:hAnsi="Times New Roman" w:eastAsia="仿宋_GB2312"/>
          <w:sz w:val="32"/>
          <w:szCs w:val="32"/>
        </w:rPr>
        <w:t>的具体流程、职能职责和资金使用作出明确规定，并得有效执行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。</w:t>
      </w:r>
      <w:r>
        <w:rPr>
          <w:rFonts w:hint="eastAsia" w:ascii="Times New Roman" w:hAnsi="Times New Roman" w:eastAsia="仿宋_GB2312"/>
          <w:sz w:val="32"/>
          <w:szCs w:val="32"/>
        </w:rPr>
        <w:t>管理制度合法、合规、完整，遵守相关法律法规和相关管理规定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。</w:t>
      </w:r>
      <w:r>
        <w:rPr>
          <w:rFonts w:hint="eastAsia" w:ascii="Times New Roman" w:hAnsi="Times New Roman" w:eastAsia="仿宋_GB2312"/>
          <w:sz w:val="32"/>
          <w:szCs w:val="32"/>
        </w:rPr>
        <w:t>项目招投标资料、合同书、等资料齐全并及时归档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。</w:t>
      </w:r>
      <w:r>
        <w:rPr>
          <w:rFonts w:hint="eastAsia" w:ascii="Times New Roman" w:hAnsi="Times New Roman" w:eastAsia="仿宋_GB2312"/>
          <w:sz w:val="32"/>
          <w:szCs w:val="32"/>
        </w:rPr>
        <w:t>农民工工资发放及时到位、无拖欠农民工工资的情况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。</w:t>
      </w:r>
      <w:r>
        <w:rPr>
          <w:rFonts w:hint="eastAsia" w:ascii="Times New Roman" w:hAnsi="Times New Roman" w:eastAsia="仿宋_GB2312"/>
          <w:sz w:val="32"/>
          <w:szCs w:val="32"/>
        </w:rPr>
        <w:t>无安全事故、质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量</w:t>
      </w:r>
      <w:r>
        <w:rPr>
          <w:rFonts w:hint="eastAsia" w:ascii="Times New Roman" w:hAnsi="Times New Roman" w:eastAsia="仿宋_GB2312"/>
          <w:sz w:val="32"/>
          <w:szCs w:val="32"/>
        </w:rPr>
        <w:t>事故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。</w:t>
      </w:r>
      <w:r>
        <w:rPr>
          <w:rFonts w:hint="eastAsia" w:ascii="Times New Roman" w:hAnsi="Times New Roman" w:eastAsia="仿宋_GB2312"/>
          <w:sz w:val="32"/>
          <w:szCs w:val="32"/>
        </w:rPr>
        <w:t>项目按照相关规定执行招投标制度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。</w:t>
      </w:r>
      <w:r>
        <w:rPr>
          <w:rFonts w:hint="eastAsia" w:ascii="Times New Roman" w:hAnsi="Times New Roman" w:eastAsia="仿宋_GB2312"/>
          <w:sz w:val="32"/>
          <w:szCs w:val="32"/>
        </w:rPr>
        <w:t>项目按照相关规定规范执行合同制度，建立合同台账管理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。</w:t>
      </w:r>
    </w:p>
    <w:p w14:paraId="7C9717AE">
      <w:pPr>
        <w:spacing w:line="60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二、绩效评价工作开展情况</w:t>
      </w:r>
    </w:p>
    <w:p w14:paraId="5E42B676">
      <w:pPr>
        <w:spacing w:line="600" w:lineRule="exact"/>
        <w:ind w:firstLine="640" w:firstLineChars="200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（一）绩效评价目的、对象和范围。</w:t>
      </w:r>
    </w:p>
    <w:p w14:paraId="234AAD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590" w:lineRule="exact"/>
        <w:ind w:firstLine="640" w:firstLineChars="200"/>
        <w:textAlignment w:val="auto"/>
        <w:outlineLvl w:val="0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确保项目稳步高效推进。</w:t>
      </w:r>
    </w:p>
    <w:p w14:paraId="50A49478">
      <w:pPr>
        <w:numPr>
          <w:ilvl w:val="0"/>
          <w:numId w:val="0"/>
        </w:numPr>
        <w:spacing w:line="600" w:lineRule="exact"/>
        <w:ind w:leftChars="325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（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二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）</w:t>
      </w:r>
      <w:r>
        <w:rPr>
          <w:rFonts w:hint="eastAsia" w:ascii="楷体_GB2312" w:hAnsi="楷体_GB2312" w:eastAsia="楷体_GB2312" w:cs="楷体_GB2312"/>
          <w:sz w:val="32"/>
          <w:szCs w:val="32"/>
        </w:rPr>
        <w:t>绩效评价原则、依据、评价指标体系（附表说明）、评价方法、评价标准、评价抽样等。</w:t>
      </w:r>
    </w:p>
    <w:p w14:paraId="33C83C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590" w:lineRule="exact"/>
        <w:ind w:firstLine="640" w:firstLineChars="200"/>
        <w:textAlignment w:val="auto"/>
        <w:outlineLvl w:val="0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严格按照富民县交通运输局内控系统的工作要求开展工作。</w:t>
      </w:r>
    </w:p>
    <w:p w14:paraId="0E344277">
      <w:pPr>
        <w:numPr>
          <w:ilvl w:val="0"/>
          <w:numId w:val="0"/>
        </w:numPr>
        <w:spacing w:line="600" w:lineRule="exact"/>
        <w:ind w:leftChars="325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（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三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）</w:t>
      </w:r>
      <w:r>
        <w:rPr>
          <w:rFonts w:hint="eastAsia" w:ascii="楷体_GB2312" w:hAnsi="楷体_GB2312" w:eastAsia="楷体_GB2312" w:cs="楷体_GB2312"/>
          <w:sz w:val="32"/>
          <w:szCs w:val="32"/>
        </w:rPr>
        <w:t>绩效评价工作流程。</w:t>
      </w:r>
    </w:p>
    <w:p w14:paraId="6B7F9F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590" w:lineRule="exact"/>
        <w:ind w:firstLine="640" w:firstLineChars="200"/>
        <w:textAlignment w:val="auto"/>
        <w:outlineLvl w:val="0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按照富民县财务和审计工作依法依规报销相关费用。</w:t>
      </w:r>
    </w:p>
    <w:p w14:paraId="5136FE0E">
      <w:pPr>
        <w:spacing w:line="600" w:lineRule="exact"/>
        <w:ind w:left="263" w:leftChars="125"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三、综合评价情况及评价结论（附相关评分表）</w:t>
      </w:r>
    </w:p>
    <w:p w14:paraId="00EB7EE5">
      <w:pPr>
        <w:spacing w:line="600" w:lineRule="exact"/>
        <w:ind w:left="263" w:leftChars="125" w:firstLine="640" w:firstLineChars="200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</w:t>
      </w:r>
      <w:r>
        <w:rPr>
          <w:rFonts w:hint="eastAsia" w:ascii="楷体_GB2312" w:hAnsi="楷体_GB2312" w:eastAsia="楷体_GB2312" w:cs="楷体_GB2312"/>
          <w:sz w:val="32"/>
          <w:szCs w:val="32"/>
        </w:rPr>
        <w:t>一）绩效评价综合结论。</w:t>
      </w:r>
    </w:p>
    <w:p w14:paraId="1F6045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590" w:lineRule="exact"/>
        <w:ind w:firstLine="640" w:firstLineChars="200"/>
        <w:textAlignment w:val="auto"/>
        <w:outlineLvl w:val="0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该项目资金分配科学公平，投向精准，制定了明确的分配标准，资金投向符合政策目标，不存在“撒胡椒面"情况。中间环节无截留、挪用现象。资金拨付流程规范、精准，严格按照工程进度、合同约定进行拨付，无提前拨付或超进度拨付，实行国库集中支付。支出符合预算规定的用途，不存在截留、挤占、挪用、或违规购买理财、借给他人使用等情况，资金执行进度与项目实施进度匹配。我局认真履行行业管理职责，严格执行基本建设程序组织实施，完善各项审批手续，确保项目按标准程序实施。严格资金拨付审批程序，增加了资金划拨的透明度，产生较好的绩效效果。</w:t>
      </w:r>
    </w:p>
    <w:p w14:paraId="7E8A03BB">
      <w:pPr>
        <w:numPr>
          <w:ilvl w:val="0"/>
          <w:numId w:val="2"/>
        </w:numPr>
        <w:spacing w:line="600" w:lineRule="exact"/>
        <w:ind w:left="263" w:leftChars="125" w:firstLine="640" w:firstLineChars="200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绩效目标实现情况等。</w:t>
      </w:r>
    </w:p>
    <w:p w14:paraId="724515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590" w:lineRule="exact"/>
        <w:ind w:firstLine="640" w:firstLineChars="200"/>
        <w:textAlignment w:val="auto"/>
        <w:outlineLvl w:val="0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按时完成白石岩片区对外连接线初步设计、施工图设计工作。</w:t>
      </w:r>
    </w:p>
    <w:p w14:paraId="1E20AC0D">
      <w:pPr>
        <w:spacing w:line="600" w:lineRule="exact"/>
        <w:ind w:left="263" w:leftChars="125"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四、绩效评价指标分析</w:t>
      </w:r>
    </w:p>
    <w:p w14:paraId="5D37957C">
      <w:pPr>
        <w:spacing w:line="600" w:lineRule="exact"/>
        <w:ind w:left="263" w:leftChars="125" w:firstLine="640" w:firstLineChars="200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（一）项目决策情况分析。</w:t>
      </w:r>
    </w:p>
    <w:p w14:paraId="710CAF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590" w:lineRule="exact"/>
        <w:ind w:firstLine="640" w:firstLineChars="200"/>
        <w:textAlignment w:val="auto"/>
        <w:outlineLvl w:val="0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政策有明确的受益范围或对象，绩效目标清晰明确，绩效指标细化量化、分解落实到具体任务，绩效目标及指标设定合理可行，预期绩效显著。</w:t>
      </w:r>
    </w:p>
    <w:p w14:paraId="4EE237AC">
      <w:pPr>
        <w:numPr>
          <w:ilvl w:val="0"/>
          <w:numId w:val="0"/>
        </w:numPr>
        <w:spacing w:line="600" w:lineRule="exact"/>
        <w:ind w:leftChars="325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（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二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）</w:t>
      </w:r>
      <w:r>
        <w:rPr>
          <w:rFonts w:hint="eastAsia" w:ascii="楷体_GB2312" w:hAnsi="楷体_GB2312" w:eastAsia="楷体_GB2312" w:cs="楷体_GB2312"/>
          <w:sz w:val="32"/>
          <w:szCs w:val="32"/>
        </w:rPr>
        <w:t>项目过程情况分析</w:t>
      </w:r>
    </w:p>
    <w:p w14:paraId="30D572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590" w:lineRule="exact"/>
        <w:ind w:firstLine="640" w:firstLineChars="200"/>
        <w:textAlignment w:val="auto"/>
        <w:outlineLvl w:val="0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政策组织架构、运行机制、技术路线选择、计划进度安排等能保障政策有效落实，风险分析全面深入、应对措施有效。政策实施有可持续的组织保障环境，相关资源能保障政策可持续实施，考虑了政策后续执行的相关风险，有明确的实施期限，政策清理、退出或调整的机制健全。</w:t>
      </w:r>
    </w:p>
    <w:p w14:paraId="14BD2A11">
      <w:pPr>
        <w:numPr>
          <w:ilvl w:val="0"/>
          <w:numId w:val="2"/>
        </w:numPr>
        <w:spacing w:line="600" w:lineRule="exact"/>
        <w:ind w:left="263" w:leftChars="125" w:firstLine="640" w:firstLineChars="200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项目产出情况分析。</w:t>
      </w:r>
    </w:p>
    <w:p w14:paraId="22898F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590" w:lineRule="exact"/>
        <w:ind w:firstLine="640" w:firstLineChars="200"/>
        <w:textAlignment w:val="auto"/>
        <w:outlineLvl w:val="0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项目的建成将极大地改善道路沿线各族人民群众出行条件，受益人口达2000人以上，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带动了沿线群众就业，群众满意度大幅提升，为国家贡献了GDP，税收等。总体目标全部完成，达到了预期效果。</w:t>
      </w:r>
    </w:p>
    <w:p w14:paraId="7939A96F">
      <w:pPr>
        <w:numPr>
          <w:ilvl w:val="0"/>
          <w:numId w:val="2"/>
        </w:numPr>
        <w:spacing w:line="600" w:lineRule="exact"/>
        <w:ind w:left="263" w:leftChars="125" w:firstLine="640" w:firstLineChars="200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项目效益情况分析</w:t>
      </w:r>
    </w:p>
    <w:p w14:paraId="7E342C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590" w:lineRule="exact"/>
        <w:textAlignment w:val="auto"/>
        <w:outlineLvl w:val="0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  促进“三农”社会和经济发展;促进农村农业布局与结构合理化，加快农村城镇化，减少城乡差距，提高农村招商引资能力，改善农民就业条件，促进农民增收，维护社会公平，促进就业人数是否逐年增长。能够改善生态环境、改善农民生活条件;促进地区资源的合理开发和利用，产生较好的绩效效果，经济效益，社会效益明显。</w:t>
      </w:r>
    </w:p>
    <w:p w14:paraId="23FAFC23">
      <w:pPr>
        <w:numPr>
          <w:ilvl w:val="0"/>
          <w:numId w:val="3"/>
        </w:numPr>
        <w:spacing w:line="600" w:lineRule="exact"/>
        <w:ind w:left="263" w:leftChars="125"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主要经验及做法</w:t>
      </w:r>
    </w:p>
    <w:p w14:paraId="5AC982F9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在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农村</w:t>
      </w:r>
      <w:r>
        <w:rPr>
          <w:rFonts w:hint="eastAsia" w:ascii="仿宋" w:hAnsi="仿宋" w:eastAsia="仿宋" w:cs="仿宋"/>
          <w:sz w:val="32"/>
          <w:szCs w:val="32"/>
        </w:rPr>
        <w:t>公路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工程</w:t>
      </w:r>
      <w:r>
        <w:rPr>
          <w:rFonts w:hint="eastAsia" w:ascii="仿宋" w:hAnsi="仿宋" w:eastAsia="仿宋" w:cs="仿宋"/>
          <w:sz w:val="32"/>
          <w:szCs w:val="32"/>
        </w:rPr>
        <w:t>管理上，我局认真履行行业管理职责，一是严格执行基本建设程序。二是突出抓好公路建设的七个关键环节：严把设计质量关，严格设计审查；严把招标关，规范招投标行为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  <w:r>
        <w:rPr>
          <w:rFonts w:hint="eastAsia" w:ascii="仿宋" w:hAnsi="仿宋" w:eastAsia="仿宋" w:cs="仿宋"/>
          <w:sz w:val="32"/>
          <w:szCs w:val="32"/>
        </w:rPr>
        <w:t>三是狠抓质量安全关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  <w:r>
        <w:rPr>
          <w:rFonts w:hint="eastAsia" w:ascii="仿宋" w:hAnsi="仿宋" w:eastAsia="仿宋" w:cs="仿宋"/>
          <w:sz w:val="32"/>
          <w:szCs w:val="32"/>
        </w:rPr>
        <w:t>四是严格资金管理。保证了工程资金安全。</w:t>
      </w:r>
    </w:p>
    <w:p w14:paraId="6B20A451">
      <w:pPr>
        <w:numPr>
          <w:ilvl w:val="0"/>
          <w:numId w:val="3"/>
        </w:numPr>
        <w:spacing w:line="600" w:lineRule="exact"/>
        <w:ind w:left="263" w:leftChars="125"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存在的问题及原因分析</w:t>
      </w:r>
    </w:p>
    <w:p w14:paraId="057C62C4">
      <w:pPr>
        <w:numPr>
          <w:ilvl w:val="0"/>
          <w:numId w:val="0"/>
        </w:numPr>
        <w:spacing w:line="600" w:lineRule="exact"/>
        <w:ind w:leftChars="325" w:firstLine="320" w:firstLineChars="10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无</w:t>
      </w:r>
    </w:p>
    <w:p w14:paraId="33FCD411">
      <w:pPr>
        <w:numPr>
          <w:ilvl w:val="0"/>
          <w:numId w:val="3"/>
        </w:numPr>
        <w:spacing w:line="600" w:lineRule="exact"/>
        <w:ind w:left="263" w:leftChars="125"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有关建议</w:t>
      </w:r>
    </w:p>
    <w:p w14:paraId="346A3CA0">
      <w:pPr>
        <w:numPr>
          <w:ilvl w:val="0"/>
          <w:numId w:val="0"/>
        </w:numPr>
        <w:spacing w:line="600" w:lineRule="exact"/>
        <w:ind w:leftChars="325" w:firstLine="320" w:firstLineChars="100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无</w:t>
      </w:r>
    </w:p>
    <w:p w14:paraId="51BD9AA3">
      <w:pPr>
        <w:numPr>
          <w:ilvl w:val="0"/>
          <w:numId w:val="3"/>
        </w:numPr>
        <w:spacing w:line="600" w:lineRule="exact"/>
        <w:ind w:left="263" w:leftChars="125"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其它需要说明的问题</w:t>
      </w:r>
    </w:p>
    <w:p w14:paraId="77CA140D">
      <w:pPr>
        <w:numPr>
          <w:ilvl w:val="0"/>
          <w:numId w:val="0"/>
        </w:numPr>
        <w:spacing w:line="600" w:lineRule="exact"/>
        <w:ind w:leftChars="325" w:firstLine="320" w:firstLineChars="1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无</w:t>
      </w:r>
    </w:p>
    <w:p w14:paraId="5F7E13B2">
      <w:pPr>
        <w:widowControl/>
        <w:jc w:val="left"/>
        <w:rPr>
          <w:rFonts w:ascii="仿宋_GB2312" w:eastAsia="仿宋_GB2312"/>
          <w:sz w:val="32"/>
          <w:szCs w:val="32"/>
        </w:rPr>
      </w:pPr>
    </w:p>
    <w:p w14:paraId="476D2E7B">
      <w:pPr>
        <w:widowControl/>
        <w:jc w:val="left"/>
        <w:rPr>
          <w:rFonts w:ascii="仿宋_GB2312" w:eastAsia="仿宋_GB2312"/>
          <w:sz w:val="32"/>
          <w:szCs w:val="32"/>
        </w:rPr>
      </w:pPr>
    </w:p>
    <w:p w14:paraId="514498F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360A4DD"/>
    <w:multiLevelType w:val="singleLevel"/>
    <w:tmpl w:val="9360A4DD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3BA76D55"/>
    <w:multiLevelType w:val="singleLevel"/>
    <w:tmpl w:val="3BA76D55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53C12480"/>
    <w:multiLevelType w:val="singleLevel"/>
    <w:tmpl w:val="53C12480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12927D71"/>
    <w:rsid w:val="000E6661"/>
    <w:rsid w:val="002020E6"/>
    <w:rsid w:val="002A3E90"/>
    <w:rsid w:val="00374AB7"/>
    <w:rsid w:val="003B6467"/>
    <w:rsid w:val="00404802"/>
    <w:rsid w:val="00451CED"/>
    <w:rsid w:val="004A76FA"/>
    <w:rsid w:val="0058320E"/>
    <w:rsid w:val="005B2D1B"/>
    <w:rsid w:val="006E0A05"/>
    <w:rsid w:val="007E77B9"/>
    <w:rsid w:val="0087492D"/>
    <w:rsid w:val="008F7E56"/>
    <w:rsid w:val="00997D04"/>
    <w:rsid w:val="00A34092"/>
    <w:rsid w:val="00C040C7"/>
    <w:rsid w:val="00C44CFA"/>
    <w:rsid w:val="00DE6A66"/>
    <w:rsid w:val="00EC5918"/>
    <w:rsid w:val="00ED3BE0"/>
    <w:rsid w:val="00F5756A"/>
    <w:rsid w:val="00FE0C9E"/>
    <w:rsid w:val="12927D71"/>
    <w:rsid w:val="1A4C14C7"/>
    <w:rsid w:val="2707162B"/>
    <w:rsid w:val="272907AF"/>
    <w:rsid w:val="2B0D62F1"/>
    <w:rsid w:val="470C17F7"/>
    <w:rsid w:val="59075CA5"/>
    <w:rsid w:val="6F951797"/>
    <w:rsid w:val="73FB5471"/>
    <w:rsid w:val="758E3908"/>
    <w:rsid w:val="7772256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qFormat/>
    <w:uiPriority w:val="0"/>
    <w:rPr>
      <w:sz w:val="18"/>
      <w:szCs w:val="18"/>
    </w:r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8">
    <w:name w:val="页脚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9">
    <w:name w:val="批注框文本 Char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昆明市嵩明县党政机关单位</Company>
  <Pages>4</Pages>
  <Words>1538</Words>
  <Characters>1565</Characters>
  <Lines>2</Lines>
  <Paragraphs>1</Paragraphs>
  <TotalTime>17</TotalTime>
  <ScaleCrop>false</ScaleCrop>
  <LinksUpToDate>false</LinksUpToDate>
  <CharactersWithSpaces>1570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2021-01-08T05:40:00Z</dcterms:created>
  <dc:creator>lenovo</dc:creator>
  <cp:lastModifiedBy>平淡是真</cp:lastModifiedBy>
  <cp:lastPrinted>2025-04-01T03:22:00Z</cp:lastPrinted>
  <dcterms:modified xsi:type="dcterms:W3CDTF">2026-04-28T07:56:05Z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eyJoZGlkIjoiZTI5NmJkNWNkMDQyYWJmNjZkZWMwMzBmZjg0NDQ1ZTgiLCJ1c2VySWQiOiI3NDUzODE4MTQifQ==</vt:lpwstr>
  </property>
  <property fmtid="{D5CDD505-2E9C-101B-9397-08002B2CF9AE}" pid="4" name="ICV">
    <vt:lpwstr>4340478DEA894CE2849D2DAD55884A34_12</vt:lpwstr>
  </property>
</Properties>
</file>