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E4838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0"/>
          <w:sz w:val="44"/>
          <w:szCs w:val="44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0"/>
          <w:sz w:val="44"/>
          <w:szCs w:val="44"/>
          <w:lang w:val="en-US" w:eastAsia="zh-CN"/>
        </w:rPr>
        <w:t>富民县图书馆《</w:t>
      </w:r>
      <w:r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0"/>
          <w:sz w:val="44"/>
          <w:szCs w:val="44"/>
        </w:rPr>
        <w:t>2025年度美术馆、公共图书馆、文化馆(站)免费开放市级补助资金</w:t>
      </w:r>
      <w:r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0"/>
          <w:sz w:val="44"/>
          <w:szCs w:val="44"/>
          <w:lang w:val="en-US" w:eastAsia="zh-CN"/>
        </w:rPr>
        <w:t>》</w:t>
      </w:r>
      <w:r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0"/>
          <w:sz w:val="44"/>
          <w:szCs w:val="44"/>
        </w:rPr>
        <w:t>项目资金支出绩效评价报告</w:t>
      </w:r>
    </w:p>
    <w:p w14:paraId="3AF994FB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ascii="黑体" w:hAnsi="黑体" w:eastAsia="黑体" w:cs="黑体"/>
          <w:snapToGrid w:val="0"/>
          <w:spacing w:val="0"/>
          <w:kern w:val="0"/>
          <w:sz w:val="32"/>
          <w:szCs w:val="32"/>
        </w:rPr>
      </w:pPr>
    </w:p>
    <w:p w14:paraId="0603652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ascii="黑体" w:hAnsi="黑体" w:eastAsia="黑体" w:cs="黑体"/>
          <w:snapToGrid w:val="0"/>
          <w:spacing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spacing w:val="0"/>
          <w:kern w:val="0"/>
          <w:sz w:val="32"/>
          <w:szCs w:val="32"/>
        </w:rPr>
        <w:t>一、基本情况</w:t>
      </w:r>
    </w:p>
    <w:p w14:paraId="37ADEE8D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ascii="仿宋" w:hAnsi="仿宋" w:eastAsia="仿宋"/>
          <w:snapToGrid w:val="0"/>
          <w:spacing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  <w:t>（一）项目概况</w:t>
      </w:r>
    </w:p>
    <w:p w14:paraId="2C8D0AF3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/>
          <w:b/>
          <w:bCs/>
          <w:snapToGrid w:val="0"/>
          <w:spacing w:val="0"/>
          <w:kern w:val="0"/>
          <w:sz w:val="32"/>
          <w:szCs w:val="32"/>
        </w:rPr>
        <w:t>项目背景</w:t>
      </w:r>
      <w:r>
        <w:rPr>
          <w:rFonts w:hint="eastAsia" w:ascii="Times New Roman" w:hAnsi="Times New Roman" w:eastAsia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为深入贯彻《中华人民共和国公共图书馆法》《云南省公共图书馆美术馆文化馆（站）免费开放补助资金管理办法》等文件精神，落实国家、省、市关于公共文化设施免费开放的工作部署，保障人民群众基本文化权益，提升公共文化服务均等化、标准化水平，加快“书香富民”建设，富民县图书馆实施2025年“三馆一站”免费开放省级配套资金项目，确保图书馆公共空间设施场地与基本服务项目全程免费开放。</w:t>
      </w:r>
    </w:p>
    <w:p w14:paraId="6287F435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Times New Roman" w:hAnsi="Times New Roman" w:eastAsia="仿宋_GB2312"/>
          <w:snapToGrid w:val="0"/>
          <w:spacing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/>
          <w:b/>
          <w:bCs/>
          <w:snapToGrid w:val="0"/>
          <w:spacing w:val="0"/>
          <w:kern w:val="0"/>
          <w:sz w:val="32"/>
          <w:szCs w:val="32"/>
        </w:rPr>
        <w:t>主要内容及实施情况</w:t>
      </w:r>
      <w:r>
        <w:rPr>
          <w:rFonts w:hint="eastAsia" w:ascii="Times New Roman" w:hAnsi="Times New Roman" w:eastAsia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snapToGrid w:val="0"/>
          <w:spacing w:val="0"/>
          <w:kern w:val="0"/>
          <w:sz w:val="32"/>
          <w:szCs w:val="32"/>
          <w:lang w:eastAsia="zh-CN"/>
        </w:rPr>
        <w:t>项目核心围绕图书馆免费开放基本职能展开，全年稳定推进以下工作：</w:t>
      </w:r>
      <w:r>
        <w:rPr>
          <w:rFonts w:hint="eastAsia" w:ascii="Times New Roman" w:hAnsi="Times New Roman" w:eastAsia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一是</w:t>
      </w:r>
      <w:r>
        <w:rPr>
          <w:rFonts w:hint="eastAsia" w:ascii="Times New Roman" w:hAnsi="Times New Roman" w:eastAsia="仿宋_GB2312"/>
          <w:snapToGrid w:val="0"/>
          <w:spacing w:val="0"/>
          <w:kern w:val="0"/>
          <w:sz w:val="32"/>
          <w:szCs w:val="32"/>
          <w:lang w:eastAsia="zh-CN"/>
        </w:rPr>
        <w:t>设施免费开放。图书借阅区、报刊阅览区、少儿阅览区、电子阅览室、地方文献室等全区域免费开放，全年无闭馆日，严格执行每周开放时长不低于</w:t>
      </w:r>
      <w:r>
        <w:rPr>
          <w:rFonts w:hint="eastAsia" w:ascii="Times New Roman" w:hAnsi="Times New Roman" w:eastAsia="仿宋_GB2312"/>
          <w:snapToGrid w:val="0"/>
          <w:spacing w:val="0"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/>
          <w:snapToGrid w:val="0"/>
          <w:spacing w:val="0"/>
          <w:kern w:val="0"/>
          <w:sz w:val="32"/>
          <w:szCs w:val="32"/>
          <w:lang w:eastAsia="zh-CN"/>
        </w:rPr>
        <w:t>6小时、节假日正常开放的服务标准。</w:t>
      </w:r>
      <w:r>
        <w:rPr>
          <w:rFonts w:hint="eastAsia" w:ascii="Times New Roman" w:hAnsi="Times New Roman" w:eastAsia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二是</w:t>
      </w:r>
      <w:r>
        <w:rPr>
          <w:rFonts w:hint="eastAsia" w:ascii="Times New Roman" w:hAnsi="Times New Roman" w:eastAsia="仿宋_GB2312"/>
          <w:snapToGrid w:val="0"/>
          <w:spacing w:val="0"/>
          <w:kern w:val="0"/>
          <w:sz w:val="32"/>
          <w:szCs w:val="32"/>
          <w:lang w:eastAsia="zh-CN"/>
        </w:rPr>
        <w:t>基本服务免费。</w:t>
      </w:r>
      <w:r>
        <w:rPr>
          <w:rFonts w:hint="eastAsia" w:ascii="Times New Roman" w:hAnsi="Times New Roman" w:eastAsia="仿宋_GB2312"/>
          <w:snapToGrid w:val="0"/>
          <w:spacing w:val="0"/>
          <w:kern w:val="0"/>
          <w:sz w:val="32"/>
          <w:szCs w:val="32"/>
          <w:lang w:val="en-US" w:eastAsia="zh-CN"/>
        </w:rPr>
        <w:t>免费</w:t>
      </w:r>
      <w:r>
        <w:rPr>
          <w:rFonts w:hint="eastAsia" w:ascii="Times New Roman" w:hAnsi="Times New Roman" w:eastAsia="仿宋_GB2312"/>
          <w:snapToGrid w:val="0"/>
          <w:spacing w:val="0"/>
          <w:kern w:val="0"/>
          <w:sz w:val="32"/>
          <w:szCs w:val="32"/>
          <w:lang w:eastAsia="zh-CN"/>
        </w:rPr>
        <w:t>提供图书借阅、报刊阅览、文献查询、公益讲座、展览展示、读者咨询、数字资源访问等基础服务。</w:t>
      </w:r>
      <w:r>
        <w:rPr>
          <w:rFonts w:hint="eastAsia" w:ascii="Times New Roman" w:hAnsi="Times New Roman" w:eastAsia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三是</w:t>
      </w:r>
      <w:r>
        <w:rPr>
          <w:rFonts w:hint="eastAsia" w:ascii="Times New Roman" w:hAnsi="Times New Roman" w:eastAsia="仿宋_GB2312"/>
          <w:snapToGrid w:val="0"/>
          <w:spacing w:val="0"/>
          <w:kern w:val="0"/>
          <w:sz w:val="32"/>
          <w:szCs w:val="32"/>
          <w:lang w:eastAsia="zh-CN"/>
        </w:rPr>
        <w:t>服务提质增效。开展全民阅读推广、送书下乡、流动图书服务、读者培训、文化志愿服务等延伸服务；优化馆藏资源，更新图书文献，完善图书加工与馆藏维护；提升馆内设施设备运维水平，保障服务环境安全舒适。</w:t>
      </w:r>
      <w:r>
        <w:rPr>
          <w:rFonts w:hint="eastAsia" w:ascii="Times New Roman" w:hAnsi="Times New Roman" w:eastAsia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四是</w:t>
      </w:r>
      <w:r>
        <w:rPr>
          <w:rFonts w:hint="eastAsia" w:ascii="Times New Roman" w:hAnsi="Times New Roman" w:eastAsia="仿宋_GB2312"/>
          <w:snapToGrid w:val="0"/>
          <w:spacing w:val="0"/>
          <w:kern w:val="0"/>
          <w:sz w:val="32"/>
          <w:szCs w:val="32"/>
          <w:lang w:eastAsia="zh-CN"/>
        </w:rPr>
        <w:t>规范管理运行。严格落实免费开放公示制度，公开服务项目、开放时间、规章制度；完善读者服务流程，提升服务效率与质量。</w:t>
      </w:r>
    </w:p>
    <w:p w14:paraId="2010D05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楷体_GB2312" w:hAnsi="楷体_GB2312" w:eastAsia="仿宋_GB2312" w:cs="楷体_GB2312"/>
          <w:snapToGrid w:val="0"/>
          <w:spacing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资金投入和使用情况。</w:t>
      </w:r>
      <w:r>
        <w:rPr>
          <w:rFonts w:hint="eastAsia" w:ascii="Times New Roman" w:hAnsi="Times New Roman" w:eastAsia="仿宋_GB2312"/>
          <w:b w:val="0"/>
          <w:bCs w:val="0"/>
          <w:snapToGrid w:val="0"/>
          <w:spacing w:val="0"/>
          <w:kern w:val="0"/>
          <w:sz w:val="32"/>
          <w:szCs w:val="32"/>
          <w:lang w:eastAsia="zh-CN"/>
        </w:rPr>
        <w:t>2025年</w:t>
      </w:r>
      <w:r>
        <w:rPr>
          <w:rFonts w:hint="eastAsia" w:ascii="Times New Roman" w:hAnsi="Times New Roman" w:eastAsia="仿宋_GB2312"/>
          <w:b w:val="0"/>
          <w:bCs w:val="0"/>
          <w:snapToGrid w:val="0"/>
          <w:spacing w:val="0"/>
          <w:kern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b w:val="0"/>
          <w:bCs w:val="0"/>
          <w:snapToGrid w:val="0"/>
          <w:spacing w:val="0"/>
          <w:kern w:val="0"/>
          <w:sz w:val="32"/>
          <w:szCs w:val="32"/>
          <w:lang w:eastAsia="zh-CN"/>
        </w:rPr>
        <w:t>月6日我单位共收到富民县文化和旅游局下拨2025年度美术馆、公共图书馆、文化馆(站)免费开放市级补助资金</w:t>
      </w:r>
      <w:r>
        <w:rPr>
          <w:rFonts w:hint="eastAsia" w:ascii="Times New Roman" w:hAnsi="Times New Roman" w:eastAsia="仿宋_GB2312"/>
          <w:b w:val="0"/>
          <w:bCs w:val="0"/>
          <w:snapToGrid w:val="0"/>
          <w:spacing w:val="0"/>
          <w:kern w:val="0"/>
          <w:sz w:val="32"/>
          <w:szCs w:val="32"/>
          <w:lang w:val="en-US" w:eastAsia="zh-CN"/>
        </w:rPr>
        <w:t>1.92</w:t>
      </w:r>
      <w:r>
        <w:rPr>
          <w:rFonts w:hint="eastAsia" w:ascii="Times New Roman" w:hAnsi="Times New Roman" w:eastAsia="仿宋_GB2312"/>
          <w:b w:val="0"/>
          <w:bCs w:val="0"/>
          <w:snapToGrid w:val="0"/>
          <w:spacing w:val="0"/>
          <w:kern w:val="0"/>
          <w:sz w:val="32"/>
          <w:szCs w:val="32"/>
          <w:lang w:eastAsia="zh-CN"/>
        </w:rPr>
        <w:t>万元。</w:t>
      </w:r>
      <w:r>
        <w:rPr>
          <w:rFonts w:hint="eastAsia" w:ascii="Times New Roman" w:hAnsi="Times New Roman" w:eastAsia="仿宋_GB2312"/>
          <w:b w:val="0"/>
          <w:bCs w:val="0"/>
          <w:snapToGrid w:val="0"/>
          <w:spacing w:val="0"/>
          <w:kern w:val="0"/>
          <w:sz w:val="32"/>
          <w:szCs w:val="32"/>
          <w:lang w:val="en-US" w:eastAsia="zh-CN"/>
        </w:rPr>
        <w:t>该笔</w:t>
      </w:r>
      <w:r>
        <w:rPr>
          <w:rFonts w:hint="eastAsia" w:ascii="Times New Roman" w:hAnsi="Times New Roman" w:eastAsia="仿宋_GB2312"/>
          <w:b w:val="0"/>
          <w:bCs w:val="0"/>
          <w:snapToGrid w:val="0"/>
          <w:spacing w:val="0"/>
          <w:kern w:val="0"/>
          <w:sz w:val="32"/>
          <w:szCs w:val="32"/>
          <w:lang w:eastAsia="zh-CN"/>
        </w:rPr>
        <w:t>资金</w:t>
      </w:r>
      <w:r>
        <w:rPr>
          <w:rFonts w:hint="eastAsia" w:ascii="Times New Roman" w:hAnsi="Times New Roman" w:eastAsia="仿宋_GB2312"/>
          <w:b w:val="0"/>
          <w:bCs w:val="0"/>
          <w:snapToGrid w:val="0"/>
          <w:spacing w:val="0"/>
          <w:kern w:val="0"/>
          <w:sz w:val="32"/>
          <w:szCs w:val="32"/>
          <w:lang w:val="en-US" w:eastAsia="zh-CN"/>
        </w:rPr>
        <w:t>中1.36万元</w:t>
      </w:r>
      <w:r>
        <w:rPr>
          <w:rFonts w:hint="eastAsia" w:ascii="Times New Roman" w:hAnsi="Times New Roman" w:eastAsia="仿宋_GB2312"/>
          <w:b w:val="0"/>
          <w:bCs w:val="0"/>
          <w:snapToGrid w:val="0"/>
          <w:spacing w:val="0"/>
          <w:kern w:val="0"/>
          <w:sz w:val="32"/>
          <w:szCs w:val="32"/>
          <w:lang w:eastAsia="zh-CN"/>
        </w:rPr>
        <w:t>用</w:t>
      </w:r>
      <w:r>
        <w:rPr>
          <w:rFonts w:hint="eastAsia" w:ascii="Times New Roman" w:hAnsi="Times New Roman" w:eastAsia="仿宋_GB2312"/>
          <w:b w:val="0"/>
          <w:bCs w:val="0"/>
          <w:snapToGrid w:val="0"/>
          <w:spacing w:val="0"/>
          <w:kern w:val="0"/>
          <w:sz w:val="32"/>
          <w:szCs w:val="32"/>
          <w:lang w:val="en-US" w:eastAsia="zh-CN"/>
        </w:rPr>
        <w:t>于</w:t>
      </w:r>
      <w:r>
        <w:rPr>
          <w:rFonts w:hint="eastAsia" w:ascii="Times New Roman" w:hAnsi="Times New Roman" w:eastAsia="仿宋_GB2312"/>
          <w:b w:val="0"/>
          <w:bCs w:val="0"/>
          <w:snapToGrid w:val="0"/>
          <w:spacing w:val="0"/>
          <w:kern w:val="0"/>
          <w:sz w:val="32"/>
          <w:szCs w:val="32"/>
          <w:lang w:eastAsia="zh-CN"/>
        </w:rPr>
        <w:t>富民县图书馆</w:t>
      </w:r>
      <w:r>
        <w:rPr>
          <w:rFonts w:hint="eastAsia" w:ascii="Times New Roman" w:hAnsi="Times New Roman" w:eastAsia="仿宋_GB2312"/>
          <w:b w:val="0"/>
          <w:bCs w:val="0"/>
          <w:snapToGrid w:val="0"/>
          <w:spacing w:val="0"/>
          <w:kern w:val="0"/>
          <w:sz w:val="32"/>
          <w:szCs w:val="32"/>
          <w:lang w:val="en-US" w:eastAsia="zh-CN"/>
        </w:rPr>
        <w:t>线路维修改造，</w:t>
      </w:r>
      <w:r>
        <w:rPr>
          <w:rFonts w:hint="eastAsia" w:ascii="Times New Roman" w:hAnsi="Times New Roman" w:eastAsia="仿宋_GB2312"/>
          <w:b w:val="0"/>
          <w:bCs w:val="0"/>
          <w:snapToGrid w:val="0"/>
          <w:spacing w:val="0"/>
          <w:kern w:val="0"/>
          <w:sz w:val="32"/>
          <w:szCs w:val="32"/>
          <w:lang w:eastAsia="zh-CN"/>
        </w:rPr>
        <w:t>截止到2025年12月31日2025年度美术馆、公共图书馆、文化馆(站)免费开放市级补助资金</w:t>
      </w:r>
      <w:r>
        <w:rPr>
          <w:rFonts w:hint="eastAsia" w:ascii="Times New Roman" w:hAnsi="Times New Roman" w:eastAsia="仿宋_GB2312"/>
          <w:b w:val="0"/>
          <w:bCs w:val="0"/>
          <w:snapToGrid w:val="0"/>
          <w:spacing w:val="0"/>
          <w:kern w:val="0"/>
          <w:sz w:val="32"/>
          <w:szCs w:val="32"/>
          <w:lang w:val="en-US" w:eastAsia="zh-CN"/>
        </w:rPr>
        <w:t>结余0.56万元</w:t>
      </w:r>
      <w:bookmarkStart w:id="1" w:name="_GoBack"/>
      <w:bookmarkEnd w:id="1"/>
      <w:r>
        <w:rPr>
          <w:rFonts w:hint="eastAsia" w:ascii="Times New Roman" w:hAnsi="Times New Roman" w:eastAsia="仿宋_GB2312"/>
          <w:b w:val="0"/>
          <w:bCs w:val="0"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snapToGrid w:val="0"/>
          <w:spacing w:val="0"/>
          <w:kern w:val="0"/>
          <w:sz w:val="32"/>
          <w:szCs w:val="32"/>
          <w:lang w:eastAsia="zh-CN"/>
        </w:rPr>
        <w:t>资金专项用于图书馆免费开放相关支出，专款专用。</w:t>
      </w:r>
    </w:p>
    <w:p w14:paraId="71FEA07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  <w:t>（二）项目绩效目标</w:t>
      </w:r>
    </w:p>
    <w:p w14:paraId="7435985C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Times New Roman" w:hAnsi="Times New Roman" w:eastAsia="仿宋_GB2312"/>
          <w:snapToGrid w:val="0"/>
          <w:spacing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/>
          <w:b/>
          <w:bCs/>
          <w:snapToGrid w:val="0"/>
          <w:spacing w:val="0"/>
          <w:kern w:val="0"/>
          <w:sz w:val="32"/>
          <w:szCs w:val="32"/>
        </w:rPr>
        <w:t>总体目标</w:t>
      </w:r>
      <w:r>
        <w:rPr>
          <w:rFonts w:hint="eastAsia" w:ascii="Times New Roman" w:hAnsi="Times New Roman" w:eastAsia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snapToGrid w:val="0"/>
          <w:spacing w:val="0"/>
          <w:kern w:val="0"/>
          <w:sz w:val="32"/>
          <w:szCs w:val="32"/>
          <w:lang w:eastAsia="zh-CN"/>
        </w:rPr>
        <w:t>保障富民县图书馆全年免费开放稳定运行，完善公共文化服务设施，丰富馆藏资源，提升服务质量与效率，满足群众基本文化需求，提高群众文化素养，推动全民阅读深入开展，助力全县公共文化服务体系高质量建设。</w:t>
      </w:r>
    </w:p>
    <w:p w14:paraId="2B17F81A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Times New Roman" w:hAnsi="Times New Roman" w:eastAsia="仿宋_GB2312"/>
          <w:snapToGrid w:val="0"/>
          <w:spacing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/>
          <w:b/>
          <w:bCs/>
          <w:snapToGrid w:val="0"/>
          <w:spacing w:val="0"/>
          <w:kern w:val="0"/>
          <w:sz w:val="32"/>
          <w:szCs w:val="32"/>
        </w:rPr>
        <w:t>阶段性目标</w:t>
      </w:r>
      <w:r>
        <w:rPr>
          <w:rFonts w:hint="eastAsia" w:ascii="Times New Roman" w:hAnsi="Times New Roman" w:eastAsia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。一是</w:t>
      </w:r>
      <w:r>
        <w:rPr>
          <w:rFonts w:hint="eastAsia" w:ascii="Times New Roman" w:hAnsi="Times New Roman" w:eastAsia="仿宋_GB2312"/>
          <w:snapToGrid w:val="0"/>
          <w:spacing w:val="0"/>
          <w:kern w:val="0"/>
          <w:sz w:val="32"/>
          <w:szCs w:val="32"/>
          <w:lang w:eastAsia="zh-CN"/>
        </w:rPr>
        <w:t>服务保障。图书馆全年免费开放天数≥365天，每周开放时长≥</w:t>
      </w:r>
      <w:r>
        <w:rPr>
          <w:rFonts w:hint="eastAsia" w:ascii="Times New Roman" w:hAnsi="Times New Roman" w:eastAsia="仿宋_GB2312"/>
          <w:snapToGrid w:val="0"/>
          <w:spacing w:val="0"/>
          <w:kern w:val="0"/>
          <w:sz w:val="32"/>
          <w:szCs w:val="32"/>
          <w:lang w:val="en-US" w:eastAsia="zh-CN"/>
        </w:rPr>
        <w:t>66</w:t>
      </w:r>
      <w:r>
        <w:rPr>
          <w:rFonts w:hint="eastAsia" w:ascii="Times New Roman" w:hAnsi="Times New Roman" w:eastAsia="仿宋_GB2312"/>
          <w:snapToGrid w:val="0"/>
          <w:spacing w:val="0"/>
          <w:kern w:val="0"/>
          <w:sz w:val="32"/>
          <w:szCs w:val="32"/>
          <w:lang w:eastAsia="zh-CN"/>
        </w:rPr>
        <w:t>小时，基本服务项目免费率100%。</w:t>
      </w:r>
      <w:r>
        <w:rPr>
          <w:rFonts w:hint="eastAsia" w:ascii="Times New Roman" w:hAnsi="Times New Roman" w:eastAsia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二是</w:t>
      </w:r>
      <w:r>
        <w:rPr>
          <w:rFonts w:hint="eastAsia" w:ascii="Times New Roman" w:hAnsi="Times New Roman" w:eastAsia="仿宋_GB2312"/>
          <w:snapToGrid w:val="0"/>
          <w:spacing w:val="0"/>
          <w:kern w:val="0"/>
          <w:sz w:val="32"/>
          <w:szCs w:val="32"/>
          <w:lang w:eastAsia="zh-CN"/>
        </w:rPr>
        <w:t>服务效能。年接待读者≥</w:t>
      </w:r>
      <w:r>
        <w:rPr>
          <w:rFonts w:hint="eastAsia" w:ascii="Times New Roman" w:hAnsi="Times New Roman" w:eastAsia="仿宋_GB2312"/>
          <w:snapToGrid w:val="0"/>
          <w:spacing w:val="0"/>
          <w:kern w:val="0"/>
          <w:sz w:val="32"/>
          <w:szCs w:val="32"/>
          <w:lang w:val="en-US" w:eastAsia="zh-CN"/>
        </w:rPr>
        <w:t>1万余</w:t>
      </w:r>
      <w:r>
        <w:rPr>
          <w:rFonts w:hint="eastAsia" w:ascii="Times New Roman" w:hAnsi="Times New Roman" w:eastAsia="仿宋_GB2312"/>
          <w:snapToGrid w:val="0"/>
          <w:spacing w:val="0"/>
          <w:kern w:val="0"/>
          <w:sz w:val="32"/>
          <w:szCs w:val="32"/>
          <w:lang w:eastAsia="zh-CN"/>
        </w:rPr>
        <w:t>人次，图书外借≥</w:t>
      </w:r>
      <w:r>
        <w:rPr>
          <w:rFonts w:hint="eastAsia" w:ascii="Times New Roman" w:hAnsi="Times New Roman" w:eastAsia="仿宋_GB2312"/>
          <w:snapToGrid w:val="0"/>
          <w:spacing w:val="0"/>
          <w:kern w:val="0"/>
          <w:sz w:val="32"/>
          <w:szCs w:val="32"/>
          <w:lang w:val="en-US" w:eastAsia="zh-CN"/>
        </w:rPr>
        <w:t>5000</w:t>
      </w:r>
      <w:r>
        <w:rPr>
          <w:rFonts w:hint="eastAsia" w:ascii="Times New Roman" w:hAnsi="Times New Roman" w:eastAsia="仿宋_GB2312"/>
          <w:snapToGrid w:val="0"/>
          <w:spacing w:val="0"/>
          <w:kern w:val="0"/>
          <w:sz w:val="32"/>
          <w:szCs w:val="32"/>
          <w:lang w:eastAsia="zh-CN"/>
        </w:rPr>
        <w:t>册次，开展阅读推广等公益活动≥</w:t>
      </w:r>
      <w:r>
        <w:rPr>
          <w:rFonts w:hint="eastAsia" w:ascii="Times New Roman" w:hAnsi="Times New Roman" w:eastAsia="仿宋_GB2312"/>
          <w:snapToGrid w:val="0"/>
          <w:spacing w:val="0"/>
          <w:kern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snapToGrid w:val="0"/>
          <w:spacing w:val="0"/>
          <w:kern w:val="0"/>
          <w:sz w:val="32"/>
          <w:szCs w:val="32"/>
          <w:lang w:eastAsia="zh-CN"/>
        </w:rPr>
        <w:t>场，服务群众≥</w:t>
      </w:r>
      <w:r>
        <w:rPr>
          <w:rFonts w:hint="eastAsia" w:ascii="Times New Roman" w:hAnsi="Times New Roman" w:eastAsia="仿宋_GB2312"/>
          <w:snapToGrid w:val="0"/>
          <w:spacing w:val="0"/>
          <w:kern w:val="0"/>
          <w:sz w:val="32"/>
          <w:szCs w:val="32"/>
          <w:lang w:val="en-US" w:eastAsia="zh-CN"/>
        </w:rPr>
        <w:t>1000</w:t>
      </w:r>
      <w:r>
        <w:rPr>
          <w:rFonts w:hint="eastAsia" w:ascii="Times New Roman" w:hAnsi="Times New Roman" w:eastAsia="仿宋_GB2312"/>
          <w:snapToGrid w:val="0"/>
          <w:spacing w:val="0"/>
          <w:kern w:val="0"/>
          <w:sz w:val="32"/>
          <w:szCs w:val="32"/>
          <w:lang w:eastAsia="zh-CN"/>
        </w:rPr>
        <w:t>人次。</w:t>
      </w:r>
      <w:r>
        <w:rPr>
          <w:rFonts w:hint="eastAsia" w:ascii="Times New Roman" w:hAnsi="Times New Roman" w:eastAsia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三是</w:t>
      </w:r>
      <w:r>
        <w:rPr>
          <w:rFonts w:hint="eastAsia" w:ascii="Times New Roman" w:hAnsi="Times New Roman" w:eastAsia="仿宋_GB2312"/>
          <w:snapToGrid w:val="0"/>
          <w:spacing w:val="0"/>
          <w:kern w:val="0"/>
          <w:sz w:val="32"/>
          <w:szCs w:val="32"/>
          <w:lang w:eastAsia="zh-CN"/>
        </w:rPr>
        <w:t>服务满意度。读者服务满意度≥90%，无重大服务投诉事件。</w:t>
      </w:r>
      <w:r>
        <w:rPr>
          <w:rFonts w:hint="eastAsia" w:ascii="Times New Roman" w:hAnsi="Times New Roman" w:eastAsia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四是</w:t>
      </w:r>
      <w:r>
        <w:rPr>
          <w:rFonts w:hint="eastAsia" w:ascii="Times New Roman" w:hAnsi="Times New Roman" w:eastAsia="仿宋_GB2312"/>
          <w:snapToGrid w:val="0"/>
          <w:spacing w:val="0"/>
          <w:kern w:val="0"/>
          <w:sz w:val="32"/>
          <w:szCs w:val="32"/>
          <w:lang w:eastAsia="zh-CN"/>
        </w:rPr>
        <w:t>规范管理。资金使用合规率100%，项目管理制度健全，执行到位，档案资料完整规范。</w:t>
      </w:r>
    </w:p>
    <w:p w14:paraId="413E2745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  <w:t>（三）项目组织管理情况</w:t>
      </w:r>
    </w:p>
    <w:p w14:paraId="3950113D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相关方职责分工。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spacing w:val="0"/>
          <w:kern w:val="0"/>
          <w:sz w:val="32"/>
          <w:szCs w:val="32"/>
          <w:lang w:val="en-US" w:eastAsia="zh-CN"/>
        </w:rPr>
        <w:t>主管部门富民县文化和旅游局负责项目资金下达、政策指导、监督检查，统筹协调免费开放工作推进。实施单位富民县图书馆为项目责任主体，馆长为第一责任人，负责项目具体实施、资金使用、服务开展、绩效自评、资料归档等全流程工作。内部科室办公室负责资金管理、财务核算、制度建设、后勤保障；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业务部门负责资源建设、读者服务、活动策划、业务培训；各阅览区负责日常开放、读者接待、设施维护。</w:t>
      </w:r>
    </w:p>
    <w:p w14:paraId="5C20AC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2.管理流程。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spacing w:val="0"/>
          <w:kern w:val="0"/>
          <w:sz w:val="32"/>
          <w:szCs w:val="32"/>
          <w:lang w:val="en-US" w:eastAsia="zh-CN"/>
        </w:rPr>
        <w:t>前期制定年度免费开放实施方案与绩效目标，明确工作任务、资金预算、责任分工，报主管部门审核备案。中期按计划推进免费开放服务与活动开展，规范资金支出审批流程，建立资金使用台账，定期开展自查自纠，及时整改问题。后期收集整理项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目资料，开展绩效自评，总结经验做法，分析存在问题，形成绩效评价报告并上报。</w:t>
      </w:r>
    </w:p>
    <w:p w14:paraId="00BDBF35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3.组织实施。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成立以馆长为组长，馆员为成员的免费开放工作领导小组，统筹项目实施；定期召开工作会议，部署工作任务、解决实施难题；加强业务培训，提升服务能力；严格落实考勤、服务规范、安全管理等制度，保障免费开放有序运行。</w:t>
      </w:r>
    </w:p>
    <w:p w14:paraId="747D665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4.制度建设情况。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完善《富民县图书馆免费开放管理制度》《专项资金管理办法》《财务报销审批制度》《读者服务规范》《设施设备维护制度》《安全应急预案》等内部管理制度，形成“用制度管人、按制度办事”的管理机制，确保项目实施规范、资金使用安全。</w:t>
      </w:r>
    </w:p>
    <w:p w14:paraId="65DFF7A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ascii="黑体" w:hAnsi="黑体" w:eastAsia="黑体" w:cs="黑体"/>
          <w:snapToGrid w:val="0"/>
          <w:spacing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spacing w:val="0"/>
          <w:kern w:val="0"/>
          <w:sz w:val="32"/>
          <w:szCs w:val="32"/>
        </w:rPr>
        <w:t>二、绩效评价工作开展情况</w:t>
      </w:r>
    </w:p>
    <w:p w14:paraId="1E49B4B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  <w:t>（一）绩效评价目的、对象和范围</w:t>
      </w:r>
    </w:p>
    <w:p w14:paraId="55F3130D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1.绩效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评价目的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全面了解2025年免费开放省级配套资金项目实施、资金使用、目标完成情况；总结经验做法，查找问题不足；客观评价项目绩效，为优化资金管理、提升服务效能、完善政策决策提供依据，提高财政资金使用效益。</w:t>
      </w:r>
    </w:p>
    <w:p w14:paraId="0E056ECA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2.绩效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评价对象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富民县图书馆2025年“三馆一站”免费开放省级配套资金项目。</w:t>
      </w:r>
    </w:p>
    <w:p w14:paraId="6F94E13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3.绩效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评价范围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涵盖项目决策、资金管理、实施过程、服务产出、项目效益等全流程，涉及资金使用、开放时长、资源建设、服务活动、群众满意度、制度执行等全部内容。</w:t>
      </w:r>
    </w:p>
    <w:p w14:paraId="3E2CC081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  <w:t>（二）绩效评价原则、依据、评价指标体系（附表说明）、评价方法、评价标准、评价抽样等</w:t>
      </w:r>
    </w:p>
    <w:p w14:paraId="48B440AE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绩效评价原则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坚持科学规范、客观公正、实事求是、绩效导向、公开透明原则，确保评价结果真实、准确、可靠。</w:t>
      </w:r>
    </w:p>
    <w:p w14:paraId="7E2A5967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绩效评价依据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《中华人民共和国公共图书馆法》；《云南省公共图书馆美术馆文化馆（站）免费开放补助资金管理办法》；《中共中央国务院关于全面实施预算绩效管理的意见》；富民县财政局、文旅局关于免费开放资金管理、绩效评价的相关文件要求；项目实施方案、绩效目标申报表、财务凭证、服务台账、活动记录、读者反馈等资料。</w:t>
      </w:r>
    </w:p>
    <w:p w14:paraId="313EB033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3.绩效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评价指标体系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参照项目支出绩效评价指标体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</w:rPr>
        <w:t>系框架，结合图书馆免费开放实际，构建“产出—效益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满意度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</w:rPr>
        <w:t>个一级指标、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</w:rPr>
        <w:t>个二级指标、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</w:rPr>
        <w:t>个三级指标的评价体系，总分100分。</w:t>
      </w:r>
    </w:p>
    <w:p w14:paraId="338A9F4B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4.绩效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评价方法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。一是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比较分析法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对比项目绩效目标与实际完成情况，分析目标实现程度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成本效益分析法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核算资金投入与产出效益，评价资金使用效率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公众评议法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发放读者满意度调查问卷，收集群众评价意见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四是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台账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研究法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查阅财务账目、服务记录、活动资料、制度文件等，核实项目实施情况。</w:t>
      </w:r>
    </w:p>
    <w:p w14:paraId="4CE573FB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5.绩效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评价标准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以项目既定绩效目标、行业服务标准、财政资金管理规定、上级工作要求为核心标准，结合县级图书馆平均水平，设定优秀、良好、合格、不合格4个等级标准。</w:t>
      </w:r>
    </w:p>
    <w:p w14:paraId="22E4EF41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6.绩效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评价抽样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。一是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资金抽样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全覆盖核查所有资金支出凭证，确保合规性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服务抽样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随机抽取2025年各月度开放记录、图书借阅记录、活动档案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三是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满意度抽样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发放读者问卷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份，回收有效问卷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份，有效回收率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%。</w:t>
      </w:r>
    </w:p>
    <w:p w14:paraId="7E525E35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  <w:t>（三）绩效评价工作流程</w:t>
      </w:r>
    </w:p>
    <w:p w14:paraId="7F42507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准备阶段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成立绩效评价工作小组，制定评价方案，明确评价指标、方法、流程；收集项目实施方案、资金文件、财务资料、服务数据、活动记录等基础材料。</w:t>
      </w:r>
    </w:p>
    <w:p w14:paraId="27DC3166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实施阶段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开展资料核查、现场勘查、数据统计、读者问卷调查；对照评价指标逐项评分，核实目标完成情况，分析问题原因。</w:t>
      </w:r>
    </w:p>
    <w:p w14:paraId="4337E38B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报告阶段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整理评价数据，撰写绩效评价报告，形成评价结论与整改建议；报告经内部审核、主管部门复核后定稿上报。</w:t>
      </w:r>
    </w:p>
    <w:p w14:paraId="19DE4AC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ascii="黑体" w:hAnsi="黑体" w:eastAsia="黑体" w:cs="黑体"/>
          <w:snapToGrid w:val="0"/>
          <w:spacing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spacing w:val="0"/>
          <w:kern w:val="0"/>
          <w:sz w:val="32"/>
          <w:szCs w:val="32"/>
        </w:rPr>
        <w:t>三、综合评价情况及评价结论（附相关评分表）</w:t>
      </w:r>
    </w:p>
    <w:p w14:paraId="6BF20AC3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" w:hAnsi="仿宋" w:eastAsia="仿宋"/>
          <w:snapToGrid w:val="0"/>
          <w:spacing w:val="0"/>
          <w:kern w:val="0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  <w:t>一）绩效评价综合结论</w:t>
      </w:r>
    </w:p>
    <w:p w14:paraId="43805AC3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经综合评价，富民县图书馆2025年免费开放省级配套资金项目绩效评价得分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90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分，评价等级为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</w:rPr>
        <w:t>优秀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。项目严格执行政策要求，资金使用规范合规，免费开放服务稳定运行，服务产出超额完成预期，社会效益显著，有效保障了群众基本文化权益，但在资源更新速度、活动创新力度等方面仍需提升。</w:t>
      </w:r>
    </w:p>
    <w:p w14:paraId="1C75E49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  <w:t>（二）绩效目标实现情况等</w:t>
      </w:r>
    </w:p>
    <w:p w14:paraId="66EA875A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服务保障目标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全年免费开放365天，每周开放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66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小时，基本服务免费率100%，全面完成开放时长与服务免费目标。</w:t>
      </w:r>
    </w:p>
    <w:p w14:paraId="57E5DF5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服务效能目标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年接待读者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3.2万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人次，完成目标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%；开展阅读推广、讲座、送书下乡等活动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32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场，服务群众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2000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人次，完成目标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%。</w:t>
      </w:r>
    </w:p>
    <w:p w14:paraId="21BEB29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满意度目标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读者满意度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95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%，高于90%的预期目标；全年无重大服务投诉，目标完成。</w:t>
      </w:r>
    </w:p>
    <w:p w14:paraId="51C2E5E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规范管理目标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资金使用合规率100%，制度健全且执行到位，档案资料完整，目标全面完成。</w:t>
      </w:r>
    </w:p>
    <w:p w14:paraId="36BFD58C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ascii="黑体" w:hAnsi="黑体" w:eastAsia="黑体" w:cs="黑体"/>
          <w:snapToGrid w:val="0"/>
          <w:spacing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spacing w:val="0"/>
          <w:kern w:val="0"/>
          <w:sz w:val="32"/>
          <w:szCs w:val="32"/>
        </w:rPr>
        <w:t>四、绩效评价指标分析</w:t>
      </w:r>
    </w:p>
    <w:p w14:paraId="006F6733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  <w:t>（一）项目决策情况分析</w:t>
      </w:r>
    </w:p>
    <w:p w14:paraId="7BE824D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项目立项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项目依据国家、省、市免费开放政策立项，符合公共文化服务发展需求，立项依据充分、程序规范。</w:t>
      </w:r>
    </w:p>
    <w:p w14:paraId="6369AA86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绩效目标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绩效目标设定科学、明确、可量化，与项目职能、资金规模匹配，目标分解合理。</w:t>
      </w:r>
    </w:p>
    <w:p w14:paraId="2171CDA3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资金分配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省级配套资金及时足额到位，分配方案符合管理办法，与免费开放工作任务匹配。</w:t>
      </w:r>
    </w:p>
    <w:p w14:paraId="26E46455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  <w:t>（二）项目过程情况分析</w:t>
      </w:r>
    </w:p>
    <w:p w14:paraId="61D81EA5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资金管理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严格执行专款专用、国库集中支付制度，支出范围合规，审批流程规范，财务核算准确，台账完整，无挤占、挪用、截留情况。</w:t>
      </w:r>
    </w:p>
    <w:p w14:paraId="0F9A345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组织实施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组织机构健全，职责分工明确，管理制度完善，业务培训到位，服务流程规范，安全管理到位，项目推进有序。</w:t>
      </w:r>
    </w:p>
    <w:p w14:paraId="5BB381F2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监督管理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定期开展内部自查，主动接受主管部门、财政部门监督检查，发现问题及时整改，档案资料收集完整。</w:t>
      </w:r>
    </w:p>
    <w:p w14:paraId="693D0D8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  <w:t>（三）项目产出情况分析</w:t>
      </w:r>
    </w:p>
    <w:p w14:paraId="303AF98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开放服务产出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免费开放天数、时长达标，基本服务项目全覆盖，服务流程高效，设施环境整洁，产出数量、质量达标。</w:t>
      </w:r>
    </w:p>
    <w:p w14:paraId="46A095DC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资源建设产出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新增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报刊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、期刊、数字资源数量达标，图书加工规范，馆藏结构优化，满足读者需求。</w:t>
      </w:r>
    </w:p>
    <w:p w14:paraId="4C0DBDD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活动开展产出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阅读推广、公益讲座、送书下乡等活动场次、参与人数达标，活动形式多样，覆盖不同群体，。</w:t>
      </w:r>
    </w:p>
    <w:p w14:paraId="1CDC554B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服务效率产出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读者接待、图书借阅、问题处理效率提升，自助服务设备运行稳定，服务响应及时。</w:t>
      </w:r>
    </w:p>
    <w:p w14:paraId="59655356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  <w:t>（四）项目效益情况分析</w:t>
      </w:r>
    </w:p>
    <w:p w14:paraId="11ED6B1E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社会效益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保障群众基本文化权益，丰富群众精神文化生活，推动全民阅读，提升县域文化氛围，助力公共文化服务体系建设，社会效益显著。</w:t>
      </w:r>
    </w:p>
    <w:p w14:paraId="7D6D745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服务效益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读者满意度高，服务口碑良好，吸引更多群众走进图书馆，服务覆盖面持续扩大。</w:t>
      </w:r>
    </w:p>
    <w:p w14:paraId="0F1387E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可持续效益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免费开放机制稳定，管理制度成熟，服务能力提升，为后续免费开放工作奠定基础，可持续性强。</w:t>
      </w:r>
    </w:p>
    <w:p w14:paraId="0BBBC9C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ascii="仿宋" w:hAnsi="仿宋" w:eastAsia="仿宋"/>
          <w:snapToGrid w:val="0"/>
          <w:spacing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spacing w:val="0"/>
          <w:kern w:val="0"/>
          <w:sz w:val="32"/>
          <w:szCs w:val="32"/>
        </w:rPr>
        <w:t>五、主要经验及做法</w:t>
      </w:r>
    </w:p>
    <w:p w14:paraId="476F7535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  <w:t>强化组织保障，压实工作责任</w:t>
      </w:r>
    </w:p>
    <w:p w14:paraId="2CC324DE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成立专项工作小组，明确馆长负总责、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馆员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分工落实的责任体系，定期调度推进，确保免费开放工作有人抓、有人管、有人干，形成上下联动、高效推进的工作格局。</w:t>
      </w:r>
    </w:p>
    <w:p w14:paraId="4370BDA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  <w:t>规范资金管理，确保专款专用</w:t>
      </w:r>
    </w:p>
    <w:p w14:paraId="05CDA19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严格执行专项资金管理规定，建立“专人管理、专账核算、专款专用”机制，细化资金使用计划，规范支出审批流程，全程接受监督，确保资金用在“刀刃上”，保障免费开放核心需求。</w:t>
      </w:r>
    </w:p>
    <w:p w14:paraId="05345447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  <w:t>优化服务供给，提升服务品质</w:t>
      </w:r>
    </w:p>
    <w:p w14:paraId="05BAB83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坚持“读者至上、服务第一”理念，延长开放时间、拓展服务内容、优化服务环境，推出延时开放、送书下乡、少儿阅读专场等便民服务，满足不同群体阅读需求，提升群众获得感。</w:t>
      </w:r>
    </w:p>
    <w:p w14:paraId="1A170641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  <w:lang w:eastAsia="zh-CN"/>
        </w:rPr>
        <w:t>（四）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  <w:t>创新活动形式，深化阅读推广</w:t>
      </w:r>
    </w:p>
    <w:p w14:paraId="6D8F0C1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围绕世界读书日、国庆、春节等节点，开展主题讲座、图书漂流、亲子阅读、征文比赛等特色活动，结合线上线下融合模式，扩大活动影响力，激发全民阅读热情。</w:t>
      </w:r>
    </w:p>
    <w:p w14:paraId="518FB7AB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  <w:lang w:val="en-US" w:eastAsia="zh-CN"/>
        </w:rPr>
        <w:t>五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  <w:t>健全制度体系，强化内控管理</w:t>
      </w:r>
    </w:p>
    <w:p w14:paraId="6A59605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完善免费开放、资金使用、服务规范、安全管理等全流程制度，加强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业务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培训与日常考核，规范服务行为，及时排查整改问题，保障项目规范、高效、安全运行。</w:t>
      </w:r>
    </w:p>
    <w:p w14:paraId="3B120731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ascii="黑体" w:hAnsi="黑体" w:eastAsia="黑体" w:cs="黑体"/>
          <w:snapToGrid w:val="0"/>
          <w:spacing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spacing w:val="0"/>
          <w:kern w:val="0"/>
          <w:sz w:val="32"/>
          <w:szCs w:val="32"/>
        </w:rPr>
        <w:t>六、存在的问题及原因分析</w:t>
      </w:r>
    </w:p>
    <w:p w14:paraId="639810E6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  <w:t>馆藏资源更新不足，结构有待优化</w:t>
      </w:r>
    </w:p>
    <w:p w14:paraId="65C4EA2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问题：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新增图书数量有限，热门图书、新书复本量不足，少儿、科技、地方文献等特色资源占比偏低，难以完全满足读者多样化需求。</w:t>
      </w:r>
    </w:p>
    <w:p w14:paraId="58D2D31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原因：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省级配套资金规模较小，资金主要保障基本开放运行，可用于资源采购的资金有限；馆藏更新规划不够精细，资源采购针对性不足。</w:t>
      </w:r>
    </w:p>
    <w:p w14:paraId="5F743D5D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  <w:t>服务创新力度不够，数字化服务滞后</w:t>
      </w:r>
    </w:p>
    <w:p w14:paraId="7E9D2766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问题：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服务形式以传统借阅、线下活动为主，数字化服务、个性化服务、精准化服务不足；线上阅读推广、数字资源访问推广力度弱，年轻群体服务覆盖面较窄。</w:t>
      </w:r>
    </w:p>
    <w:p w14:paraId="311070D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原因：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数字化设备、数字资源采购资金短缺；数字化服务能力不足，创新服务意识有待提升。</w:t>
      </w:r>
    </w:p>
    <w:p w14:paraId="3E5CB3C3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  <w:lang w:eastAsia="zh-CN"/>
        </w:rPr>
        <w:t>（三）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  <w:t>基层服务覆盖不足，延伸服务薄弱</w:t>
      </w:r>
    </w:p>
    <w:p w14:paraId="25B5F4B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问题：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送书下乡、流动图书服务频次有限，覆盖乡村、社区、学校等基层点位较少，基层群众获取服务便利性不足。</w:t>
      </w:r>
    </w:p>
    <w:p w14:paraId="1FBF880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原因：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基层服务人力、物力、资金投入不足；流动服务设施、配送机制不够完善。</w:t>
      </w:r>
    </w:p>
    <w:p w14:paraId="4D3CF5B3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  <w:t>绩效评价应用不够充分</w:t>
      </w:r>
    </w:p>
    <w:p w14:paraId="5B71A331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问题：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绩效评价结果主要用于上报备案，与资金分配、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业务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考核、工作改进的衔接不够紧密，评价结果应用实效未充分发挥。</w:t>
      </w:r>
    </w:p>
    <w:p w14:paraId="6C4B0393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原因：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绩效结果应用机制不健全，对绩效评价的重视程度有待提高。</w:t>
      </w:r>
    </w:p>
    <w:p w14:paraId="06BEAAF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ascii="黑体" w:hAnsi="黑体" w:eastAsia="黑体" w:cs="黑体"/>
          <w:snapToGrid w:val="0"/>
          <w:spacing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spacing w:val="0"/>
          <w:kern w:val="0"/>
          <w:sz w:val="32"/>
          <w:szCs w:val="32"/>
        </w:rPr>
        <w:t>七、有关建议</w:t>
      </w:r>
    </w:p>
    <w:p w14:paraId="2BB75327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  <w:t>加大资金投入，优化资源配置</w:t>
      </w:r>
    </w:p>
    <w:p w14:paraId="4D70CBAE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积极向上级申请增加免费开放专项资金，统筹整合资金资源，重点向馆藏资源更新、数字化建设、基层服务倾斜；科学制定馆藏采购计划，加大热门图书、少儿读物、地方文献、科技类图书采购力度，优化馆藏结构。</w:t>
      </w:r>
    </w:p>
    <w:p w14:paraId="55A0FF3E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  <w:t>推进数字化转型，创新服务模式</w:t>
      </w:r>
    </w:p>
    <w:p w14:paraId="2547C721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争取资金投入数字化设备、数字资源库建设，完善图书馆微信公众号、线上阅读平台功能；开展数字化服务培训，提升数字技能；推出线上阅读打卡、数字展览、直播讲座等创新服务，拓展服务覆盖面。</w:t>
      </w:r>
    </w:p>
    <w:p w14:paraId="27487FB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  <w:t>强化基层服务，扩大覆盖范围</w:t>
      </w:r>
    </w:p>
    <w:p w14:paraId="68D611BA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增加送书下乡、流动图书服务频次，完善乡村、社区、学校图书流通点建设；建立基层服务长效机制，配备专职人员与专项经费，提升基层群众文化服务可及性。</w:t>
      </w:r>
    </w:p>
    <w:p w14:paraId="7AAECB97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  <w:t>健全绩效应用机制，提升管理效能</w:t>
      </w:r>
    </w:p>
    <w:p w14:paraId="339BF38B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建立绩效评价结果与预算安排、资金分配、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业务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考核挂钩机制；将评价发现的问题纳入整改台账，明确整改责任、时限、措施，以评促改、以评促建，持续提升免费开放管理与服务水平。</w:t>
      </w:r>
    </w:p>
    <w:p w14:paraId="04248A52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  <w:lang w:val="en-US" w:eastAsia="zh-CN"/>
        </w:rPr>
        <w:t>五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  <w:t>加强队伍建设，提升服务能力</w:t>
      </w:r>
    </w:p>
    <w:p w14:paraId="6B80238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定期开展业务技能、服务规范、数字化服务培训，引进专业人才；完善考核激励机制，激发工作积极性、主动性、创新性，打造高素质服务队伍。</w:t>
      </w:r>
    </w:p>
    <w:p w14:paraId="3DE6A637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ascii="仿宋" w:hAnsi="仿宋" w:eastAsia="仿宋"/>
          <w:snapToGrid w:val="0"/>
          <w:spacing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spacing w:val="0"/>
          <w:kern w:val="0"/>
          <w:sz w:val="32"/>
          <w:szCs w:val="32"/>
        </w:rPr>
        <w:t>八、其它需要说明的问题</w:t>
      </w:r>
    </w:p>
    <w:bookmarkEnd w:id="0"/>
    <w:p w14:paraId="6ACDE7AB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  <w:t>影响项目绩效的因素</w:t>
      </w:r>
    </w:p>
    <w:p w14:paraId="49727F0C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eastAsia="仿宋_GB2312"/>
          <w:snapToGrid w:val="0"/>
          <w:spacing w:val="0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eastAsia="仿宋_GB2312"/>
          <w:b/>
          <w:bCs/>
          <w:snapToGrid w:val="0"/>
          <w:spacing w:val="0"/>
          <w:kern w:val="0"/>
          <w:sz w:val="32"/>
          <w:szCs w:val="32"/>
        </w:rPr>
        <w:t>资金因素</w:t>
      </w:r>
      <w:r>
        <w:rPr>
          <w:rFonts w:hint="eastAsia" w:ascii="仿宋_GB2312" w:eastAsia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napToGrid w:val="0"/>
          <w:spacing w:val="0"/>
          <w:kern w:val="0"/>
          <w:sz w:val="32"/>
          <w:szCs w:val="32"/>
        </w:rPr>
        <w:t>省级配套资金总量有限，制约馆藏更新、服务创新、基层拓展等工作推进</w:t>
      </w:r>
      <w:r>
        <w:rPr>
          <w:rFonts w:hint="eastAsia" w:ascii="仿宋_GB2312" w:eastAsia="仿宋_GB2312"/>
          <w:snapToGrid w:val="0"/>
          <w:spacing w:val="0"/>
          <w:kern w:val="0"/>
          <w:sz w:val="32"/>
          <w:szCs w:val="32"/>
          <w:lang w:eastAsia="zh-CN"/>
        </w:rPr>
        <w:t>。</w:t>
      </w:r>
    </w:p>
    <w:p w14:paraId="5D73A81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eastAsia="仿宋_GB2312"/>
          <w:snapToGrid w:val="0"/>
          <w:spacing w:val="0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/>
          <w:b/>
          <w:bCs/>
          <w:snapToGrid w:val="0"/>
          <w:spacing w:val="0"/>
          <w:kern w:val="0"/>
          <w:sz w:val="32"/>
          <w:szCs w:val="32"/>
        </w:rPr>
        <w:t>人才因素</w:t>
      </w:r>
      <w:r>
        <w:rPr>
          <w:rFonts w:hint="eastAsia" w:ascii="仿宋_GB2312" w:eastAsia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napToGrid w:val="0"/>
          <w:spacing w:val="0"/>
          <w:kern w:val="0"/>
          <w:sz w:val="32"/>
          <w:szCs w:val="32"/>
        </w:rPr>
        <w:t>基层图书馆专业人员不足，数字化、活动策划等专业能力薄弱</w:t>
      </w:r>
      <w:r>
        <w:rPr>
          <w:rFonts w:hint="eastAsia" w:ascii="仿宋_GB2312" w:eastAsia="仿宋_GB2312"/>
          <w:snapToGrid w:val="0"/>
          <w:spacing w:val="0"/>
          <w:kern w:val="0"/>
          <w:sz w:val="32"/>
          <w:szCs w:val="32"/>
          <w:lang w:eastAsia="zh-CN"/>
        </w:rPr>
        <w:t>。</w:t>
      </w:r>
    </w:p>
    <w:p w14:paraId="6FDED44D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eastAsia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eastAsia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/>
          <w:b/>
          <w:bCs/>
          <w:snapToGrid w:val="0"/>
          <w:spacing w:val="0"/>
          <w:kern w:val="0"/>
          <w:sz w:val="32"/>
          <w:szCs w:val="32"/>
        </w:rPr>
        <w:t>需求因素</w:t>
      </w:r>
      <w:r>
        <w:rPr>
          <w:rFonts w:hint="eastAsia" w:ascii="仿宋_GB2312" w:eastAsia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napToGrid w:val="0"/>
          <w:spacing w:val="0"/>
          <w:kern w:val="0"/>
          <w:sz w:val="32"/>
          <w:szCs w:val="32"/>
        </w:rPr>
        <w:t>群众文化需求日益多元化，对服务品质、内容形式提出更高要求。</w:t>
      </w:r>
    </w:p>
    <w:p w14:paraId="04A79642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  <w:t>往年绩效评价问题整改情况</w:t>
      </w:r>
    </w:p>
    <w:p w14:paraId="7FCA0F36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hint="eastAsia" w:ascii="仿宋_GB2312" w:eastAsia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eastAsia="仿宋_GB2312"/>
          <w:snapToGrid w:val="0"/>
          <w:spacing w:val="0"/>
          <w:kern w:val="0"/>
          <w:sz w:val="32"/>
          <w:szCs w:val="32"/>
        </w:rPr>
        <w:t>2024年绩效评价发现的“资金使用台账不够细化、基层服务频次不足”等问题，已完成整改</w:t>
      </w:r>
      <w:r>
        <w:rPr>
          <w:rFonts w:hint="eastAsia" w:ascii="仿宋_GB2312" w:eastAsia="仿宋_GB2312"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napToGrid w:val="0"/>
          <w:spacing w:val="0"/>
          <w:kern w:val="0"/>
          <w:sz w:val="32"/>
          <w:szCs w:val="32"/>
        </w:rPr>
        <w:t>完善资金支出明细台账，规范记录每笔支出用途；2025年增加送书下乡、流动服务</w:t>
      </w:r>
      <w:r>
        <w:rPr>
          <w:rFonts w:hint="eastAsia" w:ascii="仿宋_GB2312" w:eastAsia="仿宋_GB2312"/>
          <w:snapToGrid w:val="0"/>
          <w:spacing w:val="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napToGrid w:val="0"/>
          <w:spacing w:val="0"/>
          <w:kern w:val="0"/>
          <w:sz w:val="32"/>
          <w:szCs w:val="32"/>
        </w:rPr>
        <w:t>场次，覆盖乡村社区，整改成效显著。</w:t>
      </w:r>
    </w:p>
    <w:p w14:paraId="585E2AE3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ascii="仿宋_GB2312" w:eastAsia="仿宋_GB2312"/>
          <w:snapToGrid w:val="0"/>
          <w:spacing w:val="0"/>
          <w:kern w:val="0"/>
          <w:sz w:val="32"/>
          <w:szCs w:val="32"/>
        </w:rPr>
      </w:pPr>
    </w:p>
    <w:p w14:paraId="6420741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424" w:firstLineChars="202"/>
        <w:jc w:val="both"/>
        <w:textAlignment w:val="auto"/>
        <w:rPr>
          <w:snapToGrid w:val="0"/>
          <w:spacing w:val="0"/>
          <w:kern w:val="0"/>
        </w:rPr>
      </w:pPr>
    </w:p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7BCC1A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07B0D7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07B0D7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290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0MTkyMDgwNmJkYTNlNmVjMDk5MDMyMGQ5Yzk0NDUifQ=="/>
  </w:docVars>
  <w:rsids>
    <w:rsidRoot w:val="12927D71"/>
    <w:rsid w:val="000E6661"/>
    <w:rsid w:val="002020E6"/>
    <w:rsid w:val="002A3E90"/>
    <w:rsid w:val="00374AB7"/>
    <w:rsid w:val="003B6467"/>
    <w:rsid w:val="00404802"/>
    <w:rsid w:val="00451CED"/>
    <w:rsid w:val="004A76FA"/>
    <w:rsid w:val="0058320E"/>
    <w:rsid w:val="005B2D1B"/>
    <w:rsid w:val="006E0A05"/>
    <w:rsid w:val="007E77B9"/>
    <w:rsid w:val="0087492D"/>
    <w:rsid w:val="008F7E56"/>
    <w:rsid w:val="00997D04"/>
    <w:rsid w:val="00A34092"/>
    <w:rsid w:val="00C040C7"/>
    <w:rsid w:val="00C44CFA"/>
    <w:rsid w:val="00DE6A66"/>
    <w:rsid w:val="00EC5918"/>
    <w:rsid w:val="00F5756A"/>
    <w:rsid w:val="00FE0C9E"/>
    <w:rsid w:val="03A62A72"/>
    <w:rsid w:val="054D2B43"/>
    <w:rsid w:val="12927D71"/>
    <w:rsid w:val="228910E1"/>
    <w:rsid w:val="306F6904"/>
    <w:rsid w:val="31E85B72"/>
    <w:rsid w:val="3DEF68E1"/>
    <w:rsid w:val="65C23618"/>
    <w:rsid w:val="6F951797"/>
    <w:rsid w:val="764A0321"/>
    <w:rsid w:val="77672FE5"/>
    <w:rsid w:val="781E71C5"/>
    <w:rsid w:val="7AC340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0"/>
    <w:pPr>
      <w:widowControl w:val="0"/>
      <w:spacing w:after="120"/>
      <w:jc w:val="both"/>
    </w:pPr>
    <w:rPr>
      <w:rFonts w:ascii="Calibri" w:hAnsi="Calibri" w:eastAsia="宋体" w:cs="Times New Roman"/>
      <w:kern w:val="2"/>
      <w:sz w:val="32"/>
      <w:lang w:val="en-US" w:eastAsia="zh-CN" w:bidi="ar-SA"/>
    </w:rPr>
  </w:style>
  <w:style w:type="paragraph" w:styleId="3">
    <w:name w:val="toc 5"/>
    <w:next w:val="1"/>
    <w:qFormat/>
    <w:uiPriority w:val="0"/>
    <w:pPr>
      <w:widowControl w:val="0"/>
      <w:spacing w:before="100" w:beforeAutospacing="1" w:after="100" w:afterAutospacing="1"/>
      <w:ind w:left="1680"/>
      <w:jc w:val="both"/>
    </w:pPr>
    <w:rPr>
      <w:rFonts w:ascii="Calibri" w:hAnsi="Calibri" w:eastAsia="宋体" w:cs="Times New Roman"/>
      <w:kern w:val="2"/>
      <w:sz w:val="32"/>
      <w:lang w:val="en-US" w:eastAsia="zh-CN" w:bidi="ar-SA"/>
    </w:rPr>
  </w:style>
  <w:style w:type="paragraph" w:styleId="4">
    <w:name w:val="Balloon Text"/>
    <w:basedOn w:val="1"/>
    <w:link w:val="11"/>
    <w:uiPriority w:val="0"/>
    <w:rPr>
      <w:sz w:val="18"/>
      <w:szCs w:val="18"/>
    </w:rPr>
  </w:style>
  <w:style w:type="paragraph" w:styleId="5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5"/>
    <w:uiPriority w:val="0"/>
    <w:rPr>
      <w:kern w:val="2"/>
      <w:sz w:val="18"/>
      <w:szCs w:val="18"/>
    </w:rPr>
  </w:style>
  <w:style w:type="character" w:customStyle="1" w:styleId="11">
    <w:name w:val="批注框文本 Char"/>
    <w:basedOn w:val="8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昆明市嵩明县党政机关单位</Company>
  <Pages>12</Pages>
  <Words>5462</Words>
  <Characters>5604</Characters>
  <Lines>2</Lines>
  <Paragraphs>1</Paragraphs>
  <TotalTime>7</TotalTime>
  <ScaleCrop>false</ScaleCrop>
  <LinksUpToDate>false</LinksUpToDate>
  <CharactersWithSpaces>5604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2021-01-08T05:40:00Z</dcterms:created>
  <dc:creator>lenovo</dc:creator>
  <cp:lastModifiedBy>龙燕</cp:lastModifiedBy>
  <cp:lastPrinted>2025-04-01T03:22:00Z</cp:lastPrinted>
  <dcterms:modified xsi:type="dcterms:W3CDTF">2026-03-31T01:34:59Z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5B6420EB6B554EA2AF8AF15F6082FC63_13</vt:lpwstr>
  </property>
</Properties>
</file>