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富民县应急管理局2024年市级冬春救助补助资金</w:t>
      </w:r>
      <w:r>
        <w:rPr>
          <w:rFonts w:hint="eastAsia" w:ascii="方正小标宋_GBK" w:hAnsi="方正小标宋_GBK" w:eastAsia="方正小标宋_GBK" w:cs="方正小标宋_GBK"/>
          <w:sz w:val="44"/>
          <w:szCs w:val="44"/>
        </w:rPr>
        <w:t>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kinsoku/>
        <w:wordWrap/>
        <w:overflowPunct/>
        <w:topLinePunct/>
        <w:autoSpaceDE/>
        <w:autoSpaceDN/>
        <w:bidi w:val="0"/>
        <w:adjustRightInd/>
        <w:snapToGrid/>
        <w:spacing w:line="576" w:lineRule="exact"/>
        <w:ind w:firstLine="803" w:firstLineChars="25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1.立项背景及目的。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76" w:lineRule="exact"/>
        <w:ind w:right="0"/>
        <w:jc w:val="left"/>
        <w:textAlignment w:val="auto"/>
        <w:rPr>
          <w:rFonts w:hint="default" w:ascii="仿宋_GB2312" w:hAnsi="仿宋_GB2312" w:eastAsia="仿宋_GB2312" w:cs="仿宋_GB2312"/>
          <w:lang w:val="en-US"/>
        </w:rPr>
      </w:pPr>
      <w:r>
        <w:rPr>
          <w:rFonts w:hint="eastAsia" w:ascii="仿宋_GB2312" w:hAnsi="仿宋_GB2312" w:eastAsia="仿宋_GB2312" w:cs="仿宋_GB2312"/>
          <w:b w:val="0"/>
          <w:bCs w:val="0"/>
          <w:color w:val="000000"/>
          <w:kern w:val="2"/>
          <w:sz w:val="32"/>
          <w:szCs w:val="32"/>
          <w:lang w:val="en-US" w:eastAsia="zh-CN" w:bidi="ar-SA"/>
        </w:rPr>
        <w:t xml:space="preserve">    冬春季节气候寒冷、灾害风险多发，部分地区群众因自然灾害、家庭困难等因素，面临口粮、衣被、取暖、医疗等基本生活保障难题。为切实保障因灾倒损农房修缮和因灾生活困难群众生活得到及时救助，根据市人民政府对《昆明市应急管理局关于2024年市级冬春救助补助资金拟分配方案的请示》（昆明应急请〔2024〕60号）的批示精神，昆明市应急管理局下达我县2024年市级冬春救助补助资金8万元，用于解决受灾困难群众冬春期间基本生活困难，助力群众温暖过冬、安心度春，维护社会和谐稳定。</w:t>
      </w:r>
    </w:p>
    <w:p>
      <w:pPr>
        <w:numPr>
          <w:ilvl w:val="0"/>
          <w:numId w:val="1"/>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pPr>
        <w:keepNext w:val="0"/>
        <w:keepLines w:val="0"/>
        <w:pageBreakBefore w:val="0"/>
        <w:kinsoku/>
        <w:wordWrap/>
        <w:overflowPunct/>
        <w:topLinePunct/>
        <w:autoSpaceDE/>
        <w:autoSpaceDN/>
        <w:bidi w:val="0"/>
        <w:adjustRightInd/>
        <w:snapToGrid/>
        <w:spacing w:line="576" w:lineRule="exact"/>
        <w:ind w:firstLine="803" w:firstLineChars="2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总目标。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i w:val="0"/>
          <w:color w:val="000000"/>
          <w:kern w:val="2"/>
          <w:sz w:val="32"/>
          <w:szCs w:val="32"/>
          <w:lang w:val="en-US" w:eastAsia="zh-CN" w:bidi="ar"/>
        </w:rPr>
      </w:pPr>
      <w:r>
        <w:rPr>
          <w:rFonts w:hint="eastAsia" w:ascii="仿宋_GB2312" w:hAnsi="仿宋_GB2312" w:eastAsia="仿宋_GB2312" w:cs="仿宋_GB2312"/>
          <w:b w:val="0"/>
          <w:i w:val="0"/>
          <w:color w:val="000000"/>
          <w:kern w:val="2"/>
          <w:sz w:val="32"/>
          <w:szCs w:val="32"/>
          <w:lang w:val="en-US" w:eastAsia="zh-CN" w:bidi="ar"/>
        </w:rPr>
        <w:t>以保障受灾困难群众基本民生为核心，严格落实自然灾害救助相关政策要求，规范冬春救助补助资金全流程管理，坚持“专款专用、精准施救、公平公开”原则，建立长效、规范、高效的救助资金使用管理机制。通过持续优化救助对象摸排、资金拨付、监督监管等工作流程，切实解决受灾困难群众冬春季节口粮、衣被、取暖等基本生活困难，兜牢民生保障底线，提升财政资金使用效益，维护社会和谐稳定。</w:t>
      </w:r>
    </w:p>
    <w:p>
      <w:p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年度目标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76" w:lineRule="exact"/>
        <w:ind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我单位根据各镇（街道）统计、核实、上报的灾情数据和救助需求,经局党委会议研究决定，印发《富民县应急管理局关于下达2024年市级冬春生活救助补助资金的通知》（富应急通〔2025〕2号）文件，将2024年市级冬春生活救助补助资金80000元全部按照规定及时通过“一卡通”发放到救助对象手中，认真做好受灾群众冬春生活救助工作，确保受灾群众基本生活。</w:t>
      </w:r>
    </w:p>
    <w:p>
      <w:pPr>
        <w:numPr>
          <w:ilvl w:val="0"/>
          <w:numId w:val="1"/>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1、项目组织保障</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富民县应急管理局组织相关人员成立工作小组推进项目有序进行。</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2、项目监督</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富民县应急管理局督察全程监督检查。</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3、节支增效措施</w:t>
      </w:r>
    </w:p>
    <w:p>
      <w:pPr>
        <w:spacing w:line="52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开展询价工作以及项目进程中由工作小组组织跟进项目进度，确保项目稳步高效推进。</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4、内部控制管理</w:t>
      </w:r>
    </w:p>
    <w:p>
      <w:p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严格按照富民县应急管理局内控系统的工作要求开展工作。</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5、项目财务管理</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按照富民县应急管理局财务和审计工作依法依规报销相关费用。</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pPr>
      <w:r>
        <w:rPr>
          <w:rFonts w:hint="eastAsia" w:ascii="仿宋_GB2312" w:hAnsi="仿宋_GB2312" w:eastAsia="仿宋_GB2312" w:cs="仿宋_GB2312"/>
          <w:i w:val="0"/>
          <w:caps w:val="0"/>
          <w:color w:val="000000"/>
          <w:spacing w:val="0"/>
          <w:sz w:val="32"/>
          <w:szCs w:val="32"/>
          <w:shd w:val="clear" w:color="auto" w:fill="FFFFFF"/>
        </w:rPr>
        <w:t>通过绩效评价，了解20</w:t>
      </w:r>
      <w:r>
        <w:rPr>
          <w:rFonts w:hint="eastAsia" w:ascii="仿宋_GB2312" w:hAnsi="仿宋_GB2312" w:eastAsia="仿宋_GB2312" w:cs="仿宋_GB2312"/>
          <w:i w:val="0"/>
          <w:caps w:val="0"/>
          <w:color w:val="000000"/>
          <w:spacing w:val="0"/>
          <w:sz w:val="32"/>
          <w:szCs w:val="32"/>
          <w:shd w:val="clear" w:color="auto" w:fill="FFFFFF"/>
          <w:lang w:val="en-US" w:eastAsia="zh-CN"/>
        </w:rPr>
        <w:t>25</w:t>
      </w:r>
      <w:r>
        <w:rPr>
          <w:rFonts w:hint="eastAsia" w:ascii="仿宋_GB2312" w:hAnsi="仿宋_GB2312" w:eastAsia="仿宋_GB2312" w:cs="仿宋_GB2312"/>
          <w:i w:val="0"/>
          <w:caps w:val="0"/>
          <w:color w:val="000000"/>
          <w:spacing w:val="0"/>
          <w:sz w:val="32"/>
          <w:szCs w:val="32"/>
          <w:shd w:val="clear" w:color="auto" w:fill="FFFFFF"/>
        </w:rPr>
        <w:t>年项目支出资金使用情况及取得的阶段性成果，总结项目资金管理的经验，及时发现项目资金管理中存在的问题，为加强财政支出的规范化管理，提高安全生产专项经费的使用效益，健全和完善项目支出和资金使用，完善预算编制、加强绩效目标管理和绩效考核工作提供重要的参考依据，以及提出相关的建议和应采取的措施等。</w:t>
      </w:r>
    </w:p>
    <w:p>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绩效评价原则、依据、评价指标体系（附表说明）、评价方法、评价标准、评价标准、评价抽样等。</w:t>
      </w:r>
    </w:p>
    <w:p>
      <w:pPr>
        <w:spacing w:line="52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1、绩效评价原则。</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（1）科学规范。</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（2）公开公正。</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（3）绩效相关。</w:t>
      </w:r>
    </w:p>
    <w:p>
      <w:pPr>
        <w:spacing w:line="52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2、绩效评价方法。</w:t>
      </w:r>
    </w:p>
    <w:p>
      <w:pPr>
        <w:keepNext w:val="0"/>
        <w:keepLines w:val="0"/>
        <w:pageBreakBefore w:val="0"/>
        <w:kinsoku/>
        <w:wordWrap/>
        <w:overflowPunct/>
        <w:topLinePunct/>
        <w:autoSpaceDE/>
        <w:autoSpaceDN/>
        <w:bidi w:val="0"/>
        <w:adjustRightInd/>
        <w:snapToGrid/>
        <w:spacing w:line="576" w:lineRule="exact"/>
        <w:ind w:firstLine="800" w:firstLineChars="250"/>
        <w:textAlignment w:val="auto"/>
        <w:rPr>
          <w:sz w:val="32"/>
          <w:szCs w:val="32"/>
        </w:rPr>
      </w:pPr>
      <w:r>
        <w:rPr>
          <w:rFonts w:hint="eastAsia" w:ascii="Times New Roman" w:hAnsi="Times New Roman" w:eastAsia="仿宋_GB2312" w:cs="Times New Roman"/>
          <w:sz w:val="32"/>
          <w:szCs w:val="32"/>
        </w:rPr>
        <w:t>主要通过查看相关数据和资料及调查问卷等方式客观进行整体评价、打分，出具评价结果，最后出具绩效自评报告。</w:t>
      </w:r>
    </w:p>
    <w:p>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绩效评价工作流程。</w:t>
      </w:r>
    </w:p>
    <w:p>
      <w:pPr>
        <w:keepNext w:val="0"/>
        <w:keepLines w:val="0"/>
        <w:pageBreakBefore w:val="0"/>
        <w:kinsoku/>
        <w:wordWrap/>
        <w:overflowPunct/>
        <w:topLinePunct/>
        <w:autoSpaceDE/>
        <w:autoSpaceDN/>
        <w:bidi w:val="0"/>
        <w:adjustRightInd/>
        <w:snapToGrid/>
        <w:spacing w:line="576" w:lineRule="exact"/>
        <w:ind w:firstLine="803"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1、前期准备。</w:t>
      </w:r>
      <w:r>
        <w:rPr>
          <w:rFonts w:hint="eastAsia" w:ascii="仿宋_GB2312" w:hAnsi="仿宋_GB2312" w:eastAsia="仿宋_GB2312" w:cs="仿宋_GB2312"/>
          <w:sz w:val="32"/>
          <w:szCs w:val="32"/>
          <w:lang w:val="en-US" w:eastAsia="zh-CN"/>
        </w:rPr>
        <w:t>成立绩效评价工作组，明确了工作职责，制定现场评价工作方案，设计相关表格，联系相关部门，确定了实施时间。</w:t>
      </w:r>
    </w:p>
    <w:p>
      <w:pPr>
        <w:keepNext w:val="0"/>
        <w:keepLines w:val="0"/>
        <w:pageBreakBefore w:val="0"/>
        <w:kinsoku/>
        <w:wordWrap/>
        <w:overflowPunct/>
        <w:topLinePunct/>
        <w:autoSpaceDE/>
        <w:autoSpaceDN/>
        <w:bidi w:val="0"/>
        <w:adjustRightInd/>
        <w:snapToGrid/>
        <w:spacing w:line="576" w:lineRule="exact"/>
        <w:ind w:firstLine="803"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2、实施情况。</w:t>
      </w:r>
      <w:r>
        <w:rPr>
          <w:rFonts w:hint="eastAsia" w:ascii="仿宋_GB2312" w:hAnsi="仿宋_GB2312" w:eastAsia="仿宋_GB2312" w:cs="仿宋_GB2312"/>
          <w:sz w:val="32"/>
          <w:szCs w:val="32"/>
          <w:lang w:val="en-US" w:eastAsia="zh-CN"/>
        </w:rPr>
        <w:t>项目绩效评价实施步骤：（1）了解项目情况；（2）收集核查资料。收集该项目相关政策文件、资金拨付明细等资料；核查相关制度是否完善，项目蛇皮、实施等程序是否符合要求，资金分配、拨付是否合规，手续是否齐全，是否存在挤占、截留、挪用等情况。（3）现场查看。调查走访、发放问卷调查等。</w:t>
      </w:r>
    </w:p>
    <w:p>
      <w:pPr>
        <w:keepNext w:val="0"/>
        <w:keepLines w:val="0"/>
        <w:pageBreakBefore w:val="0"/>
        <w:kinsoku/>
        <w:wordWrap/>
        <w:overflowPunct/>
        <w:topLinePunct/>
        <w:autoSpaceDE/>
        <w:autoSpaceDN/>
        <w:bidi w:val="0"/>
        <w:adjustRightInd/>
        <w:snapToGrid/>
        <w:spacing w:line="576" w:lineRule="exact"/>
        <w:ind w:firstLine="803" w:firstLineChars="2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3、得出评价结论，形成绩效评价报告。</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left="263" w:leftChars="125" w:firstLine="640" w:firstLineChars="200"/>
        <w:rPr>
          <w:rFonts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kinsoku/>
        <w:wordWrap/>
        <w:overflowPunct/>
        <w:topLinePunct/>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1、项目立项：本项目立项符合法律法规、相关政策、发展规划以及部门职责，项目申请、设立过程符合相关要求。</w:t>
      </w:r>
    </w:p>
    <w:p>
      <w:pPr>
        <w:keepNext w:val="0"/>
        <w:keepLines w:val="0"/>
        <w:pageBreakBefore w:val="0"/>
        <w:kinsoku/>
        <w:wordWrap/>
        <w:overflowPunct/>
        <w:topLinePunct/>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2、绩效目标：本项目依据建设内容设置的总体绩效目标，绩效目标合理、可行。</w:t>
      </w:r>
    </w:p>
    <w:p>
      <w:pPr>
        <w:keepNext w:val="0"/>
        <w:keepLines w:val="0"/>
        <w:pageBreakBefore w:val="0"/>
        <w:kinsoku/>
        <w:wordWrap/>
        <w:overflowPunct/>
        <w:topLinePunct/>
        <w:autoSpaceDE/>
        <w:autoSpaceDN/>
        <w:bidi w:val="0"/>
        <w:adjustRightInd/>
        <w:snapToGrid/>
        <w:spacing w:line="576" w:lineRule="exact"/>
        <w:ind w:firstLine="640" w:firstLineChars="200"/>
        <w:textAlignment w:val="auto"/>
      </w:pPr>
      <w:r>
        <w:rPr>
          <w:rFonts w:hint="eastAsia" w:ascii="Times New Roman" w:hAnsi="Times New Roman" w:eastAsia="仿宋_GB2312" w:cs="Times New Roman"/>
          <w:sz w:val="32"/>
          <w:szCs w:val="32"/>
          <w:lang w:val="en-US" w:eastAsia="zh-CN"/>
        </w:rPr>
        <w:t>3、资金投入：本项目预算编制经过科学论证、有明确标准、资金额度与年度目标相适应，且项目预算资金分配有测算依</w:t>
      </w:r>
      <w:r>
        <w:rPr>
          <w:rFonts w:hint="eastAsia" w:ascii="Times New Roman" w:hAnsi="Times New Roman" w:eastAsia="仿宋_GB2312" w:cs="Times New Roman"/>
          <w:b w:val="0"/>
          <w:bCs w:val="0"/>
          <w:kern w:val="2"/>
          <w:sz w:val="32"/>
          <w:szCs w:val="32"/>
          <w:lang w:val="en-US" w:eastAsia="zh-CN" w:bidi="ar-SA"/>
        </w:rPr>
        <w:t>据。</w:t>
      </w:r>
    </w:p>
    <w:p>
      <w:pPr>
        <w:spacing w:line="600" w:lineRule="exact"/>
        <w:ind w:left="263" w:leftChars="125"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（二）项目过程情况分析</w:t>
      </w:r>
      <w:r>
        <w:rPr>
          <w:rFonts w:hint="eastAsia" w:ascii="楷体_GB2312" w:hAnsi="楷体_GB2312" w:eastAsia="楷体_GB2312" w:cs="楷体_GB2312"/>
          <w:sz w:val="32"/>
          <w:szCs w:val="32"/>
          <w:lang w:eastAsia="zh-CN"/>
        </w:rPr>
        <w:t>。</w:t>
      </w:r>
    </w:p>
    <w:p>
      <w:pPr>
        <w:keepNext w:val="0"/>
        <w:keepLines w:val="0"/>
        <w:pageBreakBefore w:val="0"/>
        <w:numPr>
          <w:ilvl w:val="0"/>
          <w:numId w:val="0"/>
        </w:numPr>
        <w:kinsoku/>
        <w:wordWrap/>
        <w:overflowPunct/>
        <w:topLinePunct/>
        <w:autoSpaceDE/>
        <w:autoSpaceDN/>
        <w:bidi w:val="0"/>
        <w:adjustRightInd/>
        <w:snapToGrid/>
        <w:spacing w:line="576"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w:t>
      </w:r>
      <w:r>
        <w:rPr>
          <w:rFonts w:ascii="Times New Roman" w:hAnsi="Times New Roman" w:eastAsia="仿宋_GB2312" w:cs="Times New Roman"/>
          <w:b/>
          <w:sz w:val="32"/>
          <w:szCs w:val="32"/>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s="Times New Roman"/>
          <w:b/>
          <w:sz w:val="32"/>
          <w:szCs w:val="32"/>
        </w:rPr>
      </w:pPr>
      <w:r>
        <w:rPr>
          <w:rFonts w:hint="eastAsia" w:ascii="仿宋_GB2312" w:hAnsi="仿宋_GB2312" w:eastAsia="仿宋_GB2312" w:cs="仿宋_GB2312"/>
          <w:b w:val="0"/>
          <w:bCs w:val="0"/>
          <w:color w:val="000000"/>
          <w:kern w:val="2"/>
          <w:sz w:val="32"/>
          <w:szCs w:val="32"/>
          <w:lang w:val="en-US" w:eastAsia="zh-CN" w:bidi="ar-SA"/>
        </w:rPr>
        <w:t>2024年市级冬春生活救助补助资金80000元</w:t>
      </w:r>
      <w:r>
        <w:rPr>
          <w:rFonts w:hint="eastAsia" w:ascii="仿宋_GB2312" w:hAnsi="仿宋_GB2312" w:eastAsia="仿宋_GB2312" w:cs="仿宋_GB2312"/>
          <w:i w:val="0"/>
          <w:caps w:val="0"/>
          <w:color w:val="000000"/>
          <w:spacing w:val="0"/>
          <w:sz w:val="32"/>
          <w:szCs w:val="32"/>
          <w:shd w:val="clear" w:color="auto" w:fill="FFFFFF"/>
        </w:rPr>
        <w:t>全部按</w:t>
      </w:r>
      <w:r>
        <w:rPr>
          <w:rFonts w:hint="eastAsia" w:ascii="仿宋_GB2312" w:hAnsi="仿宋_GB2312" w:eastAsia="仿宋_GB2312" w:cs="仿宋_GB2312"/>
          <w:i w:val="0"/>
          <w:caps w:val="0"/>
          <w:color w:val="000000"/>
          <w:spacing w:val="0"/>
          <w:sz w:val="32"/>
          <w:szCs w:val="32"/>
          <w:shd w:val="clear" w:color="auto" w:fill="FFFFFF"/>
          <w:lang w:eastAsia="zh-CN"/>
        </w:rPr>
        <w:t>照</w:t>
      </w:r>
      <w:r>
        <w:rPr>
          <w:rFonts w:hint="eastAsia" w:ascii="仿宋_GB2312" w:hAnsi="仿宋_GB2312" w:eastAsia="仿宋_GB2312" w:cs="仿宋_GB2312"/>
          <w:i w:val="0"/>
          <w:caps w:val="0"/>
          <w:color w:val="000000"/>
          <w:spacing w:val="0"/>
          <w:sz w:val="32"/>
          <w:szCs w:val="32"/>
          <w:shd w:val="clear" w:color="auto" w:fill="FFFFFF"/>
        </w:rPr>
        <w:t>规定</w:t>
      </w:r>
      <w:r>
        <w:rPr>
          <w:rFonts w:hint="eastAsia" w:ascii="仿宋_GB2312" w:hAnsi="仿宋_GB2312" w:eastAsia="仿宋_GB2312" w:cs="仿宋_GB2312"/>
          <w:i w:val="0"/>
          <w:caps w:val="0"/>
          <w:color w:val="000000"/>
          <w:spacing w:val="0"/>
          <w:sz w:val="32"/>
          <w:szCs w:val="32"/>
          <w:shd w:val="clear" w:color="auto" w:fill="FFFFFF"/>
          <w:lang w:eastAsia="zh-CN"/>
        </w:rPr>
        <w:t>及时</w:t>
      </w:r>
      <w:r>
        <w:rPr>
          <w:rFonts w:hint="eastAsia" w:ascii="仿宋_GB2312" w:hAnsi="仿宋_GB2312" w:eastAsia="仿宋_GB2312" w:cs="仿宋_GB2312"/>
          <w:color w:val="000000"/>
          <w:sz w:val="32"/>
          <w:szCs w:val="32"/>
          <w:lang w:val="en-US" w:eastAsia="zh-CN"/>
        </w:rPr>
        <w:t>通过“一卡通”发放到救助对象手中，</w:t>
      </w:r>
      <w:r>
        <w:rPr>
          <w:rFonts w:hint="eastAsia" w:ascii="仿宋_GB2312" w:hAnsi="仿宋_GB2312" w:eastAsia="仿宋_GB2312" w:cs="仿宋_GB2312"/>
          <w:i w:val="0"/>
          <w:caps w:val="0"/>
          <w:color w:val="000000"/>
          <w:spacing w:val="0"/>
          <w:sz w:val="32"/>
          <w:szCs w:val="32"/>
          <w:shd w:val="clear" w:color="auto" w:fill="FFFFFF"/>
        </w:rPr>
        <w:t>资金到位率100%。</w:t>
      </w:r>
    </w:p>
    <w:p>
      <w:pPr>
        <w:keepNext w:val="0"/>
        <w:keepLines w:val="0"/>
        <w:pageBreakBefore w:val="0"/>
        <w:kinsoku/>
        <w:wordWrap/>
        <w:overflowPunct/>
        <w:topLinePunct/>
        <w:autoSpaceDE/>
        <w:autoSpaceDN/>
        <w:bidi w:val="0"/>
        <w:adjustRightInd/>
        <w:snapToGrid/>
        <w:spacing w:line="576"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2、</w:t>
      </w:r>
      <w:r>
        <w:rPr>
          <w:rFonts w:ascii="Times New Roman" w:hAnsi="Times New Roman" w:eastAsia="仿宋_GB2312" w:cs="Times New Roman"/>
          <w:b/>
          <w:sz w:val="32"/>
          <w:szCs w:val="32"/>
        </w:rPr>
        <w:t>资金来源及使用情况。</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sz w:val="32"/>
          <w:szCs w:val="32"/>
          <w:lang w:val="en-US" w:eastAsia="zh-CN"/>
        </w:rPr>
        <w:t>（1）资金来源情况。</w:t>
      </w:r>
      <w:r>
        <w:rPr>
          <w:rFonts w:hint="eastAsia" w:ascii="仿宋_GB2312" w:hAnsi="仿宋_GB2312" w:eastAsia="仿宋_GB2312" w:cs="仿宋_GB2312"/>
          <w:b w:val="0"/>
          <w:bCs w:val="0"/>
          <w:color w:val="000000"/>
          <w:kern w:val="2"/>
          <w:sz w:val="32"/>
          <w:szCs w:val="32"/>
          <w:lang w:val="en-US" w:eastAsia="zh-CN" w:bidi="ar-SA"/>
        </w:rPr>
        <w:t>根据市人民政府对《昆明市应急管理局关于2024年市级冬春救助补助资金拟分配方案的请示》（昆明应急请〔2024〕60号）的批示精神，昆明市应急管理局下达我县2024年市级冬春救助补助资金8万元，用于切实保障因灾倒损农房修缮和因灾生活困难群众生活得到及时救助。</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lang w:eastAsia="zh-CN"/>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（2）资金使用情况。</w:t>
      </w:r>
      <w:r>
        <w:rPr>
          <w:rFonts w:hint="eastAsia" w:ascii="仿宋_GB2312" w:hAnsi="仿宋_GB2312" w:eastAsia="仿宋_GB2312" w:cs="仿宋_GB2312"/>
          <w:b w:val="0"/>
          <w:bCs w:val="0"/>
          <w:color w:val="000000"/>
          <w:sz w:val="32"/>
          <w:szCs w:val="32"/>
        </w:rPr>
        <w:t>按</w:t>
      </w:r>
      <w:r>
        <w:rPr>
          <w:rFonts w:hint="eastAsia" w:ascii="仿宋_GB2312" w:hAnsi="仿宋_GB2312" w:eastAsia="仿宋_GB2312" w:cs="仿宋_GB2312"/>
          <w:b w:val="0"/>
          <w:bCs w:val="0"/>
          <w:color w:val="000000"/>
          <w:sz w:val="32"/>
          <w:szCs w:val="32"/>
          <w:lang w:eastAsia="zh-CN"/>
        </w:rPr>
        <w:t>照</w:t>
      </w:r>
      <w:r>
        <w:rPr>
          <w:rFonts w:hint="eastAsia" w:ascii="仿宋_GB2312" w:hAnsi="仿宋_GB2312" w:eastAsia="仿宋_GB2312" w:cs="仿宋_GB2312"/>
          <w:b w:val="0"/>
          <w:bCs w:val="0"/>
          <w:color w:val="000000"/>
          <w:sz w:val="32"/>
          <w:szCs w:val="32"/>
        </w:rPr>
        <w:t>相关文件的要求</w:t>
      </w:r>
      <w:r>
        <w:rPr>
          <w:rFonts w:hint="eastAsia" w:ascii="仿宋_GB2312" w:hAnsi="仿宋_GB2312" w:eastAsia="仿宋_GB2312" w:cs="仿宋_GB2312"/>
          <w:b w:val="0"/>
          <w:bCs w:val="0"/>
          <w:i w:val="0"/>
          <w:caps w:val="0"/>
          <w:color w:val="000000"/>
          <w:spacing w:val="0"/>
          <w:sz w:val="32"/>
          <w:szCs w:val="32"/>
          <w:shd w:val="clear" w:color="auto" w:fill="FFFFFF"/>
        </w:rPr>
        <w:t>，</w:t>
      </w:r>
      <w:r>
        <w:rPr>
          <w:rFonts w:hint="eastAsia" w:ascii="仿宋_GB2312" w:hAnsi="仿宋_GB2312" w:eastAsia="仿宋_GB2312" w:cs="仿宋_GB2312"/>
          <w:b w:val="0"/>
          <w:bCs w:val="0"/>
          <w:color w:val="000000"/>
          <w:sz w:val="32"/>
          <w:szCs w:val="32"/>
        </w:rPr>
        <w:t>结合我县</w:t>
      </w:r>
      <w:r>
        <w:rPr>
          <w:rFonts w:hint="eastAsia" w:ascii="仿宋_GB2312" w:hAnsi="仿宋_GB2312" w:eastAsia="仿宋_GB2312" w:cs="仿宋_GB2312"/>
          <w:b w:val="0"/>
          <w:bCs w:val="0"/>
          <w:color w:val="000000"/>
          <w:sz w:val="32"/>
          <w:szCs w:val="32"/>
          <w:lang w:eastAsia="zh-CN"/>
        </w:rPr>
        <w:t>受灾灾需救助人口</w:t>
      </w:r>
      <w:r>
        <w:rPr>
          <w:rFonts w:hint="eastAsia" w:ascii="仿宋_GB2312" w:hAnsi="仿宋_GB2312" w:eastAsia="仿宋_GB2312" w:cs="仿宋_GB2312"/>
          <w:b w:val="0"/>
          <w:bCs w:val="0"/>
          <w:color w:val="000000"/>
          <w:sz w:val="32"/>
          <w:szCs w:val="32"/>
        </w:rPr>
        <w:t>实际</w:t>
      </w:r>
      <w:r>
        <w:rPr>
          <w:rFonts w:hint="eastAsia" w:ascii="仿宋_GB2312" w:hAnsi="仿宋_GB2312" w:eastAsia="仿宋_GB2312" w:cs="仿宋_GB2312"/>
          <w:b w:val="0"/>
          <w:bCs w:val="0"/>
          <w:color w:val="000000"/>
          <w:sz w:val="32"/>
          <w:szCs w:val="32"/>
          <w:lang w:eastAsia="zh-CN"/>
        </w:rPr>
        <w:t>情况</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b w:val="0"/>
          <w:bCs w:val="0"/>
          <w:color w:val="000000"/>
          <w:kern w:val="2"/>
          <w:sz w:val="32"/>
          <w:szCs w:val="32"/>
          <w:lang w:val="en-US" w:eastAsia="zh-CN" w:bidi="ar-SA"/>
        </w:rPr>
        <w:t>2024年市级冬春生活救助补助资金80000元</w:t>
      </w:r>
      <w:r>
        <w:rPr>
          <w:rFonts w:hint="eastAsia" w:ascii="仿宋_GB2312" w:hAnsi="仿宋_GB2312" w:eastAsia="仿宋_GB2312" w:cs="仿宋_GB2312"/>
          <w:color w:val="000000"/>
          <w:sz w:val="32"/>
          <w:szCs w:val="32"/>
        </w:rPr>
        <w:t>下拨</w:t>
      </w:r>
      <w:r>
        <w:rPr>
          <w:rFonts w:hint="eastAsia" w:ascii="仿宋_GB2312" w:hAnsi="仿宋_GB2312" w:eastAsia="仿宋_GB2312" w:cs="仿宋_GB2312"/>
          <w:color w:val="000000"/>
          <w:sz w:val="32"/>
          <w:szCs w:val="32"/>
          <w:lang w:val="en-US" w:eastAsia="zh-CN"/>
        </w:rPr>
        <w:t>4镇1街道</w:t>
      </w:r>
      <w:r>
        <w:rPr>
          <w:rFonts w:hint="eastAsia" w:ascii="仿宋_GB2312" w:hAnsi="仿宋_GB2312" w:eastAsia="仿宋_GB2312" w:cs="仿宋_GB2312"/>
          <w:b w:val="0"/>
          <w:bCs w:val="0"/>
          <w:color w:val="000000"/>
          <w:sz w:val="32"/>
          <w:szCs w:val="32"/>
          <w:lang w:val="en-US" w:eastAsia="zh-CN"/>
        </w:rPr>
        <w:t>（具体为：</w:t>
      </w:r>
      <w:r>
        <w:rPr>
          <w:rFonts w:hint="eastAsia" w:ascii="仿宋_GB2312" w:hAnsi="仿宋_GB2312" w:eastAsia="仿宋_GB2312" w:cs="仿宋_GB2312"/>
          <w:color w:val="000000"/>
          <w:spacing w:val="0"/>
          <w:sz w:val="32"/>
          <w:szCs w:val="32"/>
          <w:lang w:val="en-US" w:eastAsia="zh-CN"/>
        </w:rPr>
        <w:t>下拨</w:t>
      </w:r>
      <w:r>
        <w:rPr>
          <w:rFonts w:hint="eastAsia" w:ascii="仿宋_GB2312" w:hAnsi="仿宋_GB2312" w:eastAsia="仿宋_GB2312" w:cs="仿宋_GB2312"/>
          <w:color w:val="000000"/>
          <w:sz w:val="32"/>
          <w:szCs w:val="32"/>
          <w:lang w:val="en-US" w:eastAsia="zh-CN"/>
        </w:rPr>
        <w:t>永定街道办651.60元、款庄镇61178元、罗免镇10387.40元、</w:t>
      </w:r>
      <w:r>
        <w:rPr>
          <w:rFonts w:hint="eastAsia" w:ascii="仿宋_GB2312" w:hAnsi="仿宋_GB2312" w:eastAsia="仿宋_GB2312" w:cs="仿宋_GB2312"/>
          <w:color w:val="000000"/>
          <w:sz w:val="32"/>
          <w:szCs w:val="32"/>
        </w:rPr>
        <w:t>东村镇</w:t>
      </w:r>
      <w:r>
        <w:rPr>
          <w:rFonts w:hint="eastAsia" w:ascii="仿宋_GB2312" w:hAnsi="仿宋_GB2312" w:eastAsia="仿宋_GB2312" w:cs="仿宋_GB2312"/>
          <w:color w:val="000000"/>
          <w:sz w:val="32"/>
          <w:szCs w:val="32"/>
          <w:lang w:val="en-US" w:eastAsia="zh-CN"/>
        </w:rPr>
        <w:t>6950.40元、散旦镇832.60元）</w:t>
      </w:r>
      <w:r>
        <w:rPr>
          <w:rFonts w:hint="eastAsia" w:ascii="仿宋_GB2312" w:hAnsi="仿宋_GB2312" w:eastAsia="仿宋_GB2312" w:cs="仿宋_GB2312"/>
          <w:color w:val="000000"/>
          <w:sz w:val="32"/>
          <w:szCs w:val="32"/>
        </w:rPr>
        <w:t>，做好灾区受灾群众冬春期间口粮、饮水、衣被、取暖、医疗等基本生活救助</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color w:val="000000"/>
          <w:sz w:val="32"/>
          <w:szCs w:val="32"/>
        </w:rPr>
        <w:t>及时足额发放冬春救灾资金，确保冬春期间受灾群众基本生活和安全温暖过冬</w:t>
      </w:r>
      <w:r>
        <w:rPr>
          <w:rFonts w:hint="eastAsia" w:ascii="仿宋_GB2312" w:hAnsi="仿宋_GB2312" w:eastAsia="仿宋_GB2312" w:cs="仿宋_GB2312"/>
          <w:i w:val="0"/>
          <w:caps w:val="0"/>
          <w:color w:val="000000"/>
          <w:spacing w:val="0"/>
          <w:sz w:val="32"/>
          <w:szCs w:val="32"/>
          <w:shd w:val="clear" w:color="auto" w:fill="FFFFFF"/>
        </w:rPr>
        <w:t>。</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数据指标。</w:t>
      </w:r>
      <w:r>
        <w:rPr>
          <w:rFonts w:hint="eastAsia" w:ascii="仿宋_GB2312" w:hAnsi="仿宋_GB2312" w:eastAsia="仿宋_GB2312" w:cs="仿宋_GB2312"/>
          <w:i w:val="0"/>
          <w:caps w:val="0"/>
          <w:color w:val="000000"/>
          <w:spacing w:val="0"/>
          <w:sz w:val="32"/>
          <w:szCs w:val="32"/>
          <w:shd w:val="clear" w:color="auto" w:fill="FFFFFF"/>
          <w:lang w:val="en-US" w:eastAsia="zh-CN"/>
        </w:rPr>
        <w:t>2023-2024</w:t>
      </w:r>
      <w:r>
        <w:rPr>
          <w:rFonts w:hint="eastAsia" w:ascii="仿宋_GB2312" w:hAnsi="仿宋_GB2312" w:eastAsia="仿宋_GB2312" w:cs="仿宋_GB2312"/>
          <w:i w:val="0"/>
          <w:caps w:val="0"/>
          <w:color w:val="000000"/>
          <w:spacing w:val="0"/>
          <w:sz w:val="32"/>
          <w:szCs w:val="32"/>
          <w:shd w:val="clear" w:color="auto" w:fill="FFFFFF"/>
        </w:rPr>
        <w:t>年救助冬春期间</w:t>
      </w:r>
      <w:r>
        <w:rPr>
          <w:rFonts w:hint="eastAsia" w:ascii="仿宋_GB2312" w:hAnsi="仿宋_GB2312" w:eastAsia="仿宋_GB2312" w:cs="仿宋_GB2312"/>
          <w:i w:val="0"/>
          <w:caps w:val="0"/>
          <w:color w:val="000000"/>
          <w:spacing w:val="0"/>
          <w:sz w:val="32"/>
          <w:szCs w:val="32"/>
          <w:shd w:val="clear" w:color="auto" w:fill="FFFFFF"/>
          <w:lang w:eastAsia="zh-CN"/>
        </w:rPr>
        <w:t>需救助</w:t>
      </w:r>
      <w:r>
        <w:rPr>
          <w:rFonts w:hint="eastAsia" w:ascii="仿宋_GB2312" w:hAnsi="仿宋_GB2312" w:eastAsia="仿宋_GB2312" w:cs="仿宋_GB2312"/>
          <w:i w:val="0"/>
          <w:caps w:val="0"/>
          <w:color w:val="000000"/>
          <w:spacing w:val="0"/>
          <w:sz w:val="32"/>
          <w:szCs w:val="32"/>
          <w:shd w:val="clear" w:color="auto" w:fill="FFFFFF"/>
        </w:rPr>
        <w:t>受灾群众</w:t>
      </w:r>
      <w:r>
        <w:rPr>
          <w:rFonts w:hint="eastAsia" w:ascii="仿宋_GB2312" w:hAnsi="仿宋_GB2312" w:eastAsia="仿宋_GB2312" w:cs="仿宋_GB2312"/>
          <w:i w:val="0"/>
          <w:caps w:val="0"/>
          <w:color w:val="000000"/>
          <w:spacing w:val="0"/>
          <w:sz w:val="32"/>
          <w:szCs w:val="32"/>
          <w:shd w:val="clear" w:color="auto" w:fill="FFFFFF"/>
          <w:lang w:val="en-US" w:eastAsia="zh-CN"/>
        </w:rPr>
        <w:t>2209</w:t>
      </w:r>
      <w:r>
        <w:rPr>
          <w:rFonts w:hint="eastAsia" w:ascii="仿宋_GB2312" w:hAnsi="仿宋_GB2312" w:eastAsia="仿宋_GB2312" w:cs="仿宋_GB2312"/>
          <w:i w:val="0"/>
          <w:caps w:val="0"/>
          <w:color w:val="000000"/>
          <w:spacing w:val="0"/>
          <w:sz w:val="32"/>
          <w:szCs w:val="32"/>
          <w:shd w:val="clear" w:color="auto" w:fill="FFFFFF"/>
        </w:rPr>
        <w:t>人，年度指标值</w:t>
      </w:r>
      <w:r>
        <w:rPr>
          <w:rFonts w:hint="eastAsia" w:ascii="仿宋_GB2312" w:hAnsi="仿宋_GB2312" w:eastAsia="仿宋_GB2312" w:cs="仿宋_GB2312"/>
          <w:i w:val="0"/>
          <w:caps w:val="0"/>
          <w:color w:val="000000"/>
          <w:spacing w:val="0"/>
          <w:sz w:val="32"/>
          <w:szCs w:val="32"/>
          <w:shd w:val="clear" w:color="auto" w:fill="FFFFFF"/>
          <w:lang w:val="en-US" w:eastAsia="zh-CN"/>
        </w:rPr>
        <w:t>=2209</w:t>
      </w:r>
      <w:r>
        <w:rPr>
          <w:rFonts w:hint="eastAsia" w:ascii="仿宋_GB2312" w:hAnsi="仿宋_GB2312" w:eastAsia="仿宋_GB2312" w:cs="仿宋_GB2312"/>
          <w:i w:val="0"/>
          <w:caps w:val="0"/>
          <w:color w:val="000000"/>
          <w:spacing w:val="0"/>
          <w:sz w:val="32"/>
          <w:szCs w:val="32"/>
          <w:shd w:val="clear" w:color="auto" w:fill="FFFFFF"/>
        </w:rPr>
        <w:t>人，完成率</w:t>
      </w:r>
      <w:r>
        <w:rPr>
          <w:rFonts w:hint="eastAsia" w:ascii="仿宋_GB2312" w:hAnsi="仿宋_GB2312" w:eastAsia="仿宋_GB2312" w:cs="仿宋_GB2312"/>
          <w:i w:val="0"/>
          <w:caps w:val="0"/>
          <w:color w:val="000000"/>
          <w:spacing w:val="0"/>
          <w:sz w:val="32"/>
          <w:szCs w:val="32"/>
          <w:shd w:val="clear" w:color="auto" w:fill="FFFFFF"/>
          <w:lang w:val="en-US" w:eastAsia="zh-CN"/>
        </w:rPr>
        <w:t>100</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质量指标。</w:t>
      </w:r>
      <w:r>
        <w:rPr>
          <w:rFonts w:hint="eastAsia" w:ascii="仿宋_GB2312" w:hAnsi="仿宋_GB2312" w:eastAsia="仿宋_GB2312" w:cs="仿宋_GB2312"/>
          <w:i w:val="0"/>
          <w:caps w:val="0"/>
          <w:color w:val="000000"/>
          <w:spacing w:val="0"/>
          <w:sz w:val="32"/>
          <w:szCs w:val="32"/>
          <w:shd w:val="clear" w:color="auto" w:fill="FFFFFF"/>
          <w:lang w:eastAsia="zh-CN"/>
        </w:rPr>
        <w:t>全县</w:t>
      </w:r>
      <w:r>
        <w:rPr>
          <w:rFonts w:hint="eastAsia" w:ascii="仿宋_GB2312" w:hAnsi="仿宋_GB2312" w:eastAsia="仿宋_GB2312" w:cs="仿宋_GB2312"/>
          <w:i w:val="0"/>
          <w:caps w:val="0"/>
          <w:color w:val="000000"/>
          <w:spacing w:val="0"/>
          <w:sz w:val="32"/>
          <w:szCs w:val="32"/>
          <w:shd w:val="clear" w:color="auto" w:fill="FFFFFF"/>
        </w:rPr>
        <w:t>按照不低于国家</w:t>
      </w:r>
      <w:r>
        <w:rPr>
          <w:rFonts w:hint="eastAsia" w:ascii="仿宋_GB2312" w:hAnsi="仿宋_GB2312" w:eastAsia="仿宋_GB2312" w:cs="仿宋_GB2312"/>
          <w:i w:val="0"/>
          <w:caps w:val="0"/>
          <w:color w:val="000000"/>
          <w:spacing w:val="0"/>
          <w:sz w:val="32"/>
          <w:szCs w:val="32"/>
          <w:shd w:val="clear" w:color="auto" w:fill="FFFFFF"/>
          <w:lang w:eastAsia="zh-CN"/>
        </w:rPr>
        <w:t>、省</w:t>
      </w:r>
      <w:r>
        <w:rPr>
          <w:rFonts w:hint="eastAsia" w:ascii="仿宋_GB2312" w:hAnsi="仿宋_GB2312" w:eastAsia="仿宋_GB2312" w:cs="仿宋_GB2312"/>
          <w:i w:val="0"/>
          <w:caps w:val="0"/>
          <w:color w:val="000000"/>
          <w:spacing w:val="0"/>
          <w:sz w:val="32"/>
          <w:szCs w:val="32"/>
          <w:shd w:val="clear" w:color="auto" w:fill="FFFFFF"/>
        </w:rPr>
        <w:t>救助标准安排下达资金，资金下拨率100%，完成年度目标值</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pPr>
      <w:r>
        <w:rPr>
          <w:rFonts w:hint="eastAsia" w:ascii="仿宋_GB2312" w:hAnsi="仿宋_GB2312" w:eastAsia="仿宋_GB2312" w:cs="仿宋_GB2312"/>
          <w:color w:val="000000"/>
          <w:sz w:val="32"/>
          <w:szCs w:val="32"/>
          <w:lang w:val="en-US" w:eastAsia="zh-CN"/>
        </w:rPr>
        <w:t>时效指标。</w:t>
      </w:r>
      <w:r>
        <w:rPr>
          <w:rFonts w:hint="eastAsia" w:ascii="仿宋_GB2312" w:hAnsi="仿宋_GB2312" w:eastAsia="仿宋_GB2312" w:cs="仿宋_GB2312"/>
          <w:i w:val="0"/>
          <w:caps w:val="0"/>
          <w:color w:val="000000"/>
          <w:spacing w:val="0"/>
          <w:sz w:val="32"/>
          <w:szCs w:val="32"/>
          <w:shd w:val="clear" w:color="auto" w:fill="FFFFFF"/>
        </w:rPr>
        <w:t>按要求在收到</w:t>
      </w:r>
      <w:r>
        <w:rPr>
          <w:rFonts w:hint="eastAsia" w:ascii="仿宋_GB2312" w:hAnsi="仿宋_GB2312" w:eastAsia="仿宋_GB2312" w:cs="仿宋_GB2312"/>
          <w:i w:val="0"/>
          <w:caps w:val="0"/>
          <w:color w:val="000000"/>
          <w:spacing w:val="0"/>
          <w:sz w:val="32"/>
          <w:szCs w:val="32"/>
          <w:shd w:val="clear" w:color="auto" w:fill="FFFFFF"/>
          <w:lang w:eastAsia="zh-CN"/>
        </w:rPr>
        <w:t>资金下达</w:t>
      </w:r>
      <w:r>
        <w:rPr>
          <w:rFonts w:hint="eastAsia" w:ascii="仿宋_GB2312" w:hAnsi="仿宋_GB2312" w:eastAsia="仿宋_GB2312" w:cs="仿宋_GB2312"/>
          <w:i w:val="0"/>
          <w:caps w:val="0"/>
          <w:color w:val="000000"/>
          <w:spacing w:val="0"/>
          <w:sz w:val="32"/>
          <w:szCs w:val="32"/>
          <w:shd w:val="clear" w:color="auto" w:fill="FFFFFF"/>
        </w:rPr>
        <w:t>文件后</w:t>
      </w:r>
      <w:r>
        <w:rPr>
          <w:rFonts w:hint="eastAsia" w:ascii="仿宋_GB2312" w:hAnsi="仿宋_GB2312" w:eastAsia="仿宋_GB2312" w:cs="仿宋_GB2312"/>
          <w:color w:val="000000"/>
          <w:sz w:val="32"/>
          <w:szCs w:val="32"/>
          <w:lang w:val="en-US" w:eastAsia="zh-CN"/>
        </w:rPr>
        <w:t>15天内下拨到各镇（街道），通过“一卡通”发放方式将资金及时发放到受灾群众手中，资金下达率100%。</w:t>
      </w:r>
      <w:r>
        <w:rPr>
          <w:rFonts w:hint="eastAsia" w:ascii="仿宋_GB2312" w:hAnsi="仿宋_GB2312" w:eastAsia="仿宋_GB2312" w:cs="仿宋_GB2312"/>
          <w:i w:val="0"/>
          <w:caps w:val="0"/>
          <w:color w:val="000000"/>
          <w:spacing w:val="0"/>
          <w:sz w:val="32"/>
          <w:szCs w:val="32"/>
          <w:shd w:val="clear" w:color="auto" w:fill="FFFFFF"/>
        </w:rPr>
        <w:t>通过前期准备和周密地组织，组织人员进村入户，逐户排查，全面掌握了冬春期间受灾困难群众的生活情况，摸清了全</w:t>
      </w:r>
      <w:r>
        <w:rPr>
          <w:rFonts w:hint="eastAsia" w:ascii="仿宋_GB2312" w:hAnsi="仿宋_GB2312" w:eastAsia="仿宋_GB2312" w:cs="仿宋_GB2312"/>
          <w:i w:val="0"/>
          <w:caps w:val="0"/>
          <w:color w:val="000000"/>
          <w:spacing w:val="0"/>
          <w:sz w:val="32"/>
          <w:szCs w:val="32"/>
          <w:shd w:val="clear" w:color="auto" w:fill="FFFFFF"/>
          <w:lang w:eastAsia="zh-CN"/>
        </w:rPr>
        <w:t>县</w:t>
      </w:r>
      <w:r>
        <w:rPr>
          <w:rFonts w:hint="eastAsia" w:ascii="仿宋_GB2312" w:hAnsi="仿宋_GB2312" w:eastAsia="仿宋_GB2312" w:cs="仿宋_GB2312"/>
          <w:i w:val="0"/>
          <w:caps w:val="0"/>
          <w:color w:val="000000"/>
          <w:spacing w:val="0"/>
          <w:sz w:val="32"/>
          <w:szCs w:val="32"/>
          <w:shd w:val="clear" w:color="auto" w:fill="FFFFFF"/>
        </w:rPr>
        <w:t>因自然灾害需政府救助的情况，对因灾缺粮群众分类建档，登记造册，切实做到底子清、情况明，增强了冬春救助的针对性和实效性。通过严格责任制度和规范采购发放程序，确保了受灾困难群众得到了及时的基本生活救助。</w:t>
      </w:r>
    </w:p>
    <w:p>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项目效益情况分析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经济指标。</w:t>
      </w:r>
      <w:r>
        <w:rPr>
          <w:rFonts w:hint="eastAsia" w:ascii="仿宋_GB2312" w:hAnsi="仿宋_GB2312" w:eastAsia="仿宋_GB2312" w:cs="仿宋_GB2312"/>
          <w:i w:val="0"/>
          <w:caps w:val="0"/>
          <w:color w:val="000000"/>
          <w:spacing w:val="0"/>
          <w:sz w:val="32"/>
          <w:szCs w:val="32"/>
          <w:shd w:val="clear" w:color="auto" w:fill="FFFFFF"/>
        </w:rPr>
        <w:t>自然灾害</w:t>
      </w:r>
      <w:r>
        <w:rPr>
          <w:rFonts w:hint="eastAsia" w:ascii="仿宋_GB2312" w:hAnsi="仿宋_GB2312" w:eastAsia="仿宋_GB2312" w:cs="仿宋_GB2312"/>
          <w:i w:val="0"/>
          <w:caps w:val="0"/>
          <w:color w:val="000000"/>
          <w:spacing w:val="0"/>
          <w:sz w:val="32"/>
          <w:szCs w:val="32"/>
          <w:shd w:val="clear" w:color="auto" w:fill="FFFFFF"/>
          <w:lang w:eastAsia="zh-CN"/>
        </w:rPr>
        <w:t>救灾资金及时下拨、</w:t>
      </w:r>
      <w:r>
        <w:rPr>
          <w:rFonts w:hint="eastAsia" w:ascii="仿宋_GB2312" w:hAnsi="仿宋_GB2312" w:eastAsia="仿宋_GB2312" w:cs="仿宋_GB2312"/>
          <w:i w:val="0"/>
          <w:caps w:val="0"/>
          <w:color w:val="000000"/>
          <w:spacing w:val="0"/>
          <w:sz w:val="32"/>
          <w:szCs w:val="32"/>
          <w:shd w:val="clear" w:color="auto" w:fill="FFFFFF"/>
        </w:rPr>
        <w:t>物资调运保障能力完成年度目标值。</w:t>
      </w:r>
      <w:r>
        <w:rPr>
          <w:rFonts w:hint="eastAsia" w:ascii="仿宋_GB2312" w:hAnsi="仿宋_GB2312" w:eastAsia="仿宋_GB2312" w:cs="仿宋_GB2312"/>
          <w:color w:val="000000"/>
          <w:sz w:val="32"/>
          <w:szCs w:val="32"/>
          <w:lang w:eastAsia="zh-CN"/>
        </w:rPr>
        <w:t>保障</w:t>
      </w:r>
      <w:r>
        <w:rPr>
          <w:rFonts w:hint="eastAsia" w:ascii="仿宋_GB2312" w:hAnsi="仿宋_GB2312" w:eastAsia="仿宋_GB2312" w:cs="仿宋_GB2312"/>
          <w:color w:val="000000"/>
          <w:sz w:val="32"/>
          <w:szCs w:val="32"/>
        </w:rPr>
        <w:t>受灾群众</w:t>
      </w:r>
      <w:r>
        <w:rPr>
          <w:rFonts w:hint="eastAsia" w:ascii="仿宋_GB2312" w:hAnsi="仿宋_GB2312" w:eastAsia="仿宋_GB2312" w:cs="仿宋_GB2312"/>
          <w:color w:val="000000"/>
          <w:sz w:val="32"/>
          <w:szCs w:val="32"/>
          <w:lang w:eastAsia="zh-CN"/>
        </w:rPr>
        <w:t>基本</w:t>
      </w:r>
      <w:r>
        <w:rPr>
          <w:rFonts w:hint="eastAsia" w:ascii="仿宋_GB2312" w:hAnsi="仿宋_GB2312" w:eastAsia="仿宋_GB2312" w:cs="仿宋_GB2312"/>
          <w:color w:val="000000"/>
          <w:sz w:val="32"/>
          <w:szCs w:val="32"/>
        </w:rPr>
        <w:t>生活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推动了经济社会发展</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社会指标。</w:t>
      </w:r>
      <w:r>
        <w:rPr>
          <w:rFonts w:hint="eastAsia" w:ascii="仿宋_GB2312" w:hAnsi="仿宋_GB2312" w:eastAsia="仿宋_GB2312" w:cs="仿宋_GB2312"/>
          <w:i w:val="0"/>
          <w:caps w:val="0"/>
          <w:color w:val="000000"/>
          <w:spacing w:val="0"/>
          <w:sz w:val="32"/>
          <w:szCs w:val="32"/>
          <w:shd w:val="clear" w:color="auto" w:fill="FFFFFF"/>
        </w:rPr>
        <w:t>冬春救助等工作，有效保障了受灾群众基本生活，一定程度上缓解了“因灾致贫、因灾返贫”现象，采取各项措施，确保了冬春受灾困难群众救助工作落到了实处，实现了需政府救助的受灾困难群众全覆盖，确保了冬春期间受灾困难群众生活正常有序地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群众满意度：通过实地走访、问卷调查，救助对象对资金发放、救助政策落实满意度达90%以上，得到群众广泛认可。</w:t>
      </w:r>
    </w:p>
    <w:p>
      <w:pPr>
        <w:numPr>
          <w:ilvl w:val="0"/>
          <w:numId w:val="3"/>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主要经验及做法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精准摸排，严把救助对象准入关。组织乡镇、村社工作人员逐户排查受灾困难群众、低保户、特困人员等重点群体，严格执行个人申请、村级评议、乡镇审核、县级审批的工作流程，全程公开公示，主动接受群众监督，确保救助对象精准、公平公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是规范管理，严守资金使用底线。严格落实专项资金管理规定，实行专款专用、专账核算，明确资金使用范围和发放标准，杜绝截留、挤占、挪用等违规行为。健全资金管理制度，细化工作流程，强化责任落实，保障资金运行规范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三是高效拨付，确保资金及时到位。简化资金审批发放环节，通过“一卡通”直接将救助资金足额发放到群众手中，加快资金拨付速度，确保救助资金及时、精准直达困难群众，切实解决群众冬春生活燃眉之急。</w:t>
      </w:r>
    </w:p>
    <w:p>
      <w:pPr>
        <w:rPr>
          <w:rFonts w:hint="default"/>
          <w:lang w:val="en-US" w:eastAsia="zh-CN"/>
        </w:rPr>
      </w:pPr>
    </w:p>
    <w:p>
      <w:pPr>
        <w:numPr>
          <w:ilvl w:val="0"/>
          <w:numId w:val="3"/>
        </w:numPr>
        <w:spacing w:line="600" w:lineRule="exact"/>
        <w:ind w:left="263" w:leftChars="125"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存在的问题及原因分析</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（一）绩效指标管理不够精细。部分绩效指标设置偏笼</w:t>
      </w:r>
      <w:bookmarkStart w:id="0" w:name="_GoBack"/>
      <w:bookmarkEnd w:id="0"/>
      <w:r>
        <w:rPr>
          <w:rFonts w:hint="eastAsia" w:ascii="仿宋_GB2312" w:hAnsi="仿宋_GB2312" w:eastAsia="仿宋_GB2312" w:cs="仿宋_GB2312"/>
          <w:b w:val="0"/>
          <w:bCs w:val="0"/>
          <w:color w:val="000000"/>
          <w:kern w:val="2"/>
          <w:sz w:val="32"/>
          <w:szCs w:val="32"/>
          <w:lang w:val="en-US" w:eastAsia="zh-CN" w:bidi="ar-SA"/>
        </w:rPr>
        <w:t>统，量化程度不足，与基层救助工作实际结合不够紧密；</w:t>
      </w:r>
      <w:r>
        <w:rPr>
          <w:rFonts w:hint="eastAsia" w:ascii="仿宋_GB2312" w:hAnsi="仿宋_GB2312" w:eastAsia="仿宋_GB2312" w:cs="仿宋_GB2312"/>
          <w:sz w:val="32"/>
          <w:szCs w:val="32"/>
          <w:lang w:val="en-US" w:eastAsia="zh-CN"/>
        </w:rPr>
        <w:t>绩效运行跟踪监控不够常态化，对救助工作全过程的绩</w:t>
      </w:r>
      <w:r>
        <w:rPr>
          <w:rFonts w:hint="eastAsia" w:ascii="仿宋_GB2312" w:hAnsi="仿宋_GB2312" w:eastAsia="仿宋_GB2312" w:cs="仿宋_GB2312"/>
          <w:b w:val="0"/>
          <w:bCs w:val="0"/>
          <w:color w:val="000000"/>
          <w:kern w:val="2"/>
          <w:sz w:val="32"/>
          <w:szCs w:val="32"/>
          <w:lang w:val="en-US" w:eastAsia="zh-CN" w:bidi="ar-SA"/>
        </w:rPr>
        <w:t>效把控有待加强。</w:t>
      </w:r>
    </w:p>
    <w:p>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（二）救助对象动态管理有待完善。少数救助对象信息更新不及时，家庭经济状况、困难程度变化后未及时调整救助标准，存在动态管理滞后的情况；基层排查力量薄弱，部分偏远地区困难群众摸排存在盲区。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下一步我单位将结合冬春救助工作实际，细化量化绩效指标，增强指标针对性、可操作性；建立常态化绩效运行监控机制，全程跟踪资金使用、项目推进情况，及时纠偏纠错，提升绩效管理水平。健全基层排查摸排机制，充实基层工作力量，实现困难群众常态化排查、动态化管理；及时更新救助对象信息，精准调整救助标准，切实做到应救尽救、应退则退。</w:t>
      </w:r>
    </w:p>
    <w:p>
      <w:pPr>
        <w:numPr>
          <w:ilvl w:val="0"/>
          <w:numId w:val="0"/>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有关建议</w:t>
      </w:r>
    </w:p>
    <w:p>
      <w:pPr>
        <w:numPr>
          <w:ilvl w:val="0"/>
          <w:numId w:val="0"/>
        </w:numPr>
        <w:spacing w:line="520" w:lineRule="exact"/>
        <w:ind w:leftChars="325"/>
        <w:rPr>
          <w:rFonts w:ascii="黑体" w:hAnsi="黑体" w:eastAsia="黑体" w:cs="黑体"/>
          <w:sz w:val="32"/>
          <w:szCs w:val="32"/>
        </w:rPr>
      </w:pPr>
      <w:r>
        <w:rPr>
          <w:rFonts w:hint="eastAsia" w:ascii="Times New Roman" w:hAnsi="Times New Roman" w:eastAsia="仿宋_GB2312" w:cs="Times New Roman"/>
          <w:sz w:val="32"/>
          <w:szCs w:val="32"/>
          <w:lang w:val="en-US" w:eastAsia="zh-CN"/>
        </w:rPr>
        <w:t>无</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widowControl/>
        <w:ind w:firstLine="640" w:firstLineChars="200"/>
        <w:jc w:val="left"/>
        <w:rPr>
          <w:rFonts w:hint="eastAsia" w:ascii="仿宋_GB2312" w:eastAsia="仿宋_GB2312"/>
          <w:sz w:val="32"/>
          <w:szCs w:val="32"/>
          <w:lang w:eastAsia="zh-CN"/>
        </w:rPr>
      </w:pPr>
      <w:r>
        <w:rPr>
          <w:rFonts w:hint="eastAsia" w:ascii="Times New Roman" w:hAnsi="Times New Roman" w:eastAsia="仿宋_GB2312"/>
          <w:sz w:val="32"/>
          <w:szCs w:val="32"/>
          <w:lang w:val="en-US" w:eastAsia="zh-CN"/>
        </w:rPr>
        <w:t>无</w:t>
      </w:r>
    </w:p>
    <w:p>
      <w:pPr>
        <w:widowControl/>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9CFBD"/>
    <w:multiLevelType w:val="singleLevel"/>
    <w:tmpl w:val="BE89CFBD"/>
    <w:lvl w:ilvl="0" w:tentative="0">
      <w:start w:val="2"/>
      <w:numFmt w:val="chineseCounting"/>
      <w:suff w:val="nothing"/>
      <w:lvlText w:val="（%1）"/>
      <w:lvlJc w:val="left"/>
      <w:rPr>
        <w:rFonts w:hint="eastAsia"/>
      </w:rPr>
    </w:lvl>
  </w:abstractNum>
  <w:abstractNum w:abstractNumId="1">
    <w:nsid w:val="C83E99C4"/>
    <w:multiLevelType w:val="singleLevel"/>
    <w:tmpl w:val="C83E99C4"/>
    <w:lvl w:ilvl="0" w:tentative="0">
      <w:start w:val="2"/>
      <w:numFmt w:val="chineseCounting"/>
      <w:suff w:val="nothing"/>
      <w:lvlText w:val="（%1）"/>
      <w:lvlJc w:val="left"/>
      <w:rPr>
        <w:rFonts w:hint="eastAsia"/>
      </w:rPr>
    </w:lvl>
  </w:abstractNum>
  <w:abstractNum w:abstractNumId="2">
    <w:nsid w:val="0D4E7964"/>
    <w:multiLevelType w:val="singleLevel"/>
    <w:tmpl w:val="0D4E7964"/>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0EE769BF"/>
    <w:rsid w:val="12927D71"/>
    <w:rsid w:val="1D0071E9"/>
    <w:rsid w:val="1D7963F4"/>
    <w:rsid w:val="24DD0715"/>
    <w:rsid w:val="2BDF4178"/>
    <w:rsid w:val="41091791"/>
    <w:rsid w:val="47985B5E"/>
    <w:rsid w:val="58BB22D3"/>
    <w:rsid w:val="69E05E8C"/>
    <w:rsid w:val="6D1E5D85"/>
    <w:rsid w:val="6D9873CD"/>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6</Pages>
  <Words>386</Words>
  <Characters>386</Characters>
  <Lines>2</Lines>
  <Paragraphs>1</Paragraphs>
  <TotalTime>37</TotalTime>
  <ScaleCrop>false</ScaleCrop>
  <LinksUpToDate>false</LinksUpToDate>
  <CharactersWithSpaces>386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2026-04-21T01:49:47Z</cp:lastPrinted>
  <dcterms:modified xsi:type="dcterms:W3CDTF">2026-04-21T02:19:41Z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eyJoZGlkIjoiMTRmY2M2MzYzNDJlNWYwMGYyYWRkNzE3YzUyZjQ2MjMiLCJ1c2VySWQiOiIxNjgxODM0MDY1In0=</vt:lpwstr>
  </property>
  <property fmtid="{D5CDD505-2E9C-101B-9397-08002B2CF9AE}" pid="4" name="ICV">
    <vt:lpwstr>7D43B3B899CE4EF2841BF24C1220687F_12</vt:lpwstr>
  </property>
</Properties>
</file>