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中国共产主义青年团富民县委员会</w:t>
      </w:r>
    </w:p>
    <w:p>
      <w:pPr>
        <w:keepNext w:val="0"/>
        <w:keepLines w:val="0"/>
        <w:pageBreakBefore w:val="0"/>
        <w:kinsoku/>
        <w:wordWrap/>
        <w:overflowPunct/>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项目支出绩效评价报告</w:t>
      </w:r>
    </w:p>
    <w:p>
      <w:pPr>
        <w:keepNext w:val="0"/>
        <w:keepLines w:val="0"/>
        <w:pageBreakBefore w:val="0"/>
        <w:kinsoku/>
        <w:wordWrap/>
        <w:overflowPunct/>
        <w:autoSpaceDE/>
        <w:autoSpaceDN/>
        <w:bidi w:val="0"/>
        <w:adjustRightInd/>
        <w:snapToGrid/>
        <w:spacing w:line="560" w:lineRule="exact"/>
        <w:ind w:left="0" w:leftChars="0" w:firstLine="640" w:firstLineChars="200"/>
        <w:jc w:val="both"/>
        <w:textAlignment w:val="auto"/>
        <w:rPr>
          <w:rFonts w:ascii="黑体" w:hAnsi="黑体" w:eastAsia="黑体" w:cs="黑体"/>
          <w:sz w:val="32"/>
          <w:szCs w:val="32"/>
        </w:rPr>
      </w:pPr>
    </w:p>
    <w:p>
      <w:pPr>
        <w:keepNext w:val="0"/>
        <w:keepLines w:val="0"/>
        <w:pageBreakBefore w:val="0"/>
        <w:numPr>
          <w:ilvl w:val="0"/>
          <w:numId w:val="1"/>
        </w:numPr>
        <w:kinsoku/>
        <w:wordWrap/>
        <w:overflowPunct/>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基本情况</w:t>
      </w:r>
    </w:p>
    <w:p>
      <w:pPr>
        <w:keepNext w:val="0"/>
        <w:keepLines w:val="0"/>
        <w:pageBreakBefore w:val="0"/>
        <w:widowControl w:val="0"/>
        <w:numPr>
          <w:ilvl w:val="0"/>
          <w:numId w:val="0"/>
        </w:numPr>
        <w:kinsoku/>
        <w:wordWrap/>
        <w:overflowPunct/>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sz w:val="32"/>
          <w:szCs w:val="32"/>
          <w:lang w:eastAsia="zh-CN"/>
        </w:rPr>
      </w:pPr>
      <w:r>
        <w:rPr>
          <w:rFonts w:hint="eastAsia" w:ascii="楷体_GB2312" w:hAnsi="楷体_GB2312" w:eastAsia="楷体_GB2312" w:cs="楷体_GB2312"/>
          <w:sz w:val="32"/>
          <w:szCs w:val="32"/>
        </w:rPr>
        <w:t>（一）项目概况</w:t>
      </w:r>
    </w:p>
    <w:p>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1.项目背景</w:t>
      </w:r>
    </w:p>
    <w:p>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大学生志愿服务西部计划是团中央、教育部根据国务院常务会议、《国务院办公厅关于做好2003年普通高等学校毕业生就业工作通知》和2003年全国高校毕业生就业工作电视电话会议精神的要求而实施的，财政部、人社部给予相关政策、资金支持。该项计划从2003年开始实施，按照公开招募、自愿报名、组织选拔、集中派遣的方式，每年招募一定数量的普通高等学校应届毕业生或在读研究生，到西部基层开展为期1-3年的教育、卫生、农技、扶贫等志愿服务。</w:t>
      </w:r>
    </w:p>
    <w:p>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2.主要内容及实施情况</w:t>
      </w:r>
    </w:p>
    <w:p>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我县为积极响应共青团中央、教育局、财政局、社会资源保障部共同实施的关于大学生志愿服务西部计划（简称西部计划）的通知，促进了我县教育、卫生、农技、扶贫等社会事业的发展，拓展大学生就业、创业渠道，培养和造就一大批既有现代科学文化知识、又有基层工作经验和强烈社会责任感的优秀青年人才，弘扬</w:t>
      </w:r>
      <w:r>
        <w:rPr>
          <w:rFonts w:hint="eastAsia" w:ascii="仿宋_GB2312" w:hAnsi="仿宋_GB2312" w:eastAsia="仿宋_GB2312" w:cs="仿宋_GB2312"/>
          <w:b w:val="0"/>
          <w:bCs/>
          <w:sz w:val="32"/>
          <w:szCs w:val="32"/>
          <w:lang w:val="en-US" w:eastAsia="zh-CN"/>
        </w:rPr>
        <w:t>“奉献、友爱、互助、进步”</w:t>
      </w:r>
      <w:r>
        <w:rPr>
          <w:rFonts w:hint="default" w:ascii="Times New Roman" w:hAnsi="Times New Roman" w:eastAsia="仿宋_GB2312" w:cs="Times New Roman"/>
          <w:b w:val="0"/>
          <w:bCs/>
          <w:sz w:val="32"/>
          <w:szCs w:val="32"/>
          <w:lang w:val="en-US" w:eastAsia="zh-CN"/>
        </w:rPr>
        <w:t>的志愿精神，推动经济社会持续快速健康发展。</w:t>
      </w:r>
    </w:p>
    <w:p>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3.资金投入和使用情况</w:t>
      </w:r>
    </w:p>
    <w:p>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对志愿者按照每人每年3万元的标准进行补助，补助经费用于志愿者工作生活补贴、社会保险、商业保险（地方项目商业保险由省级承担）等。按照扣除社会保险等费用后志愿者实际领取的补贴标准不低于原有补贴水平的原则，每人每月工作生活补贴不低于2800元。全国项目由中央财政保障，省级地方项目由省、州（市）、县（市、区）三级财政按照各三分之一的比例承担。</w:t>
      </w:r>
    </w:p>
    <w:p>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2025</w:t>
      </w:r>
      <w:r>
        <w:rPr>
          <w:rFonts w:hint="default" w:ascii="Times New Roman" w:hAnsi="Times New Roman" w:eastAsia="仿宋_GB2312" w:cs="Times New Roman"/>
          <w:b w:val="0"/>
          <w:bCs/>
          <w:color w:val="auto"/>
          <w:sz w:val="32"/>
          <w:szCs w:val="32"/>
          <w:lang w:val="en-US" w:eastAsia="zh-CN"/>
        </w:rPr>
        <w:t>年累计收到省、市、县三级财政资金共</w:t>
      </w:r>
      <w:r>
        <w:rPr>
          <w:rFonts w:hint="eastAsia" w:ascii="Times New Roman" w:hAnsi="Times New Roman" w:eastAsia="仿宋_GB2312" w:cs="Times New Roman"/>
          <w:b w:val="0"/>
          <w:bCs/>
          <w:color w:val="auto"/>
          <w:sz w:val="32"/>
          <w:szCs w:val="32"/>
          <w:lang w:val="en-US" w:eastAsia="zh-CN"/>
        </w:rPr>
        <w:t>40.83</w:t>
      </w:r>
      <w:r>
        <w:rPr>
          <w:rFonts w:hint="default" w:ascii="Times New Roman" w:hAnsi="Times New Roman" w:eastAsia="仿宋_GB2312" w:cs="Times New Roman"/>
          <w:b w:val="0"/>
          <w:bCs/>
          <w:color w:val="auto"/>
          <w:sz w:val="32"/>
          <w:szCs w:val="32"/>
          <w:lang w:val="en-US" w:eastAsia="zh-CN"/>
        </w:rPr>
        <w:t>万元（其中省级8</w:t>
      </w:r>
      <w:r>
        <w:rPr>
          <w:rFonts w:hint="eastAsia" w:ascii="Times New Roman" w:hAnsi="Times New Roman" w:eastAsia="仿宋_GB2312" w:cs="Times New Roman"/>
          <w:b w:val="0"/>
          <w:bCs/>
          <w:color w:val="auto"/>
          <w:sz w:val="32"/>
          <w:szCs w:val="32"/>
          <w:lang w:val="en-US" w:eastAsia="zh-CN"/>
        </w:rPr>
        <w:t>.75</w:t>
      </w:r>
      <w:r>
        <w:rPr>
          <w:rFonts w:hint="default" w:ascii="Times New Roman" w:hAnsi="Times New Roman" w:eastAsia="仿宋_GB2312" w:cs="Times New Roman"/>
          <w:b w:val="0"/>
          <w:bCs/>
          <w:color w:val="auto"/>
          <w:sz w:val="32"/>
          <w:szCs w:val="32"/>
          <w:lang w:val="en-US" w:eastAsia="zh-CN"/>
        </w:rPr>
        <w:t>万元，市级</w:t>
      </w:r>
      <w:r>
        <w:rPr>
          <w:rFonts w:hint="eastAsia" w:ascii="Times New Roman" w:hAnsi="Times New Roman" w:eastAsia="仿宋_GB2312" w:cs="Times New Roman"/>
          <w:b w:val="0"/>
          <w:bCs/>
          <w:color w:val="auto"/>
          <w:sz w:val="32"/>
          <w:szCs w:val="32"/>
          <w:lang w:val="en-US" w:eastAsia="zh-CN"/>
        </w:rPr>
        <w:t>10.87</w:t>
      </w:r>
      <w:r>
        <w:rPr>
          <w:rFonts w:hint="default" w:ascii="Times New Roman" w:hAnsi="Times New Roman" w:eastAsia="仿宋_GB2312" w:cs="Times New Roman"/>
          <w:b w:val="0"/>
          <w:bCs/>
          <w:color w:val="auto"/>
          <w:sz w:val="32"/>
          <w:szCs w:val="32"/>
          <w:lang w:val="en-US" w:eastAsia="zh-CN"/>
        </w:rPr>
        <w:t>万元，县级</w:t>
      </w:r>
      <w:r>
        <w:rPr>
          <w:rFonts w:hint="eastAsia" w:ascii="Times New Roman" w:hAnsi="Times New Roman" w:eastAsia="仿宋_GB2312" w:cs="Times New Roman"/>
          <w:b w:val="0"/>
          <w:bCs/>
          <w:color w:val="auto"/>
          <w:sz w:val="32"/>
          <w:szCs w:val="32"/>
          <w:lang w:val="en-US" w:eastAsia="zh-CN"/>
        </w:rPr>
        <w:t>21.21</w:t>
      </w:r>
      <w:r>
        <w:rPr>
          <w:rFonts w:hint="default" w:ascii="Times New Roman" w:hAnsi="Times New Roman" w:eastAsia="仿宋_GB2312" w:cs="Times New Roman"/>
          <w:b w:val="0"/>
          <w:bCs/>
          <w:color w:val="auto"/>
          <w:sz w:val="32"/>
          <w:szCs w:val="32"/>
          <w:lang w:val="en-US" w:eastAsia="zh-CN"/>
        </w:rPr>
        <w:t>万元），截止202</w:t>
      </w:r>
      <w:r>
        <w:rPr>
          <w:rFonts w:hint="eastAsia"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lang w:val="en-US" w:eastAsia="zh-CN"/>
        </w:rPr>
        <w:t>年12月有</w:t>
      </w:r>
      <w:r>
        <w:rPr>
          <w:rFonts w:hint="eastAsia"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lang w:val="en-US" w:eastAsia="zh-CN"/>
        </w:rPr>
        <w:t>名大学生西部计划志愿者，志愿者的补贴及社保已按要求足额发放和购买。</w:t>
      </w:r>
    </w:p>
    <w:p>
      <w:pPr>
        <w:keepNext w:val="0"/>
        <w:keepLines w:val="0"/>
        <w:pageBreakBefore w:val="0"/>
        <w:numPr>
          <w:ilvl w:val="0"/>
          <w:numId w:val="0"/>
        </w:numPr>
        <w:kinsoku/>
        <w:wordWrap/>
        <w:overflowPunct/>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（二）</w:t>
      </w:r>
      <w:r>
        <w:rPr>
          <w:rFonts w:hint="eastAsia" w:ascii="楷体_GB2312" w:hAnsi="楷体_GB2312" w:eastAsia="楷体_GB2312" w:cs="楷体_GB2312"/>
          <w:b w:val="0"/>
          <w:bCs/>
          <w:sz w:val="32"/>
          <w:szCs w:val="32"/>
        </w:rPr>
        <w:t>项目绩效目标</w:t>
      </w:r>
    </w:p>
    <w:p>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1.总</w:t>
      </w:r>
      <w:r>
        <w:rPr>
          <w:rFonts w:hint="eastAsia" w:ascii="Times New Roman" w:hAnsi="Times New Roman" w:eastAsia="仿宋_GB2312" w:cs="Times New Roman"/>
          <w:b w:val="0"/>
          <w:bCs/>
          <w:sz w:val="32"/>
          <w:szCs w:val="32"/>
          <w:lang w:val="en-US" w:eastAsia="zh-CN"/>
        </w:rPr>
        <w:t>体</w:t>
      </w:r>
      <w:r>
        <w:rPr>
          <w:rFonts w:hint="default" w:ascii="Times New Roman" w:hAnsi="Times New Roman" w:eastAsia="仿宋_GB2312" w:cs="Times New Roman"/>
          <w:b w:val="0"/>
          <w:bCs/>
          <w:sz w:val="32"/>
          <w:szCs w:val="32"/>
          <w:lang w:val="en-US" w:eastAsia="zh-CN"/>
        </w:rPr>
        <w:t>目标</w:t>
      </w:r>
    </w:p>
    <w:p>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引导和鼓励高校毕业生服务基层，使一大批优秀志愿者通过西部计划扎根西部，扎根基层，扎根民族地区和艰苦地区，助力脱贫攻坚，为促进昆明经济社会发展做出积极贡献，发挥党、团志愿者模范带头作用，推进大学生志愿服务</w:t>
      </w:r>
      <w:bookmarkStart w:id="0" w:name="_GoBack"/>
      <w:bookmarkEnd w:id="0"/>
      <w:r>
        <w:rPr>
          <w:rFonts w:hint="eastAsia" w:ascii="Times New Roman" w:hAnsi="Times New Roman" w:eastAsia="仿宋_GB2312" w:cs="Times New Roman"/>
          <w:b w:val="0"/>
          <w:bCs/>
          <w:sz w:val="32"/>
          <w:szCs w:val="32"/>
          <w:lang w:val="en-US" w:eastAsia="zh-CN"/>
        </w:rPr>
        <w:t>西部计划项目的顺利实施，确保志愿者及时足额领取生活补助。</w:t>
      </w:r>
    </w:p>
    <w:p>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2.阶段性目标</w:t>
      </w:r>
    </w:p>
    <w:p>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团县委做好地方项目的志愿者招募、配岗、培训、补录、岗位调整、日常管理等工作。202</w:t>
      </w:r>
      <w:r>
        <w:rPr>
          <w:rFonts w:hint="eastAsia" w:ascii="Times New Roman" w:hAnsi="Times New Roman" w:eastAsia="仿宋_GB2312" w:cs="Times New Roman"/>
          <w:b w:val="0"/>
          <w:bCs/>
          <w:sz w:val="32"/>
          <w:szCs w:val="32"/>
          <w:lang w:val="en-US" w:eastAsia="zh-CN"/>
        </w:rPr>
        <w:t>5</w:t>
      </w:r>
      <w:r>
        <w:rPr>
          <w:rFonts w:hint="default" w:ascii="Times New Roman" w:hAnsi="Times New Roman" w:eastAsia="仿宋_GB2312" w:cs="Times New Roman"/>
          <w:b w:val="0"/>
          <w:bCs/>
          <w:sz w:val="32"/>
          <w:szCs w:val="32"/>
          <w:lang w:val="en-US" w:eastAsia="zh-CN"/>
        </w:rPr>
        <w:t>年，富民县大学生志愿服务西部计划地方项目志愿者人数为</w:t>
      </w:r>
      <w:r>
        <w:rPr>
          <w:rFonts w:hint="eastAsia" w:ascii="Times New Roman" w:hAnsi="Times New Roman" w:eastAsia="仿宋_GB2312" w:cs="Times New Roman"/>
          <w:b w:val="0"/>
          <w:bCs/>
          <w:sz w:val="32"/>
          <w:szCs w:val="32"/>
          <w:lang w:val="en-US" w:eastAsia="zh-CN"/>
        </w:rPr>
        <w:t>10</w:t>
      </w:r>
      <w:r>
        <w:rPr>
          <w:rFonts w:hint="default" w:ascii="Times New Roman" w:hAnsi="Times New Roman" w:eastAsia="仿宋_GB2312" w:cs="Times New Roman"/>
          <w:b w:val="0"/>
          <w:bCs/>
          <w:sz w:val="32"/>
          <w:szCs w:val="32"/>
          <w:lang w:val="en-US" w:eastAsia="zh-CN"/>
        </w:rPr>
        <w:t>人，分别到基层乡镇从事为期1-3年的乡村教育、服务乡村建设、乡村社会治理等志愿服务工作。</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lang w:eastAsia="zh-CN"/>
        </w:rPr>
        <w:t>（三）</w:t>
      </w:r>
      <w:r>
        <w:rPr>
          <w:rFonts w:hint="eastAsia" w:ascii="楷体_GB2312" w:hAnsi="楷体_GB2312" w:eastAsia="楷体_GB2312" w:cs="楷体_GB2312"/>
          <w:b w:val="0"/>
          <w:bCs/>
          <w:color w:val="auto"/>
          <w:sz w:val="32"/>
          <w:szCs w:val="32"/>
        </w:rPr>
        <w:t>项目组织管理情况</w:t>
      </w:r>
    </w:p>
    <w:p>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团县委统筹协调，负责招募选拔、岗位分配和督导评估；用人单位提供岗位、日常管理及保障志愿者工作生活条件；志愿者需履行服务协议并接受考核。管理流程涵盖需求征集—招募培训—派遣上岗—在岗督导—考核评优—离岗交接等环节，形成闭环管理。组织实施以“公开公平、择优选拔”为原则，通过宣传动员、资格审查、面试体检等程序确保招募质量，并配套岗前培训、定期走访和动态调整机制。制度建设方面，</w:t>
      </w:r>
      <w:r>
        <w:rPr>
          <w:rFonts w:hint="default" w:ascii="Times New Roman" w:hAnsi="Times New Roman" w:eastAsia="仿宋_GB2312" w:cs="Times New Roman"/>
          <w:b w:val="0"/>
          <w:bCs/>
          <w:sz w:val="32"/>
          <w:szCs w:val="32"/>
          <w:lang w:val="en-US" w:eastAsia="zh-CN"/>
        </w:rPr>
        <w:t>结合实际完善《富民县大学生西部计划志愿者日常管理办法》《富民县大学生西部计划志愿者安全、健康管理制度》和《富民县大学生西部计划志愿者考核办法》等相关制度，促进志愿者服务规范化、制度化，明确项目办、服务单位、志愿者三方责任、</w:t>
      </w:r>
      <w:r>
        <w:rPr>
          <w:rFonts w:hint="eastAsia" w:ascii="Times New Roman" w:hAnsi="Times New Roman" w:eastAsia="仿宋_GB2312" w:cs="Times New Roman"/>
          <w:b w:val="0"/>
          <w:bCs/>
          <w:sz w:val="32"/>
          <w:szCs w:val="32"/>
          <w:lang w:val="en-US" w:eastAsia="zh-CN"/>
        </w:rPr>
        <w:t>落实资金监管，确保项目规范化、制度化运行。</w:t>
      </w:r>
    </w:p>
    <w:p>
      <w:pPr>
        <w:keepNext w:val="0"/>
        <w:keepLines w:val="0"/>
        <w:pageBreakBefore w:val="0"/>
        <w:kinsoku/>
        <w:wordWrap/>
        <w:overflowPunct/>
        <w:autoSpaceDE/>
        <w:autoSpaceDN/>
        <w:bidi w:val="0"/>
        <w:adjustRightInd/>
        <w:snapToGrid/>
        <w:spacing w:line="560"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二、绩效评价工作开展情况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（一）绩效评价目的、对象和范围</w:t>
      </w:r>
    </w:p>
    <w:p>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团县委严格按照财政部门的要求做好资金预算编制和执行管理，坚持“收支两条线”收支管理规定，认真抓好资金拨付工作。在项目实施过程中，高度重视资金的管理使用，进一步加强对财政资金的管理，严肃财经纪律。推进大学生志愿者服务西部计划项目的顺利实施，确保志愿者及时足额领取生活补助。</w:t>
      </w:r>
    </w:p>
    <w:p>
      <w:pPr>
        <w:keepNext w:val="0"/>
        <w:keepLines w:val="0"/>
        <w:pageBreakBefore w:val="0"/>
        <w:kinsoku/>
        <w:wordWrap/>
        <w:overflowPunct/>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（二）绩效评价原则、依据、评价指标体系（附表说明）、评价方法、评价标准、评价标准、评价抽样等</w:t>
      </w:r>
    </w:p>
    <w:p>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1.绩效评价原则</w:t>
      </w:r>
    </w:p>
    <w:p>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团县委项目绩效目标是围绕部门的主要职责、职能定位，开展实施绩效目标评价。同时，认真做好财务公开工作，经费开支做到公开透明、科学规范，自觉接受群众的监督和审查。为完成绩效目标，团县委领导高度重视，认真抓好各项内部管理制度建设，制定了《共青团富民县委财务管理制度》、《共青团富民县委“三重一大”决策制度》等相关管理制度，进一步规范了财务管理工作。</w:t>
      </w:r>
    </w:p>
    <w:p>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2.绩效评价方法</w:t>
      </w:r>
    </w:p>
    <w:p>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团县委班子成员组成评价工作领导小组，本着公开透明、公平公正的原则，负责组织实施相关项目资金绩效评价的具体工作。领导小组在做好前期调研工作、收集查阅与评价项目有关政策的基础上，坚持以绩效考核的各项文件精神为指导，以项目绩效支出为内容，对各项支出的质量指标，数量指标，对指标内容进行一一的评价考核打分，取得一定的经济、社会和环境效益。</w:t>
      </w:r>
    </w:p>
    <w:p>
      <w:pPr>
        <w:keepNext w:val="0"/>
        <w:keepLines w:val="0"/>
        <w:pageBreakBefore w:val="0"/>
        <w:numPr>
          <w:ilvl w:val="0"/>
          <w:numId w:val="0"/>
        </w:numPr>
        <w:kinsoku/>
        <w:wordWrap/>
        <w:overflowPunct/>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绩效评价工作流程</w:t>
      </w:r>
    </w:p>
    <w:p>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1</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前期准备。</w:t>
      </w:r>
      <w:r>
        <w:rPr>
          <w:rFonts w:hint="eastAsia" w:ascii="Times New Roman" w:hAnsi="Times New Roman" w:eastAsia="仿宋_GB2312" w:cs="Times New Roman"/>
          <w:b w:val="0"/>
          <w:bCs/>
          <w:sz w:val="32"/>
          <w:szCs w:val="32"/>
          <w:lang w:val="en-US" w:eastAsia="zh-CN"/>
        </w:rPr>
        <w:t>成立绩效评价工作组，明确了工作职责，制定现场评价工作方案，设计相关表格，联系相关部门，确定了实施时间。</w:t>
      </w:r>
    </w:p>
    <w:p>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2.实施情况。项目绩效评价实施步骤：（1）了解项目情况；（2）收集核查资料。收集该项目相关政策文件、资金拨付明细等资料；核查相关制度是否完善，项目实施程序是否符合要求，资金分配、拨付是否合规，手续是否齐全，是否存在挤占、截留、挪用等情况。</w:t>
      </w:r>
    </w:p>
    <w:p>
      <w:pPr>
        <w:keepNext w:val="0"/>
        <w:keepLines w:val="0"/>
        <w:pageBreakBefore w:val="0"/>
        <w:kinsoku/>
        <w:wordWrap/>
        <w:overflowPunct/>
        <w:autoSpaceDE/>
        <w:autoSpaceDN/>
        <w:bidi w:val="0"/>
        <w:adjustRightInd/>
        <w:snapToGrid/>
        <w:spacing w:line="560"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三、综合评价情况及评价结论（附相关评分表）</w:t>
      </w:r>
    </w:p>
    <w:p>
      <w:pPr>
        <w:keepNext w:val="0"/>
        <w:keepLines w:val="0"/>
        <w:pageBreakBefore w:val="0"/>
        <w:kinsoku/>
        <w:wordWrap/>
        <w:overflowPunct/>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sz w:val="32"/>
          <w:szCs w:val="32"/>
        </w:rPr>
      </w:pPr>
      <w:r>
        <w:rPr>
          <w:rFonts w:hint="eastAsia" w:ascii="仿宋" w:hAnsi="仿宋" w:eastAsia="仿宋"/>
          <w:sz w:val="32"/>
          <w:szCs w:val="32"/>
        </w:rPr>
        <w:t>（</w:t>
      </w:r>
      <w:r>
        <w:rPr>
          <w:rFonts w:hint="eastAsia" w:ascii="楷体_GB2312" w:hAnsi="楷体_GB2312" w:eastAsia="楷体_GB2312" w:cs="楷体_GB2312"/>
          <w:sz w:val="32"/>
          <w:szCs w:val="32"/>
        </w:rPr>
        <w:t>一）绩效评价综合结论</w:t>
      </w:r>
    </w:p>
    <w:p>
      <w:pPr>
        <w:keepNext w:val="0"/>
        <w:keepLines w:val="0"/>
        <w:pageBreakBefore w:val="0"/>
        <w:numPr>
          <w:ilvl w:val="0"/>
          <w:numId w:val="2"/>
        </w:numPr>
        <w:kinsoku/>
        <w:wordWrap/>
        <w:overflowPunct/>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绩效目标实现情况等</w:t>
      </w:r>
    </w:p>
    <w:p>
      <w:pPr>
        <w:keepNext w:val="0"/>
        <w:keepLines w:val="0"/>
        <w:pageBreakBefore w:val="0"/>
        <w:kinsoku/>
        <w:wordWrap/>
        <w:overflowPunct/>
        <w:autoSpaceDE/>
        <w:autoSpaceDN/>
        <w:bidi w:val="0"/>
        <w:adjustRightInd/>
        <w:snapToGrid/>
        <w:spacing w:line="560"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四、绩效评价指标分析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（一）项目决策情况分析</w:t>
      </w:r>
    </w:p>
    <w:p>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县级西部计划项目决策主要围绕“需求导向”和“精准匹配”原则展开，由县项目办统筹教育、卫生、农业等部门研判基层短板，结合乡村振兴重点任务确定服务岗位。决策过程注重三个关键环节：一是需求摸底，通过乡镇申报和实地调研确定人才缺口领域；二是岗位优化，优先保障偏远地区教育医疗等民生领域；三是政策适配，结合地方财政和保障能力合理确定志愿者规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（二）项目过程情况分析</w:t>
      </w:r>
    </w:p>
    <w:p>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西部计划项目通过招募高校毕业生和青年志愿者，重点围绕教育、医疗、农业、基层治理等领域开展服务，有效缓解了基层人才短缺问题。实施过程中，县项目办统筹协调，确保志愿者岗位分配精准匹配乡镇需求，并通过岗前培训、定期考核和动态管理提升服务质量，强化了服务成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（三）项目产出情况分析</w:t>
      </w:r>
    </w:p>
    <w:p>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深入领会习近平总书记关于青年工作的重要思想，树立大抓基层的鲜明导向，认真履行引领凝聚青年、组织动员青年、联系服务青年的职责使命，扎实推进共青团事业不断向前发展。促进西部贫困地区教育、卫生、农技、扶贫等社会事业的发展，拓展大学生就业、创业渠道，培养和造就一大批既有现代科学文化知识、又有基层工作经验和强烈社会责任感的优秀青年人才，弘扬“奉献、友爱、互助、进步”的志愿精神，推动经济社会持续快速健康发展。推进大学生志愿者服务西部计划项目的顺利实施，确保志愿者及时足额领取生活补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项目效益情况分析</w:t>
      </w:r>
    </w:p>
    <w:p>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西部计划项目实施以来，在促进区域协调发展、服务基层民生、培养青年人才等方面取得了显著成效。从经济效益看，项目通过教育支援、医疗卫生、农业技术推广等服务，有效改善了西部地区的公共服务水平，助力当地产业发展和就业增收；从社会效益看，志愿者深入基层一线，缓解了偏远地区师资、医疗等专业人才短缺问题，推动了基本公共服务均等化；从人才效益看，项目为青年提供了实践锻炼平台，培养了一批了解国情、扎根基层的优秀人才，部分志愿者服务期满后选择留在西部就业创业，为当地可持续发展注入新活力。总体来看，西部计划实现了服务地方发展与青年成长成才的双赢，但在资源精准匹配、长效机制建设等方面仍需进一步优化提升。</w:t>
      </w:r>
    </w:p>
    <w:p>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五、主要经验及做法</w:t>
      </w:r>
    </w:p>
    <w:p>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本次部门项目支出绩效自评，主要是根据国家和省级相关法律法规和部门规章的相关规定进行，在实施过程中，严格按照资金申报程序向县政府申请资金，在使用过程中严格按照财务管理规定支取和管理资金。下一步将专门针对本部门项目支出的特点，强化预算绩效申报工作，强化项目实施方案预报。</w:t>
      </w:r>
    </w:p>
    <w:p>
      <w:pPr>
        <w:keepNext w:val="0"/>
        <w:keepLines w:val="0"/>
        <w:pageBreakBefore w:val="0"/>
        <w:numPr>
          <w:ilvl w:val="0"/>
          <w:numId w:val="0"/>
        </w:numPr>
        <w:kinsoku/>
        <w:wordWrap/>
        <w:overflowPunct/>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存在的问题及原因分析</w:t>
      </w:r>
    </w:p>
    <w:p>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一是在预算完成率方面，因存在指标是年底下达的项目资金，无法及时完成支出。二是年初预算资金不能及时到位，在资金使用过程中就会存在资金混用、无法按支出功能分类列支的情况。</w:t>
      </w:r>
    </w:p>
    <w:p>
      <w:pPr>
        <w:keepNext w:val="0"/>
        <w:keepLines w:val="0"/>
        <w:pageBreakBefore w:val="0"/>
        <w:numPr>
          <w:ilvl w:val="0"/>
          <w:numId w:val="0"/>
        </w:numPr>
        <w:kinsoku/>
        <w:wordWrap/>
        <w:overflowPunct/>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有关建议</w:t>
      </w:r>
    </w:p>
    <w:p>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建立激励与约束机制，强化评价结果在项目申报和预算编制中的有效应用。</w:t>
      </w:r>
    </w:p>
    <w:p>
      <w:pPr>
        <w:keepNext w:val="0"/>
        <w:keepLines w:val="0"/>
        <w:pageBreakBefore w:val="0"/>
        <w:numPr>
          <w:ilvl w:val="0"/>
          <w:numId w:val="0"/>
        </w:numPr>
        <w:kinsoku/>
        <w:wordWrap/>
        <w:overflowPunct/>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其它需要说明的问题</w:t>
      </w:r>
    </w:p>
    <w:p>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无其它需要说明的问题。</w:t>
      </w:r>
    </w:p>
    <w:sectPr>
      <w:footerReference r:id="rId3" w:type="default"/>
      <w:pgSz w:w="11906" w:h="16838"/>
      <w:pgMar w:top="2098" w:right="1587" w:bottom="1984" w:left="1587" w:header="0"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BF7A75"/>
    <w:multiLevelType w:val="singleLevel"/>
    <w:tmpl w:val="E7BF7A75"/>
    <w:lvl w:ilvl="0" w:tentative="0">
      <w:start w:val="2"/>
      <w:numFmt w:val="chineseCounting"/>
      <w:suff w:val="nothing"/>
      <w:lvlText w:val="（%1）"/>
      <w:lvlJc w:val="left"/>
      <w:rPr>
        <w:rFonts w:hint="eastAsia"/>
      </w:rPr>
    </w:lvl>
  </w:abstractNum>
  <w:abstractNum w:abstractNumId="1">
    <w:nsid w:val="FE661A61"/>
    <w:multiLevelType w:val="singleLevel"/>
    <w:tmpl w:val="FE661A6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12927D71"/>
    <w:rsid w:val="000E6661"/>
    <w:rsid w:val="002020E6"/>
    <w:rsid w:val="002A3E90"/>
    <w:rsid w:val="00374AB7"/>
    <w:rsid w:val="003B6467"/>
    <w:rsid w:val="00404802"/>
    <w:rsid w:val="00451CED"/>
    <w:rsid w:val="004A76FA"/>
    <w:rsid w:val="0058320E"/>
    <w:rsid w:val="005B2D1B"/>
    <w:rsid w:val="007E77B9"/>
    <w:rsid w:val="0087492D"/>
    <w:rsid w:val="008F7E56"/>
    <w:rsid w:val="00A34092"/>
    <w:rsid w:val="00C040C7"/>
    <w:rsid w:val="00C44CFA"/>
    <w:rsid w:val="00DE6A66"/>
    <w:rsid w:val="00F5756A"/>
    <w:rsid w:val="00FE0C9E"/>
    <w:rsid w:val="12927D71"/>
    <w:rsid w:val="14EE425D"/>
    <w:rsid w:val="17BA91A6"/>
    <w:rsid w:val="17E35631"/>
    <w:rsid w:val="17F71B7B"/>
    <w:rsid w:val="1A7FBBF6"/>
    <w:rsid w:val="1FBB8E86"/>
    <w:rsid w:val="1FFDC67C"/>
    <w:rsid w:val="279BB8D5"/>
    <w:rsid w:val="2CFF1218"/>
    <w:rsid w:val="2D671016"/>
    <w:rsid w:val="2EEE4567"/>
    <w:rsid w:val="36B7C641"/>
    <w:rsid w:val="37F3E603"/>
    <w:rsid w:val="3BA727CC"/>
    <w:rsid w:val="3D5F87CA"/>
    <w:rsid w:val="3E36B44E"/>
    <w:rsid w:val="3EF0AC51"/>
    <w:rsid w:val="3EF5CA2C"/>
    <w:rsid w:val="3F7E6EA8"/>
    <w:rsid w:val="3FF1A1F4"/>
    <w:rsid w:val="3FFEE0C9"/>
    <w:rsid w:val="3FFF087F"/>
    <w:rsid w:val="45CB52FC"/>
    <w:rsid w:val="45FF8DBE"/>
    <w:rsid w:val="49BF235D"/>
    <w:rsid w:val="5B6EE7FE"/>
    <w:rsid w:val="5BE3D42B"/>
    <w:rsid w:val="5D7FE81E"/>
    <w:rsid w:val="5EBC6C07"/>
    <w:rsid w:val="63EED63B"/>
    <w:rsid w:val="65FF8B77"/>
    <w:rsid w:val="66576744"/>
    <w:rsid w:val="6E7F0A0E"/>
    <w:rsid w:val="6E7FB00B"/>
    <w:rsid w:val="6EF72968"/>
    <w:rsid w:val="6F951797"/>
    <w:rsid w:val="6FBB44F1"/>
    <w:rsid w:val="6FBF71C2"/>
    <w:rsid w:val="6FFFFDAB"/>
    <w:rsid w:val="72AF92CD"/>
    <w:rsid w:val="733B2CDF"/>
    <w:rsid w:val="73FB79D4"/>
    <w:rsid w:val="75FF3911"/>
    <w:rsid w:val="765B05D7"/>
    <w:rsid w:val="773384D8"/>
    <w:rsid w:val="774D2F4C"/>
    <w:rsid w:val="77A57B47"/>
    <w:rsid w:val="77CC2146"/>
    <w:rsid w:val="77DBCC9E"/>
    <w:rsid w:val="77E78D40"/>
    <w:rsid w:val="77F7E5CD"/>
    <w:rsid w:val="79FBBFEF"/>
    <w:rsid w:val="7BFF9392"/>
    <w:rsid w:val="7D7F9BF2"/>
    <w:rsid w:val="7DD15EEE"/>
    <w:rsid w:val="7DDF7A2C"/>
    <w:rsid w:val="7F4F7426"/>
    <w:rsid w:val="7FBB56FC"/>
    <w:rsid w:val="7FEFBC74"/>
    <w:rsid w:val="7FF6DAE0"/>
    <w:rsid w:val="7FFBB70A"/>
    <w:rsid w:val="7FFF83EF"/>
    <w:rsid w:val="7FFFB96D"/>
    <w:rsid w:val="9B3F5086"/>
    <w:rsid w:val="9F5DE9DA"/>
    <w:rsid w:val="9FDF8429"/>
    <w:rsid w:val="AB6EF0D8"/>
    <w:rsid w:val="AE3FC43C"/>
    <w:rsid w:val="B17F00CE"/>
    <w:rsid w:val="B3364C00"/>
    <w:rsid w:val="B6D5FE2C"/>
    <w:rsid w:val="BADDC460"/>
    <w:rsid w:val="BBD987DA"/>
    <w:rsid w:val="BBE678DC"/>
    <w:rsid w:val="BCEB027A"/>
    <w:rsid w:val="BF5FCACA"/>
    <w:rsid w:val="BF7FEE41"/>
    <w:rsid w:val="BFD57EA4"/>
    <w:rsid w:val="C2FF895B"/>
    <w:rsid w:val="C7EEFA8A"/>
    <w:rsid w:val="CBF781C6"/>
    <w:rsid w:val="CC31CA72"/>
    <w:rsid w:val="CFCB0461"/>
    <w:rsid w:val="D37F8F8E"/>
    <w:rsid w:val="D3C2ECAC"/>
    <w:rsid w:val="D55BF94A"/>
    <w:rsid w:val="D5E78E83"/>
    <w:rsid w:val="D7AEAC6D"/>
    <w:rsid w:val="DBB92D28"/>
    <w:rsid w:val="DD4EAD30"/>
    <w:rsid w:val="DF5D35A2"/>
    <w:rsid w:val="DFFFD096"/>
    <w:rsid w:val="E1BD8DF4"/>
    <w:rsid w:val="E6FE3C3E"/>
    <w:rsid w:val="E8ACCA79"/>
    <w:rsid w:val="EAEBF5A2"/>
    <w:rsid w:val="EB7FCB62"/>
    <w:rsid w:val="EBF5444E"/>
    <w:rsid w:val="EF7CBFA0"/>
    <w:rsid w:val="EF7F2FDE"/>
    <w:rsid w:val="EFDEDDEC"/>
    <w:rsid w:val="EFEB3A0B"/>
    <w:rsid w:val="EFEF4F84"/>
    <w:rsid w:val="F25B33F9"/>
    <w:rsid w:val="F3FFFB0B"/>
    <w:rsid w:val="F77F0EC6"/>
    <w:rsid w:val="F7BFD477"/>
    <w:rsid w:val="F7FF553B"/>
    <w:rsid w:val="F8D7465A"/>
    <w:rsid w:val="F9685150"/>
    <w:rsid w:val="F9FF7C9B"/>
    <w:rsid w:val="FAFDB985"/>
    <w:rsid w:val="FBF79D0A"/>
    <w:rsid w:val="FBFF05EF"/>
    <w:rsid w:val="FBFFAD13"/>
    <w:rsid w:val="FCFF4CF8"/>
    <w:rsid w:val="FD3FC60F"/>
    <w:rsid w:val="FDBC5814"/>
    <w:rsid w:val="FDDDF4A1"/>
    <w:rsid w:val="FDFF8B55"/>
    <w:rsid w:val="FE67B796"/>
    <w:rsid w:val="FEF7C41B"/>
    <w:rsid w:val="FEFBB99C"/>
    <w:rsid w:val="FEFD246E"/>
    <w:rsid w:val="FF36FF25"/>
    <w:rsid w:val="FFAFFD5A"/>
    <w:rsid w:val="FFBF1BBB"/>
    <w:rsid w:val="FFFB5A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qFormat/>
    <w:uiPriority w:val="0"/>
    <w:rPr>
      <w:kern w:val="2"/>
      <w:sz w:val="18"/>
      <w:szCs w:val="18"/>
    </w:rPr>
  </w:style>
  <w:style w:type="character" w:customStyle="1" w:styleId="9">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昆明市嵩明县党政机关单位</Company>
  <Pages>7</Pages>
  <Words>61</Words>
  <Characters>352</Characters>
  <Lines>2</Lines>
  <Paragraphs>1</Paragraphs>
  <TotalTime>14</TotalTime>
  <ScaleCrop>false</ScaleCrop>
  <LinksUpToDate>false</LinksUpToDate>
  <CharactersWithSpaces>412</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2021-01-12T05:40:00Z</dcterms:created>
  <dc:creator>lenovo</dc:creator>
  <cp:lastModifiedBy>UNIS</cp:lastModifiedBy>
  <dcterms:modified xsi:type="dcterms:W3CDTF">2026-04-28T15:34:01Z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EA69A985BBF84DD65CDBF467648FED7D_42</vt:lpwstr>
  </property>
</Properties>
</file>