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5E563">
      <w:pPr>
        <w:topLinePunct/>
        <w:spacing w:line="540" w:lineRule="exact"/>
        <w:jc w:val="center"/>
        <w:rPr>
          <w:rFonts w:ascii="方正小标宋简体" w:hAnsi="Times New Roman" w:eastAsia="方正小标宋简体" w:cs="Times New Roman"/>
          <w:sz w:val="44"/>
          <w:szCs w:val="44"/>
        </w:rPr>
      </w:pPr>
      <w:bookmarkStart w:id="0" w:name="_Hlk514329293"/>
      <w:bookmarkStart w:id="1" w:name="_Hlk59973128"/>
      <w:bookmarkStart w:id="2" w:name="_Hlk63441701"/>
      <w:bookmarkStart w:id="3" w:name="_Hlk514321036"/>
      <w:r>
        <w:rPr>
          <w:rFonts w:hint="eastAsia" w:ascii="方正小标宋简体" w:hAnsi="Times New Roman" w:eastAsia="方正小标宋简体" w:cs="Times New Roman"/>
          <w:spacing w:val="-20"/>
          <w:sz w:val="44"/>
          <w:szCs w:val="44"/>
        </w:rPr>
        <w:t xml:space="preserve">  政协富民县委员会办公室202</w:t>
      </w:r>
      <w:r>
        <w:rPr>
          <w:rFonts w:hint="eastAsia" w:ascii="方正小标宋简体" w:hAnsi="Times New Roman" w:eastAsia="方正小标宋简体" w:cs="Times New Roman"/>
          <w:spacing w:val="-20"/>
          <w:sz w:val="44"/>
          <w:szCs w:val="44"/>
          <w:lang w:val="en-US" w:eastAsia="zh-CN"/>
        </w:rPr>
        <w:t>5</w:t>
      </w:r>
      <w:r>
        <w:rPr>
          <w:rFonts w:hint="eastAsia" w:ascii="方正小标宋简体" w:hAnsi="Times New Roman" w:eastAsia="方正小标宋简体" w:cs="Times New Roman"/>
          <w:spacing w:val="-20"/>
          <w:sz w:val="44"/>
          <w:szCs w:val="44"/>
        </w:rPr>
        <w:t>年度政协会议</w:t>
      </w:r>
      <w:r>
        <w:rPr>
          <w:rFonts w:hint="eastAsia" w:ascii="方正小标宋简体" w:hAnsi="Times New Roman" w:eastAsia="方正小标宋简体" w:cs="Times New Roman"/>
          <w:spacing w:val="-20"/>
          <w:sz w:val="44"/>
          <w:szCs w:val="44"/>
          <w:lang w:val="en-US" w:eastAsia="zh-CN"/>
        </w:rPr>
        <w:t>专项</w:t>
      </w:r>
      <w:r>
        <w:rPr>
          <w:rFonts w:hint="eastAsia" w:ascii="方正小标宋简体" w:hAnsi="Times New Roman" w:eastAsia="方正小标宋简体" w:cs="Times New Roman"/>
          <w:spacing w:val="-20"/>
          <w:sz w:val="44"/>
          <w:szCs w:val="44"/>
        </w:rPr>
        <w:t>经费</w:t>
      </w:r>
      <w:r>
        <w:rPr>
          <w:rFonts w:hint="eastAsia" w:ascii="方正小标宋简体" w:hAnsi="Times New Roman" w:eastAsia="方正小标宋简体" w:cs="Times New Roman"/>
          <w:sz w:val="44"/>
          <w:szCs w:val="44"/>
        </w:rPr>
        <w:t>项目支出绩效评价报告</w:t>
      </w:r>
    </w:p>
    <w:p w14:paraId="46B3989A">
      <w:pPr>
        <w:topLinePunct/>
        <w:spacing w:line="540" w:lineRule="exact"/>
        <w:ind w:firstLine="800" w:firstLineChars="250"/>
        <w:rPr>
          <w:rFonts w:ascii="Times New Roman" w:hAnsi="Times New Roman" w:eastAsia="仿宋_GB2312" w:cs="Times New Roman"/>
          <w:sz w:val="32"/>
          <w:szCs w:val="32"/>
        </w:rPr>
      </w:pPr>
    </w:p>
    <w:p w14:paraId="5DF69F12">
      <w:pPr>
        <w:topLinePunct/>
        <w:spacing w:line="540" w:lineRule="exact"/>
        <w:ind w:firstLine="800" w:firstLineChars="250"/>
        <w:rPr>
          <w:rFonts w:ascii="Times New Roman" w:hAnsi="Times New Roman" w:eastAsia="仿宋_GB2312" w:cs="Times New Roman"/>
          <w:sz w:val="32"/>
          <w:szCs w:val="32"/>
        </w:rPr>
      </w:pPr>
    </w:p>
    <w:p w14:paraId="70E93948">
      <w:pPr>
        <w:topLinePunct/>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一、基本情况</w:t>
      </w:r>
    </w:p>
    <w:p w14:paraId="6A69906E">
      <w:pPr>
        <w:topLinePunct/>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（一）项目概况</w:t>
      </w:r>
      <w:bookmarkStart w:id="5" w:name="_GoBack"/>
      <w:bookmarkEnd w:id="5"/>
    </w:p>
    <w:p w14:paraId="4797CCB6">
      <w:pPr>
        <w:topLinePunct/>
        <w:spacing w:line="560" w:lineRule="exact"/>
        <w:ind w:firstLine="640" w:firstLineChars="200"/>
        <w:rPr>
          <w:rFonts w:ascii="仿宋_GB2312" w:hAnsi="楷体" w:eastAsia="仿宋_GB2312" w:cs="Times New Roman"/>
          <w:b/>
          <w:sz w:val="32"/>
          <w:szCs w:val="32"/>
        </w:rPr>
      </w:pPr>
      <w:r>
        <w:rPr>
          <w:rFonts w:hint="eastAsia" w:ascii="仿宋_GB2312" w:hAnsi="楷体" w:eastAsia="仿宋_GB2312" w:cs="Times New Roman"/>
          <w:b w:val="0"/>
          <w:bCs/>
          <w:sz w:val="32"/>
          <w:szCs w:val="32"/>
        </w:rPr>
        <w:t>1.立项背景及目的</w:t>
      </w:r>
    </w:p>
    <w:p w14:paraId="071A80F5">
      <w:pPr>
        <w:topLinePunct/>
        <w:spacing w:line="560" w:lineRule="exact"/>
        <w:ind w:firstLine="640" w:firstLineChars="200"/>
        <w:rPr>
          <w:rFonts w:ascii="仿宋_GB2312" w:hAnsi="Times New Roman" w:eastAsia="仿宋_GB2312" w:cs="Times New Roman"/>
          <w:b/>
          <w:sz w:val="32"/>
          <w:szCs w:val="32"/>
        </w:rPr>
      </w:pPr>
      <w:r>
        <w:rPr>
          <w:rFonts w:hint="eastAsia" w:ascii="仿宋_GB2312" w:eastAsia="仿宋_GB2312"/>
          <w:color w:val="000000"/>
          <w:sz w:val="32"/>
          <w:szCs w:val="16"/>
          <w:shd w:val="clear" w:color="auto" w:fill="FFFFFF"/>
        </w:rPr>
        <w:t>政协会议是中国政治生活中发扬社会主义民主的重要形式，为不断充实与完善中国共产党领导的多党合作和政治协商制度。</w:t>
      </w:r>
      <w:r>
        <w:rPr>
          <w:rFonts w:hint="eastAsia" w:ascii="仿宋_GB2312" w:eastAsia="仿宋_GB2312"/>
          <w:color w:val="3D3D3D"/>
          <w:sz w:val="32"/>
          <w:szCs w:val="16"/>
          <w:shd w:val="clear" w:color="auto" w:fill="FFFFFF"/>
        </w:rPr>
        <w:t>充分发挥人民政协作为协商民主重要渠道和专门协商机构作用，进一步提升政治协商制度化、规范化、程序化水平，增强参政议政、民主监督实效。特设立专项会议费项目，为202</w:t>
      </w:r>
      <w:r>
        <w:rPr>
          <w:rFonts w:hint="eastAsia" w:ascii="仿宋_GB2312" w:eastAsia="仿宋_GB2312"/>
          <w:color w:val="3D3D3D"/>
          <w:sz w:val="32"/>
          <w:szCs w:val="16"/>
          <w:shd w:val="clear" w:color="auto" w:fill="FFFFFF"/>
          <w:lang w:val="en-US" w:eastAsia="zh-CN"/>
        </w:rPr>
        <w:t>5</w:t>
      </w:r>
      <w:r>
        <w:rPr>
          <w:rFonts w:hint="eastAsia" w:ascii="仿宋_GB2312" w:eastAsia="仿宋_GB2312"/>
          <w:color w:val="3D3D3D"/>
          <w:sz w:val="32"/>
          <w:szCs w:val="16"/>
          <w:shd w:val="clear" w:color="auto" w:fill="FFFFFF"/>
        </w:rPr>
        <w:t>年度政协富民县委员全会及相关政协会议提供资金保障。</w:t>
      </w:r>
    </w:p>
    <w:p w14:paraId="59AF4BCD">
      <w:pPr>
        <w:topLinePunct/>
        <w:spacing w:line="560" w:lineRule="exact"/>
        <w:ind w:firstLine="640" w:firstLineChars="200"/>
        <w:rPr>
          <w:rFonts w:ascii="Times New Roman" w:hAnsi="Times New Roman" w:eastAsia="仿宋_GB2312" w:cs="Times New Roman"/>
          <w:b w:val="0"/>
          <w:bCs/>
          <w:sz w:val="32"/>
          <w:szCs w:val="32"/>
        </w:rPr>
      </w:pPr>
      <w:r>
        <w:rPr>
          <w:rFonts w:hint="eastAsia" w:ascii="仿宋_GB2312" w:hAnsi="Times New Roman" w:eastAsia="仿宋_GB2312" w:cs="Times New Roman"/>
          <w:b w:val="0"/>
          <w:bCs/>
          <w:sz w:val="32"/>
          <w:szCs w:val="32"/>
        </w:rPr>
        <w:t>2.项目实施情况</w:t>
      </w:r>
    </w:p>
    <w:p w14:paraId="1F3B51E3">
      <w:pPr>
        <w:pStyle w:val="5"/>
        <w:widowControl w:val="0"/>
        <w:shd w:val="clear" w:color="auto" w:fill="FFFFFF"/>
        <w:spacing w:before="0" w:beforeAutospacing="0" w:after="0" w:afterAutospacing="0" w:line="560" w:lineRule="exact"/>
        <w:ind w:firstLine="640" w:firstLineChars="200"/>
        <w:rPr>
          <w:rFonts w:hint="eastAsia" w:ascii="仿宋_GB2312" w:hAnsi="sinsum" w:eastAsia="仿宋_GB2312"/>
          <w:color w:val="333333"/>
          <w:sz w:val="32"/>
          <w:szCs w:val="16"/>
        </w:rPr>
      </w:pPr>
      <w:r>
        <w:rPr>
          <w:rFonts w:hint="eastAsia" w:ascii="仿宋_GB2312" w:hAnsi="sinsum" w:eastAsia="仿宋_GB2312"/>
          <w:color w:val="333333"/>
          <w:sz w:val="32"/>
          <w:szCs w:val="16"/>
        </w:rPr>
        <w:t>富民县政协委员会会议费纳入202</w:t>
      </w:r>
      <w:r>
        <w:rPr>
          <w:rFonts w:hint="eastAsia" w:ascii="仿宋_GB2312" w:hAnsi="sinsum" w:eastAsia="仿宋_GB2312"/>
          <w:color w:val="333333"/>
          <w:sz w:val="32"/>
          <w:szCs w:val="16"/>
          <w:lang w:val="en-US" w:eastAsia="zh-CN"/>
        </w:rPr>
        <w:t>5</w:t>
      </w:r>
      <w:r>
        <w:rPr>
          <w:rFonts w:hint="eastAsia" w:ascii="仿宋_GB2312" w:hAnsi="sinsum" w:eastAsia="仿宋_GB2312"/>
          <w:color w:val="333333"/>
          <w:sz w:val="32"/>
          <w:szCs w:val="16"/>
        </w:rPr>
        <w:t>年度年初财政预算，按时足额拨款到位，充分保障了召开会议各个环节的运行。</w:t>
      </w:r>
    </w:p>
    <w:p w14:paraId="63AF3C4E">
      <w:pPr>
        <w:pStyle w:val="5"/>
        <w:widowControl w:val="0"/>
        <w:shd w:val="clear" w:color="auto" w:fill="FFFFFF"/>
        <w:spacing w:before="0" w:beforeAutospacing="0" w:after="0" w:afterAutospacing="0" w:line="560" w:lineRule="exact"/>
        <w:ind w:firstLine="640" w:firstLineChars="200"/>
        <w:rPr>
          <w:rFonts w:hint="eastAsia" w:ascii="仿宋_GB2312" w:hAnsi="sinsum" w:eastAsia="仿宋_GB2312"/>
          <w:color w:val="333333"/>
          <w:sz w:val="32"/>
          <w:szCs w:val="16"/>
        </w:rPr>
      </w:pPr>
      <w:r>
        <w:rPr>
          <w:rFonts w:hint="eastAsia" w:ascii="仿宋_GB2312" w:hAnsi="sinsum" w:eastAsia="仿宋_GB2312"/>
          <w:color w:val="333333"/>
          <w:sz w:val="32"/>
          <w:szCs w:val="16"/>
        </w:rPr>
        <w:t>会议贯彻中央八项规定精神、县委的实施意见和县委的实施办法，厉行勤俭节约，严格执行财务制度，尽量避免浪费。直至202</w:t>
      </w:r>
      <w:r>
        <w:rPr>
          <w:rFonts w:hint="eastAsia" w:ascii="仿宋_GB2312" w:hAnsi="sinsum" w:eastAsia="仿宋_GB2312"/>
          <w:color w:val="333333"/>
          <w:sz w:val="32"/>
          <w:szCs w:val="16"/>
          <w:lang w:val="en-US" w:eastAsia="zh-CN"/>
        </w:rPr>
        <w:t>5</w:t>
      </w:r>
      <w:r>
        <w:rPr>
          <w:rFonts w:hint="eastAsia" w:ascii="仿宋_GB2312" w:hAnsi="sinsum" w:eastAsia="仿宋_GB2312"/>
          <w:color w:val="333333"/>
          <w:sz w:val="32"/>
          <w:szCs w:val="16"/>
        </w:rPr>
        <w:t>年末结束，为圆满召开政协相关各类会议，达到政协会议民主协商、参政议政提供了资金保障。</w:t>
      </w:r>
    </w:p>
    <w:p w14:paraId="4D706C5A">
      <w:pPr>
        <w:topLinePunct/>
        <w:spacing w:line="560" w:lineRule="exact"/>
        <w:ind w:firstLine="640" w:firstLineChars="200"/>
        <w:rPr>
          <w:rFonts w:ascii="Times New Roman" w:hAnsi="Times New Roman" w:eastAsia="仿宋_GB2312" w:cs="Times New Roman"/>
          <w:b w:val="0"/>
          <w:bCs/>
          <w:sz w:val="32"/>
          <w:szCs w:val="32"/>
        </w:rPr>
      </w:pPr>
      <w:r>
        <w:rPr>
          <w:rFonts w:ascii="Times New Roman" w:hAnsi="Times New Roman" w:eastAsia="仿宋_GB2312" w:cs="Times New Roman"/>
          <w:b w:val="0"/>
          <w:bCs/>
          <w:sz w:val="32"/>
          <w:szCs w:val="32"/>
        </w:rPr>
        <w:t>3.资金来源及使用情况</w:t>
      </w:r>
    </w:p>
    <w:p w14:paraId="5890AE44">
      <w:pPr>
        <w:topLinePunct/>
        <w:spacing w:line="560" w:lineRule="exact"/>
        <w:ind w:firstLine="640" w:firstLineChars="200"/>
        <w:rPr>
          <w:rFonts w:ascii="仿宋_GB2312" w:hAnsi="Times New Roman" w:eastAsia="仿宋_GB2312" w:cs="Times New Roman"/>
          <w:b/>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年度政协富民县委员会会议专项经费年初预算4</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w:t>
      </w:r>
      <w:r>
        <w:rPr>
          <w:rFonts w:hint="eastAsia" w:ascii="仿宋_GB2312" w:hAnsi="Times New Roman" w:eastAsia="仿宋_GB2312" w:cs="Times New Roman"/>
          <w:b w:val="0"/>
          <w:bCs/>
          <w:sz w:val="32"/>
          <w:szCs w:val="32"/>
        </w:rPr>
        <w:t>会议</w:t>
      </w:r>
      <w:r>
        <w:rPr>
          <w:rFonts w:hint="eastAsia" w:ascii="仿宋_GB2312" w:eastAsia="仿宋_GB2312"/>
          <w:color w:val="000000"/>
          <w:sz w:val="32"/>
          <w:szCs w:val="32"/>
          <w:shd w:val="clear" w:color="auto" w:fill="FFFFFF"/>
        </w:rPr>
        <w:t>严格按照中央八项规定精神，厉行勤俭节约，根据实际参训人数进行支出，至202</w:t>
      </w:r>
      <w:r>
        <w:rPr>
          <w:rFonts w:hint="eastAsia" w:ascii="仿宋_GB2312" w:eastAsia="仿宋_GB2312"/>
          <w:color w:val="000000"/>
          <w:sz w:val="32"/>
          <w:szCs w:val="32"/>
          <w:shd w:val="clear" w:color="auto" w:fill="FFFFFF"/>
          <w:lang w:val="en-US" w:eastAsia="zh-CN"/>
        </w:rPr>
        <w:t>5</w:t>
      </w:r>
      <w:r>
        <w:rPr>
          <w:rFonts w:hint="eastAsia" w:ascii="仿宋_GB2312" w:eastAsia="仿宋_GB2312"/>
          <w:color w:val="000000"/>
          <w:sz w:val="32"/>
          <w:szCs w:val="32"/>
          <w:shd w:val="clear" w:color="auto" w:fill="FFFFFF"/>
        </w:rPr>
        <w:t>年末政协相关</w:t>
      </w:r>
      <w:r>
        <w:rPr>
          <w:rFonts w:hint="eastAsia" w:ascii="仿宋_GB2312" w:hAnsi="sinsum" w:eastAsia="仿宋_GB2312"/>
          <w:color w:val="333333"/>
          <w:sz w:val="32"/>
          <w:szCs w:val="32"/>
          <w:shd w:val="clear" w:color="auto" w:fill="FFFFFF"/>
        </w:rPr>
        <w:t>会议经费实际费用支出</w:t>
      </w:r>
      <w:r>
        <w:rPr>
          <w:rFonts w:hint="eastAsia" w:ascii="仿宋_GB2312" w:hAnsi="sinsum" w:eastAsia="仿宋_GB2312"/>
          <w:color w:val="333333"/>
          <w:sz w:val="32"/>
          <w:szCs w:val="32"/>
          <w:shd w:val="clear" w:color="auto" w:fill="FFFFFF"/>
          <w:lang w:val="en-US" w:eastAsia="zh-CN"/>
        </w:rPr>
        <w:t>27.46</w:t>
      </w:r>
      <w:r>
        <w:rPr>
          <w:rFonts w:hint="eastAsia" w:ascii="仿宋_GB2312" w:hAnsi="sinsum" w:eastAsia="仿宋_GB2312"/>
          <w:color w:val="333333"/>
          <w:sz w:val="32"/>
          <w:szCs w:val="32"/>
          <w:shd w:val="clear" w:color="auto" w:fill="FFFFFF"/>
        </w:rPr>
        <w:t>万元，节约了</w:t>
      </w:r>
      <w:r>
        <w:rPr>
          <w:rFonts w:hint="eastAsia" w:ascii="仿宋_GB2312" w:hAnsi="sinsum" w:eastAsia="仿宋_GB2312"/>
          <w:color w:val="333333"/>
          <w:sz w:val="32"/>
          <w:szCs w:val="32"/>
          <w:shd w:val="clear" w:color="auto" w:fill="FFFFFF"/>
          <w:lang w:val="en-US" w:eastAsia="zh-CN"/>
        </w:rPr>
        <w:t>12.54</w:t>
      </w:r>
      <w:r>
        <w:rPr>
          <w:rFonts w:hint="eastAsia" w:ascii="仿宋_GB2312" w:hAnsi="sinsum" w:eastAsia="仿宋_GB2312"/>
          <w:color w:val="333333"/>
          <w:sz w:val="32"/>
          <w:szCs w:val="32"/>
          <w:shd w:val="clear" w:color="auto" w:fill="FFFFFF"/>
        </w:rPr>
        <w:t>万元。财政预算</w:t>
      </w:r>
      <w:r>
        <w:rPr>
          <w:rFonts w:hint="eastAsia" w:ascii="仿宋_GB2312" w:eastAsia="仿宋_GB2312"/>
          <w:color w:val="000000"/>
          <w:sz w:val="32"/>
          <w:szCs w:val="32"/>
          <w:shd w:val="clear" w:color="auto" w:fill="FFFFFF"/>
        </w:rPr>
        <w:t>资金及时拨款到位，充分保障了召开会议各个环节的运行。</w:t>
      </w:r>
    </w:p>
    <w:p w14:paraId="2B9E521E">
      <w:pPr>
        <w:topLinePunct/>
        <w:spacing w:line="560" w:lineRule="exact"/>
        <w:ind w:firstLine="640" w:firstLineChars="200"/>
        <w:rPr>
          <w:rFonts w:ascii="Times New Roman" w:hAnsi="Times New Roman" w:eastAsia="仿宋_GB2312" w:cs="Times New Roman"/>
          <w:b w:val="0"/>
          <w:bCs/>
          <w:sz w:val="32"/>
          <w:szCs w:val="32"/>
        </w:rPr>
      </w:pPr>
      <w:r>
        <w:rPr>
          <w:rFonts w:ascii="Times New Roman" w:hAnsi="Times New Roman" w:eastAsia="仿宋_GB2312" w:cs="Times New Roman"/>
          <w:b w:val="0"/>
          <w:bCs/>
          <w:sz w:val="32"/>
          <w:szCs w:val="32"/>
        </w:rPr>
        <w:t>4.组织及管理情况</w:t>
      </w:r>
    </w:p>
    <w:p w14:paraId="5FAF0627">
      <w:pPr>
        <w:topLinePunct/>
        <w:spacing w:line="560" w:lineRule="exact"/>
        <w:ind w:firstLine="640" w:firstLineChars="200"/>
        <w:rPr>
          <w:rFonts w:ascii="仿宋_GB2312" w:hAnsi="Times New Roman" w:eastAsia="仿宋_GB2312" w:cs="Times New Roman"/>
          <w:b/>
          <w:sz w:val="32"/>
          <w:szCs w:val="32"/>
        </w:rPr>
      </w:pPr>
      <w:r>
        <w:rPr>
          <w:rFonts w:hint="eastAsia" w:ascii="仿宋_GB2312" w:eastAsia="仿宋_GB2312"/>
          <w:color w:val="000000"/>
          <w:sz w:val="32"/>
          <w:szCs w:val="32"/>
          <w:shd w:val="clear" w:color="auto" w:fill="FFFFFF"/>
        </w:rPr>
        <w:t>县政协会议经费属历年延续项目，在使用过程中均严格按照规定执行。在机关领导的统筹安排下，相关人员按照会议要求</w:t>
      </w:r>
      <w:r>
        <w:rPr>
          <w:rFonts w:hint="eastAsia" w:ascii="仿宋_GB2312" w:eastAsia="仿宋_GB2312"/>
          <w:color w:val="000000"/>
          <w:sz w:val="32"/>
          <w:szCs w:val="16"/>
          <w:shd w:val="clear" w:color="auto" w:fill="FFFFFF"/>
        </w:rPr>
        <w:t>各司其职，共同准备会议的各项工作。</w:t>
      </w:r>
    </w:p>
    <w:p w14:paraId="131D113D">
      <w:pPr>
        <w:topLinePunct/>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（二）绩效目标</w:t>
      </w:r>
    </w:p>
    <w:p w14:paraId="114CA98F">
      <w:pPr>
        <w:pStyle w:val="11"/>
        <w:numPr>
          <w:ilvl w:val="0"/>
          <w:numId w:val="1"/>
        </w:numPr>
        <w:topLinePunct/>
        <w:spacing w:line="560" w:lineRule="exact"/>
        <w:ind w:firstLineChars="0"/>
        <w:rPr>
          <w:rFonts w:ascii="Times New Roman" w:hAnsi="Times New Roman" w:eastAsia="仿宋_GB2312" w:cs="Times New Roman"/>
          <w:b w:val="0"/>
          <w:bCs/>
          <w:sz w:val="32"/>
          <w:szCs w:val="32"/>
        </w:rPr>
      </w:pPr>
      <w:r>
        <w:rPr>
          <w:rFonts w:ascii="Times New Roman" w:hAnsi="Times New Roman" w:eastAsia="仿宋_GB2312" w:cs="Times New Roman"/>
          <w:b w:val="0"/>
          <w:bCs/>
          <w:sz w:val="32"/>
          <w:szCs w:val="32"/>
        </w:rPr>
        <w:t>总目标</w:t>
      </w:r>
    </w:p>
    <w:p w14:paraId="1B410FF9">
      <w:pPr>
        <w:topLinePunct/>
        <w:spacing w:line="560" w:lineRule="exact"/>
        <w:ind w:firstLine="627" w:firstLineChars="196"/>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通过年初预算，落实保障会议资金</w:t>
      </w:r>
      <w:r>
        <w:rPr>
          <w:rFonts w:hint="eastAsia" w:ascii="Times New Roman" w:hAnsi="Times New Roman" w:eastAsia="仿宋_GB2312" w:cs="Times New Roman"/>
          <w:b/>
          <w:sz w:val="32"/>
          <w:szCs w:val="32"/>
        </w:rPr>
        <w:t>，</w:t>
      </w:r>
      <w:r>
        <w:rPr>
          <w:rFonts w:hint="eastAsia" w:ascii="仿宋_GB2312" w:eastAsia="仿宋_GB2312"/>
          <w:color w:val="000000"/>
          <w:sz w:val="32"/>
          <w:szCs w:val="21"/>
        </w:rPr>
        <w:t>认真履行政治协商、民主监督、参政议政职能。</w:t>
      </w:r>
    </w:p>
    <w:p w14:paraId="43E94232">
      <w:pPr>
        <w:topLinePunct/>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b w:val="0"/>
          <w:bCs/>
          <w:sz w:val="32"/>
          <w:szCs w:val="32"/>
        </w:rPr>
        <w:t>2.年度目标</w:t>
      </w:r>
    </w:p>
    <w:p w14:paraId="4FD4AD1F">
      <w:pPr>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（1）产出目标。</w:t>
      </w:r>
    </w:p>
    <w:p w14:paraId="7FFAD1D2">
      <w:pPr>
        <w:topLinePunct/>
        <w:spacing w:line="560" w:lineRule="exact"/>
        <w:ind w:firstLine="640" w:firstLineChars="200"/>
        <w:rPr>
          <w:rFonts w:ascii="Times New Roman" w:hAnsi="Times New Roman" w:eastAsia="仿宋_GB2312" w:cs="Times New Roman"/>
          <w:sz w:val="32"/>
          <w:szCs w:val="32"/>
        </w:rPr>
      </w:pPr>
      <w:r>
        <w:rPr>
          <w:rFonts w:hint="eastAsia" w:ascii="仿宋_GB2312" w:eastAsia="仿宋_GB2312"/>
          <w:color w:val="000000"/>
          <w:sz w:val="32"/>
          <w:szCs w:val="21"/>
        </w:rPr>
        <w:t>按照年初工作计划组织召开了政协全体委员会，常务委员会，主席会议等会议；统筹县政协全体委员会、常务委员会、主席会等会议组织工作，贯彻落实会议召开资金保障。</w:t>
      </w:r>
    </w:p>
    <w:p w14:paraId="77B5A9A8">
      <w:pPr>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（2）效果目标。</w:t>
      </w:r>
    </w:p>
    <w:p w14:paraId="74146D30">
      <w:pPr>
        <w:topLinePunct/>
        <w:spacing w:line="560" w:lineRule="exact"/>
        <w:ind w:firstLine="640" w:firstLineChars="200"/>
        <w:rPr>
          <w:rFonts w:ascii="仿宋_GB2312" w:hAnsi="Times New Roman" w:eastAsia="仿宋_GB2312" w:cs="Times New Roman"/>
          <w:sz w:val="32"/>
          <w:szCs w:val="32"/>
        </w:rPr>
      </w:pPr>
      <w:r>
        <w:rPr>
          <w:rFonts w:hint="eastAsia" w:ascii="仿宋_GB2312" w:hAnsi="sinsum" w:eastAsia="仿宋_GB2312"/>
          <w:color w:val="333333"/>
          <w:sz w:val="32"/>
          <w:szCs w:val="32"/>
          <w:shd w:val="clear" w:color="auto" w:fill="FFFFFF"/>
        </w:rPr>
        <w:t>通过会议的召开，政协委员把对政治经济、文化和社会生活中的重要问题以及人民普遍关心的问题开展调查研究后的结果，进行协商讨论，通过调研报告、提案、建议或其他形式，向党和政府提出意见和建议。</w:t>
      </w:r>
      <w:r>
        <w:rPr>
          <w:rFonts w:hint="eastAsia" w:ascii="仿宋_GB2312" w:eastAsia="仿宋_GB2312"/>
          <w:color w:val="000000"/>
          <w:sz w:val="32"/>
          <w:szCs w:val="32"/>
        </w:rPr>
        <w:t>认真履行政治协商、民主监督、参政议政职能，切实发挥协调关系、汇聚力量、建言献策、服务大局的作用。</w:t>
      </w:r>
    </w:p>
    <w:p w14:paraId="7F0562D0">
      <w:pPr>
        <w:topLinePunct/>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二、绩效评价工作情况</w:t>
      </w:r>
    </w:p>
    <w:p w14:paraId="20F5F407">
      <w:pPr>
        <w:topLinePunct/>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（一）绩效评价目的</w:t>
      </w:r>
    </w:p>
    <w:p w14:paraId="57361A46">
      <w:pPr>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面了解项目管理过程是否规范、产出目标是否完成，效果目标是否实现等方面的内容，总结经验，查找不足，为项目在以后年度的开展提供可行性参考建议。在此基础上，重点分析项目预算编制的合理性、成本支出的真实性和控制有效性，以评价财政资金的使用效率和效果，为以后年度编制项目预算、选择项目实施主体等提供参考依据。</w:t>
      </w:r>
    </w:p>
    <w:p w14:paraId="3BBDC465">
      <w:pPr>
        <w:topLinePunct/>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（二）绩效评价原则、评价方法</w:t>
      </w:r>
    </w:p>
    <w:p w14:paraId="4090A138">
      <w:pPr>
        <w:topLinePunct/>
        <w:spacing w:line="560" w:lineRule="exact"/>
        <w:ind w:firstLine="640" w:firstLineChars="200"/>
        <w:rPr>
          <w:rFonts w:ascii="仿宋_GB2312" w:hAnsi="Times New Roman" w:eastAsia="仿宋_GB2312" w:cs="Times New Roman"/>
          <w:b/>
          <w:sz w:val="32"/>
          <w:szCs w:val="32"/>
        </w:rPr>
      </w:pPr>
      <w:r>
        <w:rPr>
          <w:rFonts w:hint="eastAsia" w:ascii="仿宋_GB2312" w:hAnsi="Times New Roman" w:eastAsia="仿宋_GB2312" w:cs="Times New Roman"/>
          <w:b w:val="0"/>
          <w:bCs/>
          <w:sz w:val="32"/>
          <w:szCs w:val="32"/>
        </w:rPr>
        <w:t>1.绩效评价原则</w:t>
      </w:r>
    </w:p>
    <w:p w14:paraId="5675737F">
      <w:pPr>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（1）科学规范。</w:t>
      </w:r>
    </w:p>
    <w:p w14:paraId="73BCB9EA">
      <w:pPr>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（2）公开公正。</w:t>
      </w:r>
    </w:p>
    <w:p w14:paraId="3068D375">
      <w:pPr>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（3）绩效相关。</w:t>
      </w:r>
    </w:p>
    <w:p w14:paraId="4FC088FF">
      <w:pPr>
        <w:topLinePunct/>
        <w:spacing w:line="560" w:lineRule="exact"/>
        <w:ind w:firstLine="640" w:firstLineChars="200"/>
        <w:rPr>
          <w:rFonts w:ascii="仿宋_GB2312" w:hAnsi="Times New Roman" w:eastAsia="仿宋_GB2312" w:cs="Times New Roman"/>
          <w:b w:val="0"/>
          <w:bCs/>
          <w:sz w:val="32"/>
          <w:szCs w:val="32"/>
        </w:rPr>
      </w:pPr>
      <w:r>
        <w:rPr>
          <w:rFonts w:hint="eastAsia" w:ascii="仿宋_GB2312" w:hAnsi="Times New Roman" w:eastAsia="仿宋_GB2312" w:cs="Times New Roman"/>
          <w:b w:val="0"/>
          <w:bCs/>
          <w:sz w:val="32"/>
          <w:szCs w:val="32"/>
        </w:rPr>
        <w:t>2.绩效评价方法</w:t>
      </w:r>
    </w:p>
    <w:p w14:paraId="5DBC8CD7">
      <w:pPr>
        <w:topLinePunct/>
        <w:spacing w:line="560" w:lineRule="exact"/>
        <w:ind w:firstLine="640" w:firstLineChars="20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根据设置的绩效评价指标，结合各项工作实际完成情况，采用综合考核进行打分，以评分结果认定评价等级。主要采用绩效目标与绩效结果进行比较，并结合指标评价、数据采集和服务对象满意度等对部门项目支出进行全面、细化、量化的评价。</w:t>
      </w:r>
    </w:p>
    <w:p w14:paraId="4D0C7AE8">
      <w:pPr>
        <w:topLinePunct/>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w:t>
      </w:r>
      <w:r>
        <w:rPr>
          <w:rFonts w:hint="eastAsia" w:ascii="黑体" w:hAnsi="黑体" w:eastAsia="黑体" w:cs="黑体"/>
          <w:sz w:val="32"/>
          <w:szCs w:val="32"/>
        </w:rPr>
        <w:t>综合评价情况及评价结论</w:t>
      </w:r>
    </w:p>
    <w:p w14:paraId="1337D452">
      <w:pPr>
        <w:topLinePunct/>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（一）评价结果</w:t>
      </w:r>
    </w:p>
    <w:p w14:paraId="39B2DFD7">
      <w:pPr>
        <w:topLinePunct/>
        <w:spacing w:line="560" w:lineRule="exact"/>
        <w:ind w:firstLine="800" w:firstLineChars="25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经评价，该项目总体完成情况良好，资金绩效目标明确，预算编制合理，项目和资金管理较为落实，项目效果良好。自评结果为：优秀。</w:t>
      </w:r>
    </w:p>
    <w:p w14:paraId="5496AB2B">
      <w:pPr>
        <w:topLinePunct/>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（二）主要绩效</w:t>
      </w:r>
    </w:p>
    <w:p w14:paraId="2506F09E">
      <w:pPr>
        <w:topLinePunct/>
        <w:spacing w:line="560" w:lineRule="exact"/>
        <w:ind w:firstLine="640" w:firstLineChars="200"/>
        <w:rPr>
          <w:rFonts w:ascii="Times New Roman" w:hAnsi="Times New Roman" w:eastAsia="楷体_GB2312" w:cs="Times New Roman"/>
          <w:sz w:val="32"/>
          <w:szCs w:val="32"/>
        </w:rPr>
      </w:pPr>
      <w:r>
        <w:rPr>
          <w:rFonts w:hint="eastAsia" w:ascii="仿宋_GB2312" w:eastAsia="仿宋_GB2312"/>
          <w:color w:val="000000"/>
          <w:sz w:val="32"/>
          <w:szCs w:val="21"/>
        </w:rPr>
        <w:t>202</w:t>
      </w:r>
      <w:r>
        <w:rPr>
          <w:rFonts w:hint="eastAsia" w:ascii="仿宋_GB2312" w:eastAsia="仿宋_GB2312"/>
          <w:color w:val="000000"/>
          <w:sz w:val="32"/>
          <w:szCs w:val="21"/>
          <w:lang w:val="en-US" w:eastAsia="zh-CN"/>
        </w:rPr>
        <w:t>5</w:t>
      </w:r>
      <w:r>
        <w:rPr>
          <w:rFonts w:hint="eastAsia" w:ascii="仿宋_GB2312" w:eastAsia="仿宋_GB2312"/>
          <w:color w:val="000000"/>
          <w:sz w:val="32"/>
          <w:szCs w:val="21"/>
        </w:rPr>
        <w:t>年度累计召开政协全会1次，开展常务委员活动</w:t>
      </w:r>
      <w:r>
        <w:rPr>
          <w:rFonts w:hint="eastAsia" w:ascii="仿宋_GB2312" w:eastAsia="仿宋_GB2312"/>
          <w:color w:val="000000"/>
          <w:sz w:val="32"/>
          <w:szCs w:val="21"/>
          <w:lang w:val="en-US" w:eastAsia="zh-CN"/>
        </w:rPr>
        <w:t>8</w:t>
      </w:r>
      <w:r>
        <w:rPr>
          <w:rFonts w:hint="eastAsia" w:ascii="仿宋_GB2312" w:eastAsia="仿宋_GB2312"/>
          <w:color w:val="000000"/>
          <w:sz w:val="32"/>
          <w:szCs w:val="21"/>
        </w:rPr>
        <w:t>次，开展情况按照年初预设计划完成，充分发挥政协工作的积极性，政协工作服务经济社会发展，关注民生福祉，为增加人民群众获得感发声致力社会建设，为构建和谐美丽幸福湘阴支招。政协专项在进行过程中得到政协委员的高度认可，各级领导的高度重视，202</w:t>
      </w:r>
      <w:r>
        <w:rPr>
          <w:rFonts w:hint="eastAsia" w:ascii="仿宋_GB2312" w:eastAsia="仿宋_GB2312"/>
          <w:color w:val="000000"/>
          <w:sz w:val="32"/>
          <w:szCs w:val="21"/>
          <w:lang w:val="en-US" w:eastAsia="zh-CN"/>
        </w:rPr>
        <w:t>5</w:t>
      </w:r>
      <w:r>
        <w:rPr>
          <w:rFonts w:hint="eastAsia" w:ascii="仿宋_GB2312" w:eastAsia="仿宋_GB2312"/>
          <w:color w:val="000000"/>
          <w:sz w:val="32"/>
          <w:szCs w:val="21"/>
        </w:rPr>
        <w:t>年工作圆满完成。202</w:t>
      </w:r>
      <w:r>
        <w:rPr>
          <w:rFonts w:hint="eastAsia" w:ascii="仿宋_GB2312" w:eastAsia="仿宋_GB2312"/>
          <w:color w:val="000000"/>
          <w:sz w:val="32"/>
          <w:szCs w:val="21"/>
          <w:lang w:val="en-US" w:eastAsia="zh-CN"/>
        </w:rPr>
        <w:t>5</w:t>
      </w:r>
      <w:r>
        <w:rPr>
          <w:rFonts w:hint="eastAsia" w:ascii="仿宋_GB2312" w:eastAsia="仿宋_GB2312"/>
          <w:color w:val="000000"/>
          <w:sz w:val="32"/>
          <w:szCs w:val="21"/>
        </w:rPr>
        <w:t>年度实际支出控制在预算内，未出现超支情况。进一步加强履职服务与管理，推动更好地履行职责，同时通过对会议经费项目活动提供经费保障。达到牢牢把握团结和民主两大主题，认真履行政治协商、民主监督、参政议政职能，切实发挥协调关系、汇聚力量、建言献策、服务大局的作用。</w:t>
      </w:r>
    </w:p>
    <w:p w14:paraId="3CFD44AF">
      <w:pPr>
        <w:pStyle w:val="5"/>
        <w:widowControl w:val="0"/>
        <w:shd w:val="clear" w:color="auto" w:fill="FFFFFF"/>
        <w:spacing w:before="0" w:beforeAutospacing="0" w:after="0" w:afterAutospacing="0" w:line="560" w:lineRule="exact"/>
        <w:ind w:firstLine="640" w:firstLineChars="200"/>
        <w:textAlignment w:val="baseline"/>
        <w:rPr>
          <w:rFonts w:ascii="Times New Roman" w:hAnsi="黑体" w:eastAsia="黑体" w:cs="Times New Roman"/>
          <w:sz w:val="32"/>
          <w:szCs w:val="32"/>
        </w:rPr>
      </w:pPr>
      <w:r>
        <w:rPr>
          <w:rFonts w:ascii="Times New Roman" w:hAnsi="黑体" w:eastAsia="黑体" w:cs="Times New Roman"/>
          <w:sz w:val="32"/>
          <w:szCs w:val="32"/>
        </w:rPr>
        <w:t>四、</w:t>
      </w:r>
      <w:r>
        <w:rPr>
          <w:rFonts w:hint="eastAsia" w:ascii="黑体" w:hAnsi="黑体" w:eastAsia="黑体" w:cs="黑体"/>
          <w:sz w:val="32"/>
          <w:szCs w:val="32"/>
        </w:rPr>
        <w:t>绩效评价指标分析</w:t>
      </w:r>
    </w:p>
    <w:p w14:paraId="458B247B">
      <w:pPr>
        <w:pStyle w:val="5"/>
        <w:widowControl w:val="0"/>
        <w:shd w:val="clear" w:color="auto" w:fill="FFFFFF"/>
        <w:spacing w:before="0" w:beforeAutospacing="0" w:after="0" w:afterAutospacing="0" w:line="560" w:lineRule="exact"/>
        <w:ind w:firstLine="640" w:firstLineChars="200"/>
        <w:jc w:val="both"/>
        <w:textAlignment w:val="baseline"/>
        <w:rPr>
          <w:rFonts w:ascii="仿宋_GB2312" w:eastAsia="仿宋_GB2312"/>
          <w:color w:val="000000"/>
          <w:sz w:val="32"/>
          <w:szCs w:val="16"/>
        </w:rPr>
      </w:pPr>
      <w:r>
        <w:rPr>
          <w:rFonts w:hint="eastAsia" w:ascii="仿宋_GB2312" w:eastAsia="仿宋_GB2312"/>
          <w:color w:val="000000"/>
          <w:sz w:val="32"/>
          <w:szCs w:val="16"/>
        </w:rPr>
        <w:t>按照年初工作计划召开政协全会、常委会主席会等相关会议，年初财政预算安排资金4</w:t>
      </w:r>
      <w:r>
        <w:rPr>
          <w:rFonts w:hint="eastAsia" w:ascii="仿宋_GB2312" w:eastAsia="仿宋_GB2312"/>
          <w:color w:val="000000"/>
          <w:sz w:val="32"/>
          <w:szCs w:val="16"/>
          <w:lang w:val="en-US" w:eastAsia="zh-CN"/>
        </w:rPr>
        <w:t>0</w:t>
      </w:r>
      <w:r>
        <w:rPr>
          <w:rFonts w:hint="eastAsia" w:ascii="仿宋_GB2312" w:eastAsia="仿宋_GB2312"/>
          <w:color w:val="000000"/>
          <w:sz w:val="32"/>
          <w:szCs w:val="16"/>
        </w:rPr>
        <w:t>万元作为我单位召开会议的支出。至年末实际支付会议费</w:t>
      </w:r>
      <w:r>
        <w:rPr>
          <w:rFonts w:hint="eastAsia" w:ascii="仿宋_GB2312" w:hAnsi="sinsum" w:eastAsia="仿宋_GB2312"/>
          <w:color w:val="333333"/>
          <w:sz w:val="32"/>
          <w:szCs w:val="32"/>
          <w:shd w:val="clear" w:color="auto" w:fill="FFFFFF"/>
          <w:lang w:val="en-US" w:eastAsia="zh-CN"/>
        </w:rPr>
        <w:t>27.46</w:t>
      </w:r>
      <w:r>
        <w:rPr>
          <w:rFonts w:hint="eastAsia" w:ascii="仿宋_GB2312" w:hAnsi="sinsum" w:eastAsia="仿宋_GB2312"/>
          <w:color w:val="333333"/>
          <w:sz w:val="32"/>
          <w:szCs w:val="32"/>
          <w:shd w:val="clear" w:color="auto" w:fill="FFFFFF"/>
        </w:rPr>
        <w:t>万元，资金</w:t>
      </w:r>
      <w:r>
        <w:rPr>
          <w:rFonts w:hint="eastAsia" w:ascii="仿宋_GB2312" w:eastAsia="仿宋_GB2312"/>
          <w:color w:val="000000"/>
          <w:sz w:val="32"/>
          <w:szCs w:val="16"/>
        </w:rPr>
        <w:t>按时足额拨款到位，充分保障了召开会议各个环节的运行。</w:t>
      </w:r>
    </w:p>
    <w:p w14:paraId="37692911">
      <w:pPr>
        <w:pStyle w:val="5"/>
        <w:widowControl w:val="0"/>
        <w:shd w:val="clear" w:color="auto" w:fill="FFFFFF"/>
        <w:spacing w:before="0" w:beforeAutospacing="0" w:after="0" w:afterAutospacing="0" w:line="560" w:lineRule="exact"/>
        <w:ind w:firstLine="640" w:firstLineChars="200"/>
        <w:jc w:val="both"/>
        <w:textAlignment w:val="baseline"/>
        <w:rPr>
          <w:rFonts w:ascii="仿宋_GB2312" w:eastAsia="仿宋_GB2312"/>
          <w:color w:val="000000"/>
          <w:sz w:val="32"/>
          <w:szCs w:val="16"/>
        </w:rPr>
      </w:pPr>
      <w:r>
        <w:rPr>
          <w:rFonts w:hint="eastAsia" w:ascii="仿宋_GB2312" w:eastAsia="仿宋_GB2312"/>
          <w:color w:val="000000"/>
          <w:sz w:val="32"/>
          <w:szCs w:val="16"/>
        </w:rPr>
        <w:t>通过相关会议的召开，政协委员把对政治经济、文化和社会生活中的重要问题以及人民普遍关心的问题开展调查研究后的结果进行协商讨论，通过调研报告、提案、建议或其他形式，向党和政府提出意见和建议。圆满完成年度预算目标。</w:t>
      </w:r>
    </w:p>
    <w:p w14:paraId="2AB9C36D">
      <w:pPr>
        <w:topLinePunct/>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五、主要经验及做法</w:t>
      </w:r>
    </w:p>
    <w:p w14:paraId="75843F05">
      <w:pPr>
        <w:pStyle w:val="5"/>
        <w:spacing w:before="0" w:beforeAutospacing="0" w:after="0" w:afterAutospacing="0"/>
        <w:ind w:firstLine="645"/>
        <w:rPr>
          <w:color w:val="000000"/>
          <w:sz w:val="32"/>
          <w:szCs w:val="32"/>
        </w:rPr>
      </w:pPr>
      <w:r>
        <w:rPr>
          <w:rFonts w:hint="eastAsia" w:ascii="仿宋_GB2312" w:eastAsia="仿宋_GB2312"/>
          <w:color w:val="000000"/>
          <w:sz w:val="32"/>
          <w:szCs w:val="32"/>
        </w:rPr>
        <w:t>项目经费严格按照单位的财务制度和预算支出范围的使用。县财政局国库支付局统一支付，按照项目计划安排和实际工作情况开支，做到了专款专用。资金的使用符合国家财经法规和财务管理制度以及有关专项资金管理办法的规定，不存在截留、挤占、挪用、虚列支出等情况。</w:t>
      </w:r>
    </w:p>
    <w:p w14:paraId="482938B5">
      <w:pPr>
        <w:numPr>
          <w:ilvl w:val="0"/>
          <w:numId w:val="2"/>
        </w:numPr>
        <w:topLinePunct/>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存在的问题及原因分析</w:t>
      </w:r>
    </w:p>
    <w:p w14:paraId="2F4D7ECB">
      <w:pPr>
        <w:numPr>
          <w:ilvl w:val="0"/>
          <w:numId w:val="0"/>
        </w:numPr>
        <w:topLinePunct/>
        <w:spacing w:line="560" w:lineRule="exact"/>
        <w:ind w:firstLine="640" w:firstLineChars="200"/>
        <w:rPr>
          <w:rFonts w:ascii="仿宋_GB2312" w:hAnsi="Times New Roman" w:eastAsia="仿宋_GB2312" w:cs="Times New Roman"/>
          <w:sz w:val="32"/>
          <w:szCs w:val="32"/>
        </w:rPr>
      </w:pPr>
      <w:r>
        <w:rPr>
          <w:rFonts w:hint="eastAsia" w:ascii="仿宋_GB2312" w:eastAsia="仿宋_GB2312"/>
          <w:color w:val="3D3D3D"/>
          <w:sz w:val="32"/>
          <w:szCs w:val="32"/>
          <w:shd w:val="clear" w:color="auto" w:fill="FFFFFF"/>
        </w:rPr>
        <w:t>项目支出核算难以十分精准。由于多数项目为非工程建设类项目，而是行政支出类事项，有些支出与机关行政运转支出难以精确区分，项目资金的核算和管理难以做到精准精细。</w:t>
      </w:r>
    </w:p>
    <w:p w14:paraId="4CA3FAD4">
      <w:pPr>
        <w:numPr>
          <w:ilvl w:val="0"/>
          <w:numId w:val="2"/>
        </w:numPr>
        <w:topLinePunct/>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有关建议</w:t>
      </w:r>
    </w:p>
    <w:p w14:paraId="42801E50">
      <w:pPr>
        <w:numPr>
          <w:ilvl w:val="0"/>
          <w:numId w:val="0"/>
        </w:numPr>
        <w:topLinePunct/>
        <w:spacing w:line="560" w:lineRule="exact"/>
        <w:ind w:firstLine="640" w:firstLineChars="200"/>
        <w:rPr>
          <w:rFonts w:ascii="仿宋_GB2312" w:hAnsi="Times New Roman" w:eastAsia="仿宋_GB2312" w:cs="Times New Roman"/>
          <w:sz w:val="32"/>
          <w:szCs w:val="32"/>
        </w:rPr>
      </w:pPr>
      <w:r>
        <w:rPr>
          <w:rFonts w:hint="eastAsia" w:ascii="仿宋_GB2312" w:eastAsia="仿宋_GB2312"/>
          <w:color w:val="000000"/>
          <w:sz w:val="32"/>
          <w:szCs w:val="18"/>
        </w:rPr>
        <w:t>加强学习，提升绩效管理水平重视和加强财务管理能力建设，抓好各项目管理人员和财务人员的培训和指导，提高预决算管理水平，增强预算绩效管理意识，提高项目绩效管理水平。</w:t>
      </w:r>
    </w:p>
    <w:bookmarkEnd w:id="0"/>
    <w:bookmarkEnd w:id="1"/>
    <w:bookmarkEnd w:id="2"/>
    <w:bookmarkEnd w:id="3"/>
    <w:p w14:paraId="4C0FAB93">
      <w:pPr>
        <w:spacing w:line="560" w:lineRule="exact"/>
        <w:ind w:firstLine="640" w:firstLineChars="200"/>
        <w:rPr>
          <w:rFonts w:ascii="Times New Roman" w:hAnsi="Times New Roman" w:eastAsia="仿宋_GB2312" w:cs="Times New Roman"/>
          <w:sz w:val="32"/>
          <w:szCs w:val="32"/>
        </w:rPr>
      </w:pPr>
      <w:bookmarkStart w:id="4" w:name="_Toc2916"/>
    </w:p>
    <w:p w14:paraId="7E453A05">
      <w:pPr>
        <w:spacing w:line="560" w:lineRule="exact"/>
        <w:ind w:firstLine="640" w:firstLineChars="200"/>
        <w:rPr>
          <w:rFonts w:ascii="Times New Roman" w:hAnsi="Times New Roman" w:eastAsia="仿宋_GB2312" w:cs="Times New Roman"/>
          <w:sz w:val="32"/>
          <w:szCs w:val="32"/>
        </w:rPr>
      </w:pPr>
    </w:p>
    <w:p w14:paraId="3DF399A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政协富民县委员会办公室202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年度政协会议经费项目资金</w:t>
      </w:r>
      <w:r>
        <w:rPr>
          <w:rFonts w:ascii="Times New Roman" w:hAnsi="Times New Roman" w:eastAsia="仿宋_GB2312" w:cs="Times New Roman"/>
          <w:sz w:val="32"/>
          <w:szCs w:val="32"/>
        </w:rPr>
        <w:t>支出绩效评价指标体系及打分表</w:t>
      </w:r>
    </w:p>
    <w:p w14:paraId="33FC9B72">
      <w:pPr>
        <w:spacing w:line="560" w:lineRule="exact"/>
        <w:ind w:firstLine="640" w:firstLineChars="200"/>
        <w:rPr>
          <w:rFonts w:ascii="Times New Roman" w:hAnsi="Times New Roman" w:eastAsia="仿宋_GB2312" w:cs="Times New Roman"/>
          <w:sz w:val="32"/>
          <w:szCs w:val="32"/>
        </w:rPr>
      </w:pPr>
    </w:p>
    <w:p w14:paraId="1ED79F7B">
      <w:pPr>
        <w:spacing w:line="560" w:lineRule="exact"/>
        <w:ind w:firstLine="640" w:firstLineChars="200"/>
        <w:rPr>
          <w:rFonts w:ascii="Times New Roman" w:hAnsi="Times New Roman" w:eastAsia="仿宋_GB2312" w:cs="Times New Roman"/>
          <w:sz w:val="32"/>
          <w:szCs w:val="32"/>
        </w:rPr>
      </w:pPr>
    </w:p>
    <w:p w14:paraId="3B7E27AA">
      <w:pPr>
        <w:spacing w:line="560" w:lineRule="exact"/>
        <w:ind w:firstLine="640" w:firstLineChars="200"/>
        <w:rPr>
          <w:rFonts w:ascii="Times New Roman" w:hAnsi="Times New Roman" w:eastAsia="仿宋_GB2312" w:cs="Times New Roman"/>
          <w:sz w:val="32"/>
          <w:szCs w:val="32"/>
        </w:rPr>
      </w:pPr>
    </w:p>
    <w:p w14:paraId="3995976D">
      <w:pPr>
        <w:spacing w:line="560" w:lineRule="exact"/>
        <w:ind w:firstLine="640" w:firstLineChars="200"/>
        <w:rPr>
          <w:rFonts w:ascii="Times New Roman" w:hAnsi="Times New Roman" w:eastAsia="仿宋_GB2312" w:cs="Times New Roman"/>
          <w:sz w:val="32"/>
          <w:szCs w:val="32"/>
        </w:rPr>
      </w:pPr>
    </w:p>
    <w:p w14:paraId="2FDD61CE">
      <w:pPr>
        <w:spacing w:line="560" w:lineRule="exact"/>
        <w:ind w:firstLine="640" w:firstLineChars="200"/>
        <w:rPr>
          <w:rFonts w:ascii="Times New Roman" w:hAnsi="Times New Roman" w:eastAsia="仿宋_GB2312" w:cs="Times New Roman"/>
          <w:sz w:val="32"/>
          <w:szCs w:val="32"/>
        </w:rPr>
      </w:pPr>
    </w:p>
    <w:p w14:paraId="4D57F17B">
      <w:pPr>
        <w:spacing w:line="560" w:lineRule="exact"/>
        <w:ind w:firstLine="640" w:firstLineChars="200"/>
        <w:rPr>
          <w:rFonts w:ascii="Times New Roman" w:hAnsi="Times New Roman" w:eastAsia="仿宋_GB2312" w:cs="Times New Roman"/>
          <w:sz w:val="32"/>
          <w:szCs w:val="32"/>
        </w:rPr>
      </w:pPr>
    </w:p>
    <w:p w14:paraId="23B8B702">
      <w:pPr>
        <w:spacing w:line="560" w:lineRule="exact"/>
        <w:ind w:firstLine="640" w:firstLineChars="200"/>
        <w:rPr>
          <w:rFonts w:ascii="Times New Roman" w:hAnsi="Times New Roman" w:eastAsia="仿宋_GB2312" w:cs="Times New Roman"/>
          <w:sz w:val="32"/>
          <w:szCs w:val="32"/>
        </w:rPr>
      </w:pPr>
    </w:p>
    <w:bookmarkEnd w:id="4"/>
    <w:p w14:paraId="1B1EAB09">
      <w:pPr>
        <w:rPr>
          <w:rFonts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insum">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53784"/>
      <w:docPartObj>
        <w:docPartGallery w:val="autotext"/>
      </w:docPartObj>
    </w:sdtPr>
    <w:sdtContent>
      <w:p w14:paraId="487F5E18">
        <w:pPr>
          <w:pStyle w:val="3"/>
          <w:jc w:val="right"/>
        </w:pPr>
        <w:r>
          <w:fldChar w:fldCharType="begin"/>
        </w:r>
        <w:r>
          <w:instrText xml:space="preserve"> PAGE   \* MERGEFORMAT </w:instrText>
        </w:r>
        <w:r>
          <w:fldChar w:fldCharType="separate"/>
        </w:r>
        <w:r>
          <w:rPr>
            <w:lang w:val="zh-CN"/>
          </w:rPr>
          <w:t>9</w:t>
        </w:r>
        <w:r>
          <w:rPr>
            <w:lang w:val="zh-CN"/>
          </w:rPr>
          <w:fldChar w:fldCharType="end"/>
        </w:r>
      </w:p>
    </w:sdtContent>
  </w:sdt>
  <w:p w14:paraId="0416572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4F354"/>
    <w:multiLevelType w:val="singleLevel"/>
    <w:tmpl w:val="18E4F354"/>
    <w:lvl w:ilvl="0" w:tentative="0">
      <w:start w:val="6"/>
      <w:numFmt w:val="chineseCounting"/>
      <w:suff w:val="nothing"/>
      <w:lvlText w:val="%1、"/>
      <w:lvlJc w:val="left"/>
      <w:rPr>
        <w:rFonts w:hint="eastAsia"/>
      </w:rPr>
    </w:lvl>
  </w:abstractNum>
  <w:abstractNum w:abstractNumId="1">
    <w:nsid w:val="798F3837"/>
    <w:multiLevelType w:val="multilevel"/>
    <w:tmpl w:val="798F3837"/>
    <w:lvl w:ilvl="0" w:tentative="0">
      <w:start w:val="1"/>
      <w:numFmt w:val="decimal"/>
      <w:lvlText w:val="%1."/>
      <w:lvlJc w:val="left"/>
      <w:pPr>
        <w:ind w:left="1003" w:hanging="36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640AE"/>
    <w:rsid w:val="0003267E"/>
    <w:rsid w:val="00062F73"/>
    <w:rsid w:val="00094DB0"/>
    <w:rsid w:val="000D0D98"/>
    <w:rsid w:val="000E3F5D"/>
    <w:rsid w:val="000E7790"/>
    <w:rsid w:val="00131F9B"/>
    <w:rsid w:val="00163DDC"/>
    <w:rsid w:val="001640AE"/>
    <w:rsid w:val="00164180"/>
    <w:rsid w:val="001818B2"/>
    <w:rsid w:val="001C53DE"/>
    <w:rsid w:val="001F0E58"/>
    <w:rsid w:val="002020EC"/>
    <w:rsid w:val="00202F55"/>
    <w:rsid w:val="0021586A"/>
    <w:rsid w:val="00237B9D"/>
    <w:rsid w:val="00241E48"/>
    <w:rsid w:val="00244900"/>
    <w:rsid w:val="0024582A"/>
    <w:rsid w:val="00270637"/>
    <w:rsid w:val="002B5392"/>
    <w:rsid w:val="003070D3"/>
    <w:rsid w:val="0035374E"/>
    <w:rsid w:val="003B346C"/>
    <w:rsid w:val="0044562C"/>
    <w:rsid w:val="00490958"/>
    <w:rsid w:val="004A18B3"/>
    <w:rsid w:val="004E6E08"/>
    <w:rsid w:val="00523B01"/>
    <w:rsid w:val="00531418"/>
    <w:rsid w:val="00553062"/>
    <w:rsid w:val="00592329"/>
    <w:rsid w:val="005C2296"/>
    <w:rsid w:val="005F69C4"/>
    <w:rsid w:val="00612182"/>
    <w:rsid w:val="00616BA5"/>
    <w:rsid w:val="0063307C"/>
    <w:rsid w:val="006366B5"/>
    <w:rsid w:val="006567A8"/>
    <w:rsid w:val="00684469"/>
    <w:rsid w:val="006A26C1"/>
    <w:rsid w:val="006A2953"/>
    <w:rsid w:val="006E08EA"/>
    <w:rsid w:val="0072702B"/>
    <w:rsid w:val="007436D9"/>
    <w:rsid w:val="00757D4A"/>
    <w:rsid w:val="00781D47"/>
    <w:rsid w:val="007B06E4"/>
    <w:rsid w:val="007B557C"/>
    <w:rsid w:val="007D0EBC"/>
    <w:rsid w:val="00854545"/>
    <w:rsid w:val="00896CBE"/>
    <w:rsid w:val="008B388B"/>
    <w:rsid w:val="008D46B1"/>
    <w:rsid w:val="008E6CA2"/>
    <w:rsid w:val="009D1170"/>
    <w:rsid w:val="009F7A94"/>
    <w:rsid w:val="00A01AE7"/>
    <w:rsid w:val="00A75183"/>
    <w:rsid w:val="00A9773E"/>
    <w:rsid w:val="00AD0783"/>
    <w:rsid w:val="00AE1811"/>
    <w:rsid w:val="00AE47AA"/>
    <w:rsid w:val="00B02F60"/>
    <w:rsid w:val="00C14378"/>
    <w:rsid w:val="00C1533E"/>
    <w:rsid w:val="00C2794A"/>
    <w:rsid w:val="00C5210E"/>
    <w:rsid w:val="00CD21CC"/>
    <w:rsid w:val="00D16B43"/>
    <w:rsid w:val="00DD2996"/>
    <w:rsid w:val="00DE0637"/>
    <w:rsid w:val="00E2786E"/>
    <w:rsid w:val="00E54E06"/>
    <w:rsid w:val="00EB0B27"/>
    <w:rsid w:val="00F20014"/>
    <w:rsid w:val="00F35C21"/>
    <w:rsid w:val="00F920C0"/>
    <w:rsid w:val="00FC5B60"/>
    <w:rsid w:val="00FC75B7"/>
    <w:rsid w:val="00FD134A"/>
    <w:rsid w:val="12217C56"/>
    <w:rsid w:val="295A12DC"/>
    <w:rsid w:val="343E6D52"/>
    <w:rsid w:val="46CB65F7"/>
    <w:rsid w:val="4C612D27"/>
    <w:rsid w:val="500C2359"/>
    <w:rsid w:val="5AF014CE"/>
    <w:rsid w:val="61C37FE9"/>
    <w:rsid w:val="61C9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keepNext/>
      <w:keepLines/>
      <w:widowControl/>
      <w:overflowPunct w:val="0"/>
      <w:autoSpaceDE w:val="0"/>
      <w:autoSpaceDN w:val="0"/>
      <w:adjustRightInd w:val="0"/>
      <w:spacing w:before="260" w:after="260" w:line="416" w:lineRule="auto"/>
      <w:outlineLvl w:val="1"/>
    </w:pPr>
    <w:rPr>
      <w:rFonts w:ascii="Arial" w:hAnsi="Arial" w:eastAsia="黑体" w:cs="Times New Roman"/>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2 Char"/>
    <w:basedOn w:val="7"/>
    <w:link w:val="2"/>
    <w:qFormat/>
    <w:uiPriority w:val="9"/>
    <w:rPr>
      <w:rFonts w:ascii="Arial" w:hAnsi="Arial" w:eastAsia="黑体" w:cs="Times New Roman"/>
      <w:b/>
      <w:bCs/>
      <w:kern w:val="0"/>
      <w:sz w:val="32"/>
      <w:szCs w:val="32"/>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A08AA-8D89-4E71-8E40-32BB000DB8AF}">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5</Pages>
  <Words>1038</Words>
  <Characters>1070</Characters>
  <Lines>35</Lines>
  <Paragraphs>10</Paragraphs>
  <TotalTime>2</TotalTime>
  <ScaleCrop>false</ScaleCrop>
  <LinksUpToDate>false</LinksUpToDate>
  <CharactersWithSpaces>1072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2022-03-10T07:39:00Z</dcterms:created>
  <dc:creator>Lenovo</dc:creator>
  <cp:lastModifiedBy>momo</cp:lastModifiedBy>
  <cp:lastPrinted>2024-03-05T02:09:00Z</cp:lastPrinted>
  <dcterms:modified xsi:type="dcterms:W3CDTF">2026-05-08T07:25:49Z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eyJoZGlkIjoiNzQ4ZTZhZDMyNTkwZmUxMTJhMzgzZDEzMWZlM2U4MjYiLCJ1c2VySWQiOiIxMDg0Njk1MDExIn0=</vt:lpwstr>
  </property>
  <property fmtid="{D5CDD505-2E9C-101B-9397-08002B2CF9AE}" pid="4" name="ICV">
    <vt:lpwstr>544A7B13B0224793A070A95420C00BBF_12</vt:lpwstr>
  </property>
</Properties>
</file>