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机构编制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物理终端升级改造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网络系统运行经费项目支出绩效评价报告</w:t>
      </w:r>
    </w:p>
    <w:p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topLinePunct/>
        <w:spacing w:line="560" w:lineRule="exact"/>
        <w:ind w:firstLine="800" w:firstLineChars="2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topLinePunct/>
        <w:spacing w:line="56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立项背景及目的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确保县级</w:t>
      </w:r>
      <w:bookmarkStart w:id="0" w:name="_GoBack"/>
      <w:r>
        <w:rPr>
          <w:rFonts w:hint="eastAsia" w:ascii="仿宋_GB2312" w:hAnsi="华文仿宋" w:eastAsia="仿宋_GB2312"/>
          <w:sz w:val="32"/>
          <w:szCs w:val="32"/>
          <w:lang w:eastAsia="zh-CN"/>
        </w:rPr>
        <w:t>机构编制</w:t>
      </w:r>
      <w:bookmarkEnd w:id="0"/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网络管理系统终端接入工作顺利开展</w:t>
      </w:r>
      <w:r>
        <w:rPr>
          <w:rFonts w:hint="eastAsia" w:ascii="仿宋_GB2312" w:hAnsi="华文仿宋" w:eastAsia="仿宋_GB2312"/>
          <w:sz w:val="32"/>
          <w:szCs w:val="32"/>
        </w:rPr>
        <w:t>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终端物理环境和设备等符合保密安全要求。</w:t>
      </w:r>
    </w:p>
    <w:p>
      <w:pPr>
        <w:topLinePunct/>
        <w:spacing w:line="560" w:lineRule="exact"/>
        <w:ind w:firstLine="800" w:firstLineChars="25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项目实施情况</w:t>
      </w:r>
    </w:p>
    <w:p>
      <w:pPr>
        <w:spacing w:line="520" w:lineRule="exact"/>
        <w:ind w:firstLine="640" w:firstLineChars="200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机构编制网络管理物理终端升级改造和网络系统运行经费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支出了8.62万元，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用于机构编制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系统物理终端环境改造，改造内容包括：监控、门禁、红外报警、安全保密设备和集成实施费用以及防火墙、交换机等网络设备，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确保了机构编制系统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稳定运行。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资金来源及使用情况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年根据富财预〔202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年初预算机构编制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物理终端升级改造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网络系统运行经费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万元；经费支出主要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用于机构编制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系统终端物理环境改造，改造内容包括：监控、门禁、红外报警、安全保密设备和集成实施费用以及防火墙、交换机等网络设备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（二）项目绩效目标。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确保机构编制系统终端物理环境和设备等符合保密安全要求，顺利完成网络接入以访问编办业务系统。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（1）项目组织情况：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成立了以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县委编办主任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为组长，副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为副组长，各业务科室负责人为成员的项目领导小组，领导小组下设办公室，项目实施小组由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组成，负责项目的具体执行，如与平台公司沟通协调、推进平台建设与运维工作落实等；监督小组由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人员组成，负责对项目资金使用、实施进度进行全程监督；技术支持由平台工程师组成，为项目提供技术保障，解决技术难题，确保平台稳定运行。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（2）项目实施流程：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县委编办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富财预〔202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文件要求机构编制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物理终端升级改造和网络系统运行经费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。对于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机构编制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物理终端升级改造网络系统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，需报请领导小组会议研究决定，会议通过后严格按照相关流程签订详细的服务合同，明确双方权利义务、服务内容、服务期限、费用支付等关键条款，按期支付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机构编制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物理终端升级改造网络系统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，确保平台在合同服务期限内平稳运行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（3）资金拨付流程：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科室提请支付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机构编制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物理终端升级改造网络系统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需求，经过领导小组研究决定是否同意支付，待同意支付后，依据审核无误的原始单据按照签订的合同金额按时支付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二、绩效评价工作情况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及范围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本次绩效评价全面、客观地评估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机构编制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物理终端升级改造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网络系统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及相关服务经费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使用效益，了解运维工作对平台稳定运行及业务开展的支持效果，为后续预算安排、资金管理及运维服务优化提供科学依据。评价不仅关注资金使用的合规性，更着重衡量运维工作在提升平台性能、保障业务流程顺畅等方面的实际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机构编制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物理终端升级改造网络系统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及相关服务经费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2025年期间的全部经费支出，包括但不限于平台系统的日常维护、故障修复、功能提升、安全防护等相关运维活动。同时，将运维护服务提供方的服务过程和成果纳入评价范畴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topLinePunct/>
        <w:spacing w:line="56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（二）绩效评价原则、评价方法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1.绩效评价原则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（1）科学规范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绩效自评原则是按照科学规范原则，要求绩效评价严格遵循既定程序，科学可行；分级分类原则要求根据评价对象特点分类组织实施；绩效相关原则要求支出与其产出之间有紧密相关关系.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（2）公开公正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评价结果应客观公正，并接受社会公开监督。根据相关法律法规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规章制度和相应的技术规范，及时制定了我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绩效评价规章制度，并组织指导我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预算的绩效评价工作，按要求对整体支出绩效实施评价或再评价；向财政部门报送绩效评价报告；落实财政部门整改意见；根据绩效评价结果改进预算支出管理意见并督促落实。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（3）绩效评价依据</w:t>
      </w:r>
    </w:p>
    <w:p>
      <w:pPr>
        <w:topLinePunct/>
        <w:spacing w:line="560" w:lineRule="exact"/>
        <w:ind w:firstLine="800" w:firstLineChars="25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绩效评价依据：（1）《中华人民共和国预算法》（2014年修订）；（2）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财政部《项目支出绩效评价管理办法》（财预〔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；（3）《云南省省级预算绩效评估管理暂行办法》（云财绩〔2024〕13号）；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昆明市财政支出绩效评价实施办法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中共昆明市委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昆明市人民政府关于全面实施预算绩效管理的实施意见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2.绩效评价方法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及标准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）绩效评价方法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评价。不断完善资金绩效考评制度，形成规范有序、指标清晰、公开透明、便于操作的考评体系，对资金项目进行绩效自评，通过自评，总结经验，找准问题，为进一步加强规范项目和资金管理，完善管理办法，指导项目预算编制，优化财政资金支出结构提供决策参考和依据。在被评价项目相关资料真实、可靠的基础上，经查看项目实施成果和听取项目实施效果，按照上级下达的项目支出绩效评价指标体系，自评小组针对申报内容、实施情况、资金兑现、财务管理、社会效益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做出自我评价。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）绩效评价标准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计划标准。指以预先制定的目标、计划、预算、定额等作为评价标准。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行业标准。指参照国家公布的行业指标数据制定的评价标准。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历史标准。指参照历史数据制定的评价标准，为体现绩效改进的原则，在可实现的条件下应当确定相对较高的评价标准。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（三）绩效评价工作流程：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成立工作小组；</w:t>
      </w:r>
    </w:p>
    <w:p>
      <w:pPr>
        <w:topLinePunct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确定绩效评价对象和范围；</w:t>
      </w:r>
    </w:p>
    <w:p>
      <w:pPr>
        <w:topLinePunct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收集绩效评价相关数据资料；</w:t>
      </w:r>
    </w:p>
    <w:p>
      <w:pPr>
        <w:topLinePunct/>
        <w:spacing w:line="560" w:lineRule="exact"/>
        <w:ind w:firstLine="800" w:firstLineChars="25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4.制定评价指标体系与方案；</w:t>
      </w:r>
    </w:p>
    <w:p>
      <w:pPr>
        <w:topLinePunct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审核资料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核实有关情况，分析形成初步结论；</w:t>
      </w:r>
    </w:p>
    <w:p>
      <w:pPr>
        <w:topLinePunct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问卷调查与走访交流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topLinePunct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综合分析并形成最终结论；</w:t>
      </w:r>
    </w:p>
    <w:p>
      <w:pPr>
        <w:topLinePunct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提交绩效评价报告；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建立绩效评价档案。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三、评价结论</w:t>
      </w:r>
    </w:p>
    <w:p>
      <w:pPr>
        <w:topLinePunct/>
        <w:spacing w:line="56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（一）绩效评价综合结论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机构编制网络管理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物理终端升级改造和网络系统运行经费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项目绩效自评为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分，评定等级为“优”。 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部门项目支出绩效评价的要求，我单位按照项目支出绩效评价指标进行分析，成立项目自评工作小组，结合评价内容，做到有计划，有安排，扎实开展本次自评工作。按照上级下达的项目支出绩效评价指标体系，自评小组针对申报内容、实施情况、资金兑现、财务管理、社会效益等作出自我评价，做好自评工作。自评结果“优”。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1.投入目标实现情况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①预算执行率达标。本项目年初设定预算为10万元，保障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机构编制网络管理系统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正常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。在项目执行过程中实际拨付项目经费8.62万元，预算执行率达到86.2%，符合既定的预算执行目标；</w:t>
      </w:r>
    </w:p>
    <w:p>
      <w:pPr>
        <w:topLinePunct/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资金使用合规率高。在资金使用方面，严格遵守国家财经法规和财务管理制度。所有资金支出都有完整的审批流程，报销凭证齐全、手续完备，无截留、挪用、虚报等违规现象，充分保障了资金使用的安全性和规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2.过程目标实现情况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平台公司由具备丰富经验和专业技能的人员组成，确保了在面对平台出现的各种问题时，能够迅速、准确地进行处理。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项目立项依据充分，符合系统实际需求；绩效目标设定合理，明确了项目的总体方向和阶段性任务。</w:t>
      </w:r>
    </w:p>
    <w:p>
      <w:pPr>
        <w:widowControl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（二）项目过程情况分析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资金管理方面，项目资金使用基本规范，严格按照财务制度和合同约定进行支付，但存在项目资金支付进度滞后的问题，主要原因是县财政资金统筹安排存在一定困难。项目管理制度健全，各相关方职责明确。</w:t>
      </w:r>
    </w:p>
    <w:p>
      <w:pPr>
        <w:widowControl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（三）项目产出情况分析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确保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机构编制网络管理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终端物理环境和设备等符合保密安全要求，顺利完成网络接入以访问编办业务系统。</w:t>
      </w:r>
    </w:p>
    <w:p>
      <w:pPr>
        <w:widowControl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（四）项目效益情况分析</w:t>
      </w:r>
    </w:p>
    <w:p>
      <w:pPr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服务对象满意度：通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过开展平台用户满意度调查，结果显示，用户对平台的稳定性、功能实用性以及运维服务的及时性和专业性给予了高度评价，这表明了系统升级工作得到了认可，为平台持续优化奠定了良好的基础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>
      <w:pPr>
        <w:widowControl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对照年初确定的绩效目标，加强项目和资金管理，确保资金使用合规合法，促进工作效率提高，保障项目和资金管理顺利完成。</w:t>
      </w:r>
    </w:p>
    <w:p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>
      <w:pPr>
        <w:widowControl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绩效指标设立科学性有待加强。项目实施后的经费支出情况有待更细化、更完整、更科学。</w:t>
      </w:r>
    </w:p>
    <w:p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>
      <w:pPr>
        <w:widowControl/>
        <w:ind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进一步完善项目绩效目标及绩效指标。项目绩效指标需结合项目明细具体设置，尽可能全面、客观的反映项目产出及效果。</w:t>
      </w:r>
    </w:p>
    <w:p>
      <w:pPr>
        <w:spacing w:line="600" w:lineRule="exact"/>
        <w:ind w:left="263" w:leftChars="125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>
      <w:pPr>
        <w:widowControl/>
        <w:ind w:firstLine="320" w:firstLineChars="1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E937D61"/>
    <w:rsid w:val="12927D71"/>
    <w:rsid w:val="28833A63"/>
    <w:rsid w:val="352B5CAC"/>
    <w:rsid w:val="38CB46D9"/>
    <w:rsid w:val="3A90757B"/>
    <w:rsid w:val="47AB5584"/>
    <w:rsid w:val="4ED1087D"/>
    <w:rsid w:val="60372325"/>
    <w:rsid w:val="65C962EA"/>
    <w:rsid w:val="672A307A"/>
    <w:rsid w:val="69A71113"/>
    <w:rsid w:val="6F951797"/>
    <w:rsid w:val="7CE80620"/>
    <w:rsid w:val="DFF6F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Times New Roman" w:eastAsia="宋体" w:cs="Times New Roman"/>
      <w:sz w:val="13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7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2021-01-08T13:40:00Z</dcterms:created>
  <dc:creator>lenovo</dc:creator>
  <cp:lastModifiedBy>县委编办</cp:lastModifiedBy>
  <cp:lastPrinted>2025-04-01T11:22:00Z</cp:lastPrinted>
  <dcterms:modified xsi:type="dcterms:W3CDTF">2026-05-12T09:27:39Z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FD8E0F86319047D218F0026A3E9CD78F_42</vt:lpwstr>
  </property>
</Properties>
</file>