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BA85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富民县图书馆《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2025年中央补助地方公共文化服务体系建设资金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项目资金支出绩效</w:t>
      </w:r>
    </w:p>
    <w:p w14:paraId="29E483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44"/>
          <w:szCs w:val="44"/>
        </w:rPr>
        <w:t>评价报告</w:t>
      </w:r>
    </w:p>
    <w:p w14:paraId="3AF994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</w:p>
    <w:p w14:paraId="060365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一、基本情况</w:t>
      </w:r>
    </w:p>
    <w:p w14:paraId="37ADEE8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（一）项目概况</w:t>
      </w:r>
    </w:p>
    <w:p w14:paraId="2C8D0A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项目背景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为深入贯彻《中华人民共和国公共图书馆法》《云南省公共图书馆美术馆文化馆（站）免费开放补助资金管理办法》等文件精神，落实国家、省、市关于公共文化设施免费开放的工作部署，保障人民群众基本文化权益，提升公共文化服务均等化、标准化水平，加快“书香富民”建设，富民县图书馆实施2025年“三馆一站”免费开放省级配套资金项目，确保图书馆公共空间设施场地与基本服务项目全程免费开放。</w:t>
      </w:r>
    </w:p>
    <w:p w14:paraId="6287F4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主要内容及实施情况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项目核心围绕图书馆免费开放基本职能展开，全年稳定推进以下工作：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设施免费开放。图书借阅区、报刊阅览区、少儿阅览区、电子阅览室、地方文献室等全区域免费开放，全年无闭馆日，严格执行每周开放时长不低于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6小时、节假日正常开放的服务标准。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基本服务免费。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免费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提供图书借阅、报刊阅览、文献查询、公益讲座、展览展示、读者咨询、数字资源访问等基础服务。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提质增效。开展全民阅读推广、送书下乡、流动图书服务、读者培训、文化志愿服务等延伸服务；优化馆藏资源，更新图书文献，完善图书加工与馆藏维护；提升馆内设施设备运维水平，保障服务环境安全舒适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规范管理运行。严格落实免费开放公示制度，公开服务项目、开放时间、规章制度；完善读者服务流程，提升服务效率与质量。</w:t>
      </w:r>
    </w:p>
    <w:p w14:paraId="2010D0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楷体_GB2312" w:hAnsi="楷体_GB2312" w:eastAsia="仿宋_GB2312" w:cs="楷体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资金投入和使用情况。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和12月23日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我单位共收到富民县文化和旅游局下拨2025年中央补助地方公共文化服务体系建设资金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13.36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和6万元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该笔资金未使用，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截止到2025年12月31日</w:t>
      </w:r>
      <w:r>
        <w:rPr>
          <w:rFonts w:hint="eastAsia" w:ascii="Times New Roman" w:hAnsi="Times New Roman" w:eastAsia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结余19.36万元，计划在2026年列支完毕。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资金专项用于图书馆免费开放相关支出，专款专用。</w:t>
      </w:r>
    </w:p>
    <w:p w14:paraId="71FEA0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（二）项目绩效目标</w:t>
      </w:r>
    </w:p>
    <w:p w14:paraId="743598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总体目标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保障富民县图书馆全年免费开放稳定运行，完善公共文化服务设施，丰富馆藏资源，提升服务质量与效率，满足群众基本文化需求，提高群众文化素养，推动全民阅读深入开展，助力全县公共文化服务体系高质量建设。</w:t>
      </w:r>
    </w:p>
    <w:p w14:paraId="2B17F8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</w:rPr>
        <w:t>阶段性目标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服务保障。图书馆全年免费开放天数≥365天，每周开放时长≥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小时，基本服务项目免费率100%。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服务效能。年接待读者≥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1万余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人次，图书外借≥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5000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册次，开展阅读推广等公益活动≥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场，服务群众≥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人次。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服务满意度。读者服务满意度≥90%，无重大服务投诉事件。</w:t>
      </w:r>
      <w:r>
        <w:rPr>
          <w:rFonts w:hint="eastAsia" w:ascii="Times New Roman" w:hAnsi="Times New Roman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四是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lang w:eastAsia="zh-CN"/>
        </w:rPr>
        <w:t>规范管理。资金使用合规率100%，项目管理制度健全，执行到位，档案资料完整规范。</w:t>
      </w:r>
    </w:p>
    <w:p w14:paraId="413E27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（三）项目组织管理情况</w:t>
      </w:r>
    </w:p>
    <w:p w14:paraId="3950113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相关方职责分工。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主管部门富民县文化和旅游局负责项目资金下达、政策指导、监督检查，统筹协调免费开放工作推进。实施单位富民县图书馆为项目责任主体，馆长为第一责任人，负责项目具体实施、资金使用、服务开展、绩效自评、资料归档等全流程工作。内部科室办公室负责资金管理、财务核算、制度建设、后勤保障；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业务部门负责资源建设、读者服务、活动策划、业务培训；各阅览区负责日常开放、读者接待、设施维护。</w:t>
      </w:r>
    </w:p>
    <w:p w14:paraId="5C20A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2.管理流程。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val="en-US" w:eastAsia="zh-CN"/>
        </w:rPr>
        <w:t>前期制定年度免费开放实施方案与绩效目标，明确工作任务、资金预算、责任分工，报主管部门审核备案。中期按计划推进免费开放服务与活动开展，规范资金支出审批流程，建立资金使用台账，定期开展自查自纠，及时整改问题。后期收集整理项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目资料，开展绩效自评，总结经验做法，分析存在问题，形成绩效评价报告并上报。</w:t>
      </w:r>
    </w:p>
    <w:p w14:paraId="00BDBF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3.组织实施。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成立以馆长为组长，馆员为成员的免费开放工作领导小组，统筹项目实施；定期召开工作会议，部署工作任务、解决实施难题；加强业务培训，提升服务能力；严格落实考勤、服务规范、安全管理等制度，保障免费开放有序运行。</w:t>
      </w:r>
    </w:p>
    <w:p w14:paraId="747D66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4.制度建设情况。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完善《富民县图书馆免费开放管理制度》《专项资金管理办法》《财务报销审批制度》《读者服务规范》《设施设备维护制度》《安全应急预案》等内部管理制度，形成“用制度管人、按制度办事”的管理机制，确保项目实施规范、资金使用安全。</w:t>
      </w:r>
    </w:p>
    <w:p w14:paraId="65DFF7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二、绩效评价工作开展情况</w:t>
      </w:r>
    </w:p>
    <w:p w14:paraId="1E49B4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（一）绩效评价目的、对象和范围</w:t>
      </w:r>
    </w:p>
    <w:p w14:paraId="55F3130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评价目的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面了解2025年免费开放省级配套资金项目实施、资金使用、目标完成情况；总结经验做法，查找问题不足；客观评价项目绩效，为优化资金管理、提升服务效能、完善政策决策提供依据，提高财政资金使用效益。</w:t>
      </w:r>
    </w:p>
    <w:p w14:paraId="0E056E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评价对象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富民县图书馆2025年“三馆一站”免费开放省级配套资金项目。</w:t>
      </w:r>
    </w:p>
    <w:p w14:paraId="6F94E1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评价范围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涵盖项目决策、资金管理、实施过程、服务产出、项目效益等全流程，涉及资金使用、开放时长、资源建设、服务活动、群众满意度、制度执行等全部内容。</w:t>
      </w:r>
    </w:p>
    <w:p w14:paraId="3E2CC0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（二）绩效评价原则、依据、评价指标体系（附表说明）、评价方法、评价标准、评价抽样等</w:t>
      </w:r>
    </w:p>
    <w:p w14:paraId="48B440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绩效评价原则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坚持科学规范、客观公正、实事求是、绩效导向、公开透明原则，确保评价结果真实、准确、可靠。</w:t>
      </w:r>
    </w:p>
    <w:p w14:paraId="7E2A59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绩效评价依据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《中华人民共和国公共图书馆法》；《云南省公共图书馆美术馆文化馆（站）免费开放补助资金管理办法》；《中共中央、国务院关于全面实施预算绩效管理的意见》；富民县财政局、文旅局关于免费开放资金管理、绩效评价的相关文件要求；项目实施方案、绩效目标申报表、财务凭证、服务台账、活动记录、读者反馈等资料。</w:t>
      </w:r>
    </w:p>
    <w:p w14:paraId="313EB0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评价指标体系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参照项目支出绩效评价指标体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系框架，结合图书馆免费开放实际，构建“产出—效益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满意度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个一级指标、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个二级指标、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个三级指标的评价体系，总分100分。</w:t>
      </w:r>
    </w:p>
    <w:p w14:paraId="338A9F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评价方法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比较分析法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对比项目绩效目标与实际完成情况，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分析目标实现程度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成本效益分析法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核算资金投入与产出效益，评价资金使用效率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公众评议法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发放读者满意度调查问卷，收集群众评价意见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台账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研究法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查阅财务账目、服务记录、活动资料、制度文件等，核实项目实施情况。</w:t>
      </w:r>
    </w:p>
    <w:p w14:paraId="4CE573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5.绩效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评价标准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以项目既定绩效目标、行业服务标准、财政资金管理规定、上级工作要求为核心标准，结合县级图书馆平均水平，设定优秀、良好、合格、不合格4个等级标准。</w:t>
      </w:r>
    </w:p>
    <w:p w14:paraId="22E4EF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6.绩效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评价抽样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资金抽样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全覆盖核查所有资金支出凭证，确保合规性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服务抽样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随机抽取2025年各月度开放记录、图书借阅记录、活动档案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满意度抽样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发放读者问卷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份，回收有效问卷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份，有效回收率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%。</w:t>
      </w:r>
    </w:p>
    <w:p w14:paraId="7E525E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（三）绩效评价工作流程</w:t>
      </w:r>
    </w:p>
    <w:p w14:paraId="7F4250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准备阶段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成立绩效评价工作小组，制定评价方案，明确评价指标、方法、流程；收集项目实施方案、资金文件、财务资料、服务数据、活动记录等基础材料。</w:t>
      </w:r>
    </w:p>
    <w:p w14:paraId="27DC31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实施阶段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开展资料核查、现场勘查、数据统计、读者问卷调查；对照评价指标逐项评分，核实目标完成情况，分析问题原因。</w:t>
      </w:r>
    </w:p>
    <w:p w14:paraId="4337E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报告阶段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整理评价数据，撰写绩效评价报告，形成评价结论与整改建议；报告经内部审核、主管部门复核后定稿上报。</w:t>
      </w:r>
    </w:p>
    <w:p w14:paraId="19DE4A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三、综合评价情况及评价结论（附相关评分表）</w:t>
      </w:r>
    </w:p>
    <w:p w14:paraId="6BF20A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一）绩效评价综合结论</w:t>
      </w:r>
    </w:p>
    <w:p w14:paraId="43805A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经综合评价，富民县图书馆2025年免费开放省级配套资金项目绩效评价得分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分，评价等级为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优秀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。项目严格执行政策要求，资金使用规范合规，免费开放服务稳定运行，服务产出超额完成预期，社会效益显著，有效保障了群众基本文化权益，但在资源更新速度、活动创新力度等方面仍需提升。</w:t>
      </w:r>
    </w:p>
    <w:p w14:paraId="1C75E4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（二）绩效目标实现情况等</w:t>
      </w:r>
    </w:p>
    <w:p w14:paraId="66EA87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服务保障目标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全年免费开放365天，每周开放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小时，基本服务免费率100%，全面完成开放时长与服务免费目标。</w:t>
      </w:r>
    </w:p>
    <w:p w14:paraId="57E5DF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服务效能目标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年接待读者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3.2万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人次，完成目标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%；开展阅读推广、讲座、送书下乡等活动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场，服务群众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人次，完成目标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%。</w:t>
      </w:r>
    </w:p>
    <w:p w14:paraId="21BEB2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满意度目标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读者满意度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%，高于90%的预期目标；全年无重大服务投诉，目标完成。</w:t>
      </w:r>
    </w:p>
    <w:p w14:paraId="51C2E5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规范管理目标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资金使用合规率100%，制度健全且执行到位，档案资料完整，目标全面完成。</w:t>
      </w:r>
    </w:p>
    <w:p w14:paraId="36BFD5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四、绩效评价指标分析</w:t>
      </w:r>
    </w:p>
    <w:p w14:paraId="006F67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（一）项目决策情况分析</w:t>
      </w:r>
    </w:p>
    <w:p w14:paraId="7BE824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项目立项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项目依据国家、省、市免费开放政策立项，符合公共文化服务发展需求，立项依据充分、程序规范。</w:t>
      </w:r>
    </w:p>
    <w:p w14:paraId="6369AA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绩效目标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绩效目标设定科学、明确、可量化，与项目职能、资金规模匹配，目标分解合理。</w:t>
      </w:r>
    </w:p>
    <w:p w14:paraId="2171CD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资金分配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省级配套资金及时足额到位，分配方案符合管理办法，与免费开放工作任务匹配。</w:t>
      </w:r>
    </w:p>
    <w:p w14:paraId="26E464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（二）项目过程情况分析</w:t>
      </w:r>
    </w:p>
    <w:p w14:paraId="61D81EA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资金管理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严格执行专款专用、国库集中支付制度，支出范围合规，审批流程规范，财务核算准确，台账完整，无挤占、挪用、截留情况。</w:t>
      </w:r>
    </w:p>
    <w:p w14:paraId="0F9A34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组织实施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组织机构健全，职责分工明确，管理制度完善，业务培训到位，服务流程规范，安全管理到位，项目推进有序。</w:t>
      </w:r>
    </w:p>
    <w:p w14:paraId="5BB381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监督管理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定期开展内部自查，主动接受主管部门、财政部门监督检查，发现问题及时整改，档案资料收集完整。</w:t>
      </w:r>
    </w:p>
    <w:p w14:paraId="693D0D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（三）项目产出情况分析</w:t>
      </w:r>
    </w:p>
    <w:p w14:paraId="303AF9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开放服务产出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免费开放天数、时长达标，基本服务项目全覆盖，服务流程高效，设施环境整洁，产出数量、质量达标。</w:t>
      </w:r>
    </w:p>
    <w:p w14:paraId="46A095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资源建设产出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新增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报刊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、期刊、数字资源数量达标，图书加工规范，馆藏结构优化，满足读者需求。</w:t>
      </w:r>
    </w:p>
    <w:p w14:paraId="4C0DBD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活动开展产出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阅读推广、公益讲座、送书下乡等活动场次、参与人数达标，活动形式多样，覆盖不同群体，。</w:t>
      </w:r>
    </w:p>
    <w:p w14:paraId="1CDC55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服务效率产出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读者接待、图书借阅、问题处理效率提升，自助服务设备运行稳定，服务响应及时。</w:t>
      </w:r>
    </w:p>
    <w:p w14:paraId="596553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（四）项目效益情况分析</w:t>
      </w:r>
    </w:p>
    <w:p w14:paraId="11ED6B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保障群众基本文化权益，丰富群众精神文化生活，推动全民阅读，提升县域文化氛围，助力公共文化服务体系建设，社会效益显著。</w:t>
      </w:r>
    </w:p>
    <w:p w14:paraId="7D6D74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服务效益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读者满意度高，服务口碑良好，吸引更多群众走进图书馆，服务覆盖面持续扩大。</w:t>
      </w:r>
    </w:p>
    <w:p w14:paraId="0F1387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可持续效益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免费开放机制稳定，管理制度成熟，服务能力提升，为后续免费开放工作奠定基础，可持续性强。</w:t>
      </w:r>
    </w:p>
    <w:p w14:paraId="0BBBC9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五、主要经验及做法</w:t>
      </w:r>
    </w:p>
    <w:p w14:paraId="476F75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强化组织保障，压实工作责任</w:t>
      </w:r>
    </w:p>
    <w:p w14:paraId="2CC324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成立专项工作小组，明确馆长负总责、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馆员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分工落实的责任体系，定期调度推进，确保免费开放工作有人抓、有人管、有人干，形成上下联动、高效推进的工作格局。</w:t>
      </w:r>
    </w:p>
    <w:p w14:paraId="4370BD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规范资金管理，确保专款专用</w:t>
      </w:r>
    </w:p>
    <w:p w14:paraId="05CDA1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严格执行专项资金管理规定，建立“专人管理、专账核算、专款专用”机制，细化资金使用计划，规范支出审批流程，全程接受监督，确保资金用在“刀刃上”，保障免费开放核心需求。</w:t>
      </w:r>
    </w:p>
    <w:p w14:paraId="053454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优化服务供给，提升服务品质</w:t>
      </w:r>
    </w:p>
    <w:p w14:paraId="05BAB8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坚持“读者至上、服务第一”理念，延长开放时间、拓展服务内容、优化服务环境，推出延时开放、送书下乡、少儿阅读专场等便民服务，满足不同群体阅读需求，提升群众获得感。</w:t>
      </w:r>
    </w:p>
    <w:p w14:paraId="1A1706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创新活动形式，深化阅读推广</w:t>
      </w:r>
    </w:p>
    <w:p w14:paraId="6D8F0C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围绕世界读书日、国庆、春节等节点，开展主题讲座、图书漂流、亲子阅读、征文比赛等特色活动，结合线上线下融合模式，扩大活动影响力，激发全民阅读热情。</w:t>
      </w:r>
    </w:p>
    <w:p w14:paraId="518FB7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健全制度体系，强化内控管理</w:t>
      </w:r>
    </w:p>
    <w:p w14:paraId="6A5960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完善免费开放、资金使用、服务规范、安全管理等全流程制度，加强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培训与日常考核，规范服务行为，及时排查整改问题，保障项目规范、高效、安全运行。</w:t>
      </w:r>
    </w:p>
    <w:p w14:paraId="3B1207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六、存在的问题及原因分析</w:t>
      </w:r>
    </w:p>
    <w:p w14:paraId="639810E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馆藏资源更新不足，结构有待优化</w:t>
      </w:r>
    </w:p>
    <w:p w14:paraId="65C4EA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新增图书数量有限，热门图书、新书复本量不足，少儿、科技、地方文献等特色资源占比偏低，难以完全满足读者多样化需求。</w:t>
      </w:r>
    </w:p>
    <w:p w14:paraId="58D2D3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省级配套资金规模较小，资金主要保障基本开放运行，可用于资源采购的资金有限；馆藏更新规划不够精细，资源采购针对性不足。</w:t>
      </w:r>
    </w:p>
    <w:p w14:paraId="5F743D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服务创新力度不够，数字化服务滞后</w:t>
      </w:r>
    </w:p>
    <w:p w14:paraId="7E9D27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服务形式以传统借阅、线下活动为主，数字化服务、个性化服务、精准化服务不足；线上阅读推广、数字资源访问推广力度弱，年轻群体服务覆盖面较窄。</w:t>
      </w:r>
    </w:p>
    <w:p w14:paraId="311070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数字化设备、数字资源采购资金短缺；数字化服务能力不足，创新服务意识有待提升。</w:t>
      </w:r>
    </w:p>
    <w:p w14:paraId="3E5CB3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基层服务覆盖不足，延伸服务薄弱</w:t>
      </w:r>
    </w:p>
    <w:p w14:paraId="25B5F4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送书下乡、流动图书服务频次有限，覆盖乡村、社区、学校等基层点位较少，基层群众获取服务便利性不足。</w:t>
      </w:r>
    </w:p>
    <w:p w14:paraId="1FBF88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基层服务人力、物力、资金投入不足；流动服务设施、配送机制不够完善。</w:t>
      </w:r>
    </w:p>
    <w:p w14:paraId="4D3CF5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绩效评价应用不够充分</w:t>
      </w:r>
    </w:p>
    <w:p w14:paraId="5B71A3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问题：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绩效评价结果主要用于上报备案，与资金分配、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考核、工作改进的衔接不够紧密，评价结果应用实效未充分发挥。</w:t>
      </w:r>
    </w:p>
    <w:p w14:paraId="6C4B039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  <w:t>原因：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绩效结果应用机制不健全，对绩效评价的重视程度有待提高。</w:t>
      </w:r>
    </w:p>
    <w:p w14:paraId="06BEAAF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七、有关建议</w:t>
      </w:r>
    </w:p>
    <w:p w14:paraId="2BB753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加大资金投入，优化资源配置</w:t>
      </w:r>
    </w:p>
    <w:p w14:paraId="4D70CB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积极向上级申请增加免费开放专项资金，统筹整合资金资源，重点向馆藏资源更新、数字化建设、基层服务倾斜；科学制定馆藏采购计划，加大热门图书、少儿读物、地方文献、科技类图书采购力度，优化馆藏结构。</w:t>
      </w:r>
    </w:p>
    <w:p w14:paraId="55A0FF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推进数字化转型，创新服务模式</w:t>
      </w:r>
    </w:p>
    <w:p w14:paraId="2547C72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争取资金投入数字化设备、数字资源库建设，完善图书馆微信公众号、线上阅读平台功能；开展数字化服务培训，提升数字技能；推出线上阅读打卡、数字展览、直播讲座等创新服务，拓展服务覆盖面。</w:t>
      </w:r>
    </w:p>
    <w:p w14:paraId="27487F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强化基层服务，扩大覆盖范围</w:t>
      </w:r>
    </w:p>
    <w:p w14:paraId="68D611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增加送书下乡、流动图书服务频次，完善乡村、社区、学校图书流通点建设；建立基层服务长效机制，配备专职人员与专项经费，提升基层群众文化服务可及性。</w:t>
      </w:r>
    </w:p>
    <w:p w14:paraId="7AAECB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健全绩效应用机制，提升管理效能</w:t>
      </w:r>
    </w:p>
    <w:p w14:paraId="339BF3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建立绩效评价结果与预算安排、资金分配、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考核挂钩机制；将评价发现的问题纳入整改台账，明确整改责任、时限、措施，以评促改、以评促建，持续提升免费开放管理与服务水平。</w:t>
      </w:r>
    </w:p>
    <w:p w14:paraId="04248A5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加强队伍建设，提升服务能力</w:t>
      </w:r>
    </w:p>
    <w:p w14:paraId="6B8023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定期开展业务技能、服务规范、数字化服务培训，引进专业人才；完善考核激励机制，激发工作积极性、主动性、创新性，打造高素质服务队伍。</w:t>
      </w:r>
    </w:p>
    <w:p w14:paraId="3DE6A63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" w:hAnsi="仿宋" w:eastAsia="仿宋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八、其它需要说明的问题</w:t>
      </w:r>
    </w:p>
    <w:bookmarkEnd w:id="0"/>
    <w:p w14:paraId="6ACDE7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影响项目绩效的因素</w:t>
      </w:r>
    </w:p>
    <w:p w14:paraId="49727F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资金因素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省级配套资金总量有限，制约馆藏更新、服务创新、基层拓展等工作推进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</w:p>
    <w:p w14:paraId="5D73A8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人才因素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基层图书馆专业人员不足，数字化、活动策划等专业能力薄弱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</w:p>
    <w:p w14:paraId="6FDED4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9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</w:rPr>
        <w:t>需求因素</w:t>
      </w:r>
      <w:r>
        <w:rPr>
          <w:rFonts w:hint="eastAsia" w:ascii="仿宋_GB2312" w:eastAsia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群众文化需求日益多元化，对服务品质、内容形式提出更高要求。</w:t>
      </w:r>
    </w:p>
    <w:p w14:paraId="04A796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往年绩效评价问题整改情况</w:t>
      </w:r>
    </w:p>
    <w:p w14:paraId="7FCA0F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2024年绩效评价发现的“资金使用台账不够细化、基层服务频次不足”等问题，已完成整改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完善资金支出明细台账，规范记录每笔支出用途；2025年增加送书下乡、流动服务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  <w:t>场次，覆盖乡村社区，整改成效显著。</w:t>
      </w:r>
    </w:p>
    <w:p w14:paraId="585E2A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6" w:firstLineChars="202"/>
        <w:jc w:val="both"/>
        <w:textAlignment w:val="auto"/>
        <w:rPr>
          <w:rFonts w:ascii="仿宋_GB2312" w:eastAsia="仿宋_GB2312"/>
          <w:snapToGrid w:val="0"/>
          <w:spacing w:val="0"/>
          <w:kern w:val="0"/>
          <w:sz w:val="32"/>
          <w:szCs w:val="32"/>
        </w:rPr>
      </w:pPr>
    </w:p>
    <w:p w14:paraId="642074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424" w:firstLineChars="202"/>
        <w:jc w:val="both"/>
        <w:textAlignment w:val="auto"/>
        <w:rPr>
          <w:snapToGrid w:val="0"/>
          <w:spacing w:val="0"/>
          <w:kern w:val="0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CC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7B0D7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7B0D7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TkyMDgwNmJkYTNlNmVjMDk5MDMyMGQ5Yzk0NDUifQ=="/>
  </w:docVars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3A62A72"/>
    <w:rsid w:val="054D2B43"/>
    <w:rsid w:val="05DB4901"/>
    <w:rsid w:val="0ECA7049"/>
    <w:rsid w:val="10BB784F"/>
    <w:rsid w:val="12927D71"/>
    <w:rsid w:val="315C5288"/>
    <w:rsid w:val="366D4288"/>
    <w:rsid w:val="3DEF68E1"/>
    <w:rsid w:val="3E0C2C1C"/>
    <w:rsid w:val="410E6949"/>
    <w:rsid w:val="49BC1967"/>
    <w:rsid w:val="5C2D4186"/>
    <w:rsid w:val="6F951797"/>
    <w:rsid w:val="77672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spacing w:before="100" w:beforeAutospacing="1" w:after="100" w:afterAutospacing="1"/>
      <w:ind w:left="168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12</Pages>
  <Words>5390</Words>
  <Characters>5532</Characters>
  <Lines>2</Lines>
  <Paragraphs>1</Paragraphs>
  <TotalTime>43</TotalTime>
  <ScaleCrop>false</ScaleCrop>
  <LinksUpToDate>false</LinksUpToDate>
  <CharactersWithSpaces>5532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momo</cp:lastModifiedBy>
  <cp:lastPrinted>2025-04-01T03:22:00Z</cp:lastPrinted>
  <dcterms:modified xsi:type="dcterms:W3CDTF">2026-05-14T01:50:04Z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88CA6EB036CC4AAE9C5EFBF4D3229A57_13</vt:lpwstr>
  </property>
  <property fmtid="{D5CDD505-2E9C-101B-9397-08002B2CF9AE}" pid="4" name="KSOTemplateDocerSaveRecord">
    <vt:lpwstr>eyJoZGlkIjoiNzQ4ZTZhZDMyNTkwZmUxMTJhMzgzZDEzMWZlM2U4MjYiLCJ1c2VySWQiOiIxMDg0Njk1MDExIn0=</vt:lpwstr>
  </property>
</Properties>
</file>