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E4838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 w:val="0"/>
          <w:spacing w:val="0"/>
          <w:kern w:val="0"/>
          <w:sz w:val="44"/>
          <w:szCs w:val="44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snapToGrid w:val="0"/>
          <w:spacing w:val="0"/>
          <w:kern w:val="0"/>
          <w:sz w:val="44"/>
          <w:szCs w:val="44"/>
          <w:lang w:val="en-US" w:eastAsia="zh-CN"/>
        </w:rPr>
        <w:t>富民县图书馆《</w:t>
      </w:r>
      <w:r>
        <w:rPr>
          <w:rFonts w:hint="eastAsia" w:ascii="方正小标宋简体" w:hAnsi="方正小标宋简体" w:eastAsia="方正小标宋简体" w:cs="方正小标宋简体"/>
          <w:snapToGrid w:val="0"/>
          <w:spacing w:val="0"/>
          <w:kern w:val="0"/>
          <w:sz w:val="44"/>
          <w:szCs w:val="44"/>
        </w:rPr>
        <w:t>2025年中央补助地方公共文化服务体系建设资金（第二批次）</w:t>
      </w:r>
      <w:r>
        <w:rPr>
          <w:rFonts w:hint="eastAsia" w:ascii="方正小标宋简体" w:hAnsi="方正小标宋简体" w:eastAsia="方正小标宋简体" w:cs="方正小标宋简体"/>
          <w:snapToGrid w:val="0"/>
          <w:spacing w:val="0"/>
          <w:kern w:val="0"/>
          <w:sz w:val="44"/>
          <w:szCs w:val="44"/>
          <w:lang w:val="en-US" w:eastAsia="zh-CN"/>
        </w:rPr>
        <w:t>》</w:t>
      </w:r>
      <w:r>
        <w:rPr>
          <w:rFonts w:hint="eastAsia" w:ascii="方正小标宋简体" w:hAnsi="方正小标宋简体" w:eastAsia="方正小标宋简体" w:cs="方正小标宋简体"/>
          <w:snapToGrid w:val="0"/>
          <w:spacing w:val="0"/>
          <w:kern w:val="0"/>
          <w:sz w:val="44"/>
          <w:szCs w:val="44"/>
        </w:rPr>
        <w:t>项目资金支出绩效评价报告</w:t>
      </w:r>
    </w:p>
    <w:p w14:paraId="3AF994F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黑体" w:hAnsi="黑体" w:eastAsia="黑体" w:cs="黑体"/>
          <w:snapToGrid w:val="0"/>
          <w:spacing w:val="0"/>
          <w:kern w:val="0"/>
          <w:sz w:val="32"/>
          <w:szCs w:val="32"/>
        </w:rPr>
      </w:pPr>
    </w:p>
    <w:p w14:paraId="0603652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黑体" w:hAnsi="黑体" w:eastAsia="黑体" w:cs="黑体"/>
          <w:snapToGrid w:val="0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spacing w:val="0"/>
          <w:kern w:val="0"/>
          <w:sz w:val="32"/>
          <w:szCs w:val="32"/>
        </w:rPr>
        <w:t>一、基本情况</w:t>
      </w:r>
    </w:p>
    <w:p w14:paraId="37ADEE8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仿宋" w:hAnsi="仿宋" w:eastAsia="仿宋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（一）项目概况</w:t>
      </w:r>
    </w:p>
    <w:p w14:paraId="2C8D0AF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</w:rPr>
        <w:t>项目背景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为深入贯彻《中华人民共和国公共图书馆法》《云南省公共图书馆美术馆文化馆（站）免费开放补助资金管理办法》等文件精神，落实国家、省、市关于公共文化设施免费开放的工作部署，保障人民群众基本文化权益，提升公共文化服务均等化、标准化水平，加快“书香富民”建设，富民县图书馆实施2025年“三馆一站”免费开放省级配套资金项目，确保图书馆公共空间设施场地与基本服务项目全程免费开放。</w:t>
      </w:r>
    </w:p>
    <w:p w14:paraId="6287F43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</w:rPr>
        <w:t>主要内容及实施情况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项目核心围绕图书馆免费开放基本职能展开，全年稳定推进以下工作：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一是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设施免费开放。图书借阅区、报刊阅览区、少儿阅览区、电子阅览室、地方文献室等全区域免费开放，全年无闭馆日，严格执行每周开放时长不低于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6小时、节假日正常开放的服务标准。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二是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基本服务免费。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val="en-US" w:eastAsia="zh-CN"/>
        </w:rPr>
        <w:t>免费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提供图书借阅、报刊阅览、文献查询、公益讲座、展览展示、读者咨询、数字资源访问等基础服务。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三是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服务提质增效。开展全民阅读推广、送书下乡、流动图书服务、读者培训、文化志愿服务等延伸服务；优化馆藏资源，更新图书文献，完善图书加工与馆藏维护；提升馆内设施设备运维水平，保障服务环境安全舒适。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四是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规范管理运行。严格落实免费开放公示制度，公开服务项目、开放时间、规章制度；完善读者服务流程，提升服务效率与质量。</w:t>
      </w:r>
    </w:p>
    <w:p w14:paraId="2010D05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楷体_GB2312" w:hAnsi="楷体_GB2312" w:eastAsia="仿宋_GB2312" w:cs="楷体_GB2312"/>
          <w:snapToGrid w:val="0"/>
          <w:spacing w:val="0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资金投入和使用情况。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eastAsia="zh-CN"/>
        </w:rPr>
        <w:t>2025年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val="en-US" w:eastAsia="zh-CN"/>
        </w:rPr>
        <w:t>12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eastAsia="zh-CN"/>
        </w:rPr>
        <w:t>月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val="en-US" w:eastAsia="zh-CN"/>
        </w:rPr>
        <w:t>24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eastAsia="zh-CN"/>
        </w:rPr>
        <w:t>日我单位共收到富民县文化和旅游局下拨2025年中央补助地方公共文化服务体系建设资金（第二批次）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val="en-US" w:eastAsia="zh-CN"/>
        </w:rPr>
        <w:t>16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eastAsia="zh-CN"/>
        </w:rPr>
        <w:t>万元。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val="en-US" w:eastAsia="zh-CN"/>
        </w:rPr>
        <w:t>该笔资金用于支付劳务派遣人员工资及社保4.33万元，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eastAsia="zh-CN"/>
        </w:rPr>
        <w:t>截止到2025年12月31日202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eastAsia="zh-CN"/>
        </w:rPr>
        <w:t>年美术馆、公共图书馆、文化馆（站）免费开放省级配套资金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val="en-US" w:eastAsia="zh-CN"/>
        </w:rPr>
        <w:t>结余11.67万元，计划在2026年列支完毕。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资金专项用于图书馆免费开放相关支出，专款专用。</w:t>
      </w:r>
    </w:p>
    <w:p w14:paraId="71FEA07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（二）项目绩效目标</w:t>
      </w:r>
    </w:p>
    <w:p w14:paraId="7435985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</w:rPr>
        <w:t>总体目标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保障富民县图书馆全年免费开放稳定运行，完善公共文化服务设施，丰富馆藏资源，提升服务质量与效率，满足群众基本文化需求，提高群众文化素养，推动全民阅读深入开展，助力全县公共文化服务体系高质量建设。</w:t>
      </w:r>
    </w:p>
    <w:p w14:paraId="2B17F81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</w:rPr>
        <w:t>阶段性目标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。一是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服务保障。图书馆全年免费开放天数≥365天，每周开放时长≥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val="en-US" w:eastAsia="zh-CN"/>
        </w:rPr>
        <w:t>66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小时，基本服务项目免费率100%。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二是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服务效能。年接待读者≥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val="en-US" w:eastAsia="zh-CN"/>
        </w:rPr>
        <w:t>1万余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人次，图书外借≥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val="en-US" w:eastAsia="zh-CN"/>
        </w:rPr>
        <w:t>5000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册次，开展阅读推广等公益活动≥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场，服务群众≥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val="en-US" w:eastAsia="zh-CN"/>
        </w:rPr>
        <w:t>1000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人次。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三是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服务满意度。读者服务满意度≥90%，无重大服务投诉事件。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四是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规范管理。资金使用合规率100%，项目管理制度健全，执行到位，档案资料完整规范。</w:t>
      </w:r>
    </w:p>
    <w:p w14:paraId="413E274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（三）项目组织管理情况</w:t>
      </w:r>
    </w:p>
    <w:p w14:paraId="3950113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相关方职责分工。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spacing w:val="0"/>
          <w:kern w:val="0"/>
          <w:sz w:val="32"/>
          <w:szCs w:val="32"/>
          <w:lang w:val="en-US" w:eastAsia="zh-CN"/>
        </w:rPr>
        <w:t>主管部门富民县文化和旅游局负责项目资金下达、政策指导、监督检查，统筹协调免费开放工作推进。实施单位富民县图书馆为项目责任主体，馆长为第一责任人，负责项目具体实施、资金使用、服务开展、绩效自评、资料归档等全流程工作。内部科室办公室负责资金管理、财务核算、制度建设、后勤保障；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业务部门负责资源建设、读者服务、活动策划、业务培训；各阅览区负责日常开放、读者接待、设施维护。</w:t>
      </w:r>
    </w:p>
    <w:p w14:paraId="5C20AC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2.管理流程。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spacing w:val="0"/>
          <w:kern w:val="0"/>
          <w:sz w:val="32"/>
          <w:szCs w:val="32"/>
          <w:lang w:val="en-US" w:eastAsia="zh-CN"/>
        </w:rPr>
        <w:t>前期制定年度免费开放实施方案与绩效目标，明确工作任务、资金预算、责任分工，报主管部门审核备案。中期按计划推进免费开放服务与活动开展，规范资金支出审批流程，建立资金使用台账，定期开展自查自纠，及时整改问题。后期收集整理项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目资料，开展绩效自评，总结经验做法，分析存在问题，形成绩效评价报告并上报。</w:t>
      </w:r>
    </w:p>
    <w:p w14:paraId="00BDBF3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3.组织实施。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成立以馆长为组长，馆员为成员的免费开放工作领导小组，统筹项目实施；定期召开工作会议，部署工作任务、解决实施难题；加强业务培训，提升服务能力；严格落实考勤、服务规范、安全管理等制度，保障免费开放有序运行。</w:t>
      </w:r>
    </w:p>
    <w:p w14:paraId="747D665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4.制度建设情况。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完善《富民县图书馆免费开放管理制度》《专项资金管理办法》《财务报销审批制度》《读者服务规范》《设施设备维护制度》《安全应急预案》等内部管理制度，形成“用制度管人、按制度办事”的管理机制，确保项目实施规范、资金使用安全。</w:t>
      </w:r>
    </w:p>
    <w:p w14:paraId="65DFF7A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黑体" w:hAnsi="黑体" w:eastAsia="黑体" w:cs="黑体"/>
          <w:snapToGrid w:val="0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spacing w:val="0"/>
          <w:kern w:val="0"/>
          <w:sz w:val="32"/>
          <w:szCs w:val="32"/>
        </w:rPr>
        <w:t>二、绩效评价工作开展情况</w:t>
      </w:r>
    </w:p>
    <w:p w14:paraId="1E49B4B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（一）绩效评价目的、对象和范围</w:t>
      </w:r>
    </w:p>
    <w:p w14:paraId="55F3130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1.绩效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评价目的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全面了解2025年免费开放省级配套资金项目实施、资金使用、目标完成情况；总结经验做法，查找问题不足；客观评价项目绩效，为优化资金管理、提升服务效能、完善政策决策提供依据，提高财政资金使用效益。</w:t>
      </w:r>
    </w:p>
    <w:p w14:paraId="0E056EC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2.绩效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评价对象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富民县图书馆2025年“三馆一站”免费开放省级配套资金项目。</w:t>
      </w:r>
    </w:p>
    <w:p w14:paraId="6F94E13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3.绩效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评价范围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涵盖项目决策、资金管理、实施过程、服务产出、项目效益等全流程，涉及资金使用、开放时长、资源建设、服务活动、群众满意度、制度执行等全部内容。</w:t>
      </w:r>
    </w:p>
    <w:p w14:paraId="3E2CC08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（二）绩效评价原则、依据、评价指标体系（附表说明）、评价方法、评价标准、评价抽样等</w:t>
      </w:r>
    </w:p>
    <w:p w14:paraId="48B440A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绩效评价原则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坚持科学规范、客观公正、实事求是、绩效导向、公开透明原则，确保评价结果真实、准确、可靠。</w:t>
      </w:r>
    </w:p>
    <w:p w14:paraId="7E2A596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绩效评价依据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《中华人民共和国公共图书馆法》；《云南省公共图书馆美术馆文化馆（站）免费开放补助资金管理办法》；《中共中央、国务院关于全面实施预算绩效管理的意见》；富民县财政局、文旅局关于免费开放资金管理、绩效评价的相关文件要求；项目实施方案、绩效目标申报表、财务凭证、服务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台账、活动记录、读者反馈等资料。</w:t>
      </w:r>
    </w:p>
    <w:p w14:paraId="313EB03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3.绩效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评价指标体系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参照项目支出绩效评价指标体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</w:rPr>
        <w:t>系框架，结合图书馆免费开放实际，构建“产出—效益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满意度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</w:rPr>
        <w:t>”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</w:rPr>
        <w:t>个一级指标、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</w:rPr>
        <w:t>个二级指标、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</w:rPr>
        <w:t>个三级指标的评价体系，总分100分。</w:t>
      </w:r>
    </w:p>
    <w:p w14:paraId="338A9F4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4.绩效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评价方法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。一是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比较分析法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对比项目绩效目标与实际完成情况，分析目标实现程度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成本效益分析法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核算资金投入与产出效益，评价资金使用效率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公众评议法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发放读者满意度调查问卷，收集群众评价意见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四是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台账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研究法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查阅财务账目、服务记录、活动资料、制度文件等，核实项目实施情况。</w:t>
      </w:r>
    </w:p>
    <w:p w14:paraId="4CE573F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5.绩效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评价标准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以项目既定绩效目标、行业服务标准、财政资金管理规定、上级工作要求为核心标准，结合县级图书馆平均水平，设定优秀、良好、合格、不合格4个等级标准。</w:t>
      </w:r>
    </w:p>
    <w:p w14:paraId="22E4EF4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6.绩效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评价抽样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。一是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资金抽样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全覆盖核查所有资金支出凭证，确保合规性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服务抽样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随机抽取2025年各月度开放记录、图书借阅记录、活动档案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三是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满意度抽样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发放读者问卷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份，回收有效问卷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份，有效回收率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%。</w:t>
      </w:r>
    </w:p>
    <w:p w14:paraId="7E525E3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（三）绩效评价工作流程</w:t>
      </w:r>
    </w:p>
    <w:p w14:paraId="7F42507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准备阶段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成立绩效评价工作小组，制定评价方案，明确评价指标、方法、流程；收集项目实施方案、资金文件、财务资料、服务数据、活动记录等基础材料。</w:t>
      </w:r>
    </w:p>
    <w:p w14:paraId="27DC316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实施阶段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开展资料核查、现场勘查、数据统计、读者问卷调查；对照评价指标逐项评分，核实目标完成情况，分析问题原因。</w:t>
      </w:r>
    </w:p>
    <w:p w14:paraId="4337E38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报告阶段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整理评价数据，撰写绩效评价报告，形成评价结论与整改建议；报告经内部审核、主管部门复核后定稿上报。</w:t>
      </w:r>
    </w:p>
    <w:p w14:paraId="19DE4AC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黑体" w:hAnsi="黑体" w:eastAsia="黑体" w:cs="黑体"/>
          <w:snapToGrid w:val="0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spacing w:val="0"/>
          <w:kern w:val="0"/>
          <w:sz w:val="32"/>
          <w:szCs w:val="32"/>
        </w:rPr>
        <w:t>三、综合评价情况及评价结论（附相关评分表）</w:t>
      </w:r>
    </w:p>
    <w:p w14:paraId="6BF20AC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" w:hAnsi="仿宋" w:eastAsia="仿宋"/>
          <w:snapToGrid w:val="0"/>
          <w:spacing w:val="0"/>
          <w:kern w:val="0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一）绩效评价综合结论</w:t>
      </w:r>
    </w:p>
    <w:p w14:paraId="43805AC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经综合评价，富民县图书馆2025年免费开放省级配套资金项目绩效评价得分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90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分，评价等级为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</w:rPr>
        <w:t>优秀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。项目严格执行政策要求，资金使用规范合规，免费开放服务稳定运行，服务产出超额完成预期，社会效益显著，有效保障了群众基本文化权益，但在资源更新速度、活动创新力度等方面仍需提升。</w:t>
      </w:r>
    </w:p>
    <w:p w14:paraId="1C75E49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（二）绩效目标实现情况等</w:t>
      </w:r>
    </w:p>
    <w:p w14:paraId="66EA875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服务保障目标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全年免费开放365天，每周开放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66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小时，基本服务免费率100%，全面完成开放时长与服务免费目标。</w:t>
      </w:r>
    </w:p>
    <w:p w14:paraId="57E5DF5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服务效能目标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年接待读者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3.2万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人次，完成目标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%；开展阅读推广、讲座、送书下乡等活动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32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场，服务群众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2000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人次，完成目标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%。</w:t>
      </w:r>
    </w:p>
    <w:p w14:paraId="21BEB29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满意度目标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读者满意度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95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%，高于90%的预期目标；全年无重大服务投诉，目标完成。</w:t>
      </w:r>
    </w:p>
    <w:p w14:paraId="51C2E5E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规范管理目标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资金使用合规率100%，制度健全且执行到位，档案资料完整，目标全面完成。</w:t>
      </w:r>
    </w:p>
    <w:p w14:paraId="36BFD58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黑体" w:hAnsi="黑体" w:eastAsia="黑体" w:cs="黑体"/>
          <w:snapToGrid w:val="0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spacing w:val="0"/>
          <w:kern w:val="0"/>
          <w:sz w:val="32"/>
          <w:szCs w:val="32"/>
        </w:rPr>
        <w:t>四、绩效评价指标分析</w:t>
      </w:r>
    </w:p>
    <w:p w14:paraId="006F673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（一）项目决策情况分析</w:t>
      </w:r>
    </w:p>
    <w:p w14:paraId="7BE824D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项目立项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项目依据国家、省、市免费开放政策立项，符合公共文化服务发展需求，立项依据充分、程序规范。</w:t>
      </w:r>
    </w:p>
    <w:p w14:paraId="6369AA8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绩效目标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绩效目标设定科学、明确、可量化，与项目职能、资金规模匹配，目标分解合理。</w:t>
      </w:r>
    </w:p>
    <w:p w14:paraId="2171CDA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资金分配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省级配套资金及时足额到位，分配方案符合管理办法，与免费开放工作任务匹配。</w:t>
      </w:r>
    </w:p>
    <w:p w14:paraId="26E4645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（二）项目过程情况分析</w:t>
      </w:r>
    </w:p>
    <w:p w14:paraId="61D81EA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资金管理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严格执行专款专用、国库集中支付制度，支出范围合规，审批流程规范，财务核算准确，台账完整，无挤占、挪用、截留情况。</w:t>
      </w:r>
    </w:p>
    <w:p w14:paraId="0F9A345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组织实施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组织机构健全，职责分工明确，管理制度完善，业务培训到位，服务流程规范，安全管理到位，项目推进有序。</w:t>
      </w:r>
    </w:p>
    <w:p w14:paraId="5BB381F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监督管理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定期开展内部自查，主动接受主管部门、财政部门监督检查，发现问题及时整改，档案资料收集完整。</w:t>
      </w:r>
    </w:p>
    <w:p w14:paraId="693D0D8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（三）项目产出情况分析</w:t>
      </w:r>
    </w:p>
    <w:p w14:paraId="303AF98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开放服务产出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免费开放天数、时长达标，基本服务项目全覆盖，服务流程高效，设施环境整洁，产出数量、质量达标。</w:t>
      </w:r>
    </w:p>
    <w:p w14:paraId="46A095D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资源建设产出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新增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报刊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、期刊、数字资源数量达标，图书加工规范，馆藏结构优化，满足读者需求。</w:t>
      </w:r>
    </w:p>
    <w:p w14:paraId="4C0DBDD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活动开展产出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阅读推广、公益讲座、送书下乡等活动场次、参与人数达标，活动形式多样，覆盖不同群体，。</w:t>
      </w:r>
    </w:p>
    <w:p w14:paraId="1CDC554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服务效率产出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读者接待、图书借阅、问题处理效率提升，自助服务设备运行稳定，服务响应及时。</w:t>
      </w:r>
    </w:p>
    <w:p w14:paraId="5965535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（四）项目效益情况分析</w:t>
      </w:r>
    </w:p>
    <w:p w14:paraId="11ED6B1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社会效益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保障群众基本文化权益，丰富群众精神文化生活，推动全民阅读，提升县域文化氛围，助力公共文化服务体系建设，社会效益显著。</w:t>
      </w:r>
    </w:p>
    <w:p w14:paraId="7D6D745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服务效益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读者满意度高，服务口碑良好，吸引更多群众走进图书馆，服务覆盖面持续扩大。</w:t>
      </w:r>
    </w:p>
    <w:p w14:paraId="0F1387E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可持续效益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免费开放机制稳定，管理制度成熟，服务能力提升，为后续免费开放工作奠定基础，可持续性强。</w:t>
      </w:r>
    </w:p>
    <w:p w14:paraId="0BBBC9C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仿宋" w:hAnsi="仿宋" w:eastAsia="仿宋"/>
          <w:snapToGrid w:val="0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spacing w:val="0"/>
          <w:kern w:val="0"/>
          <w:sz w:val="32"/>
          <w:szCs w:val="32"/>
        </w:rPr>
        <w:t>五、主要经验及做法</w:t>
      </w:r>
    </w:p>
    <w:p w14:paraId="476F753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强化组织保障，压实工作责任</w:t>
      </w:r>
    </w:p>
    <w:p w14:paraId="2CC324D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成立专项工作小组，明确馆长负总责、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馆员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分工落实的责任体系，定期调度推进，确保免费开放工作有人抓、有人管、有人干，形成上下联动、高效推进的工作格局。</w:t>
      </w:r>
    </w:p>
    <w:p w14:paraId="4370BDA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规范资金管理，确保专款专用</w:t>
      </w:r>
    </w:p>
    <w:p w14:paraId="05CDA19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严格执行专项资金管理规定，建立“专人管理、专账核算、专款专用”机制，细化资金使用计划，规范支出审批流程，全程接受监督，确保资金用在“刀刃上”，保障免费开放核心需求。</w:t>
      </w:r>
    </w:p>
    <w:p w14:paraId="0534544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优化服务供给，提升服务品质</w:t>
      </w:r>
    </w:p>
    <w:p w14:paraId="05BAB83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坚持“读者至上、服务第一”理念，延长开放时间、拓展服务内容、优化服务环境，推出延时开放、送书下乡、少儿阅读专场等便民服务，满足不同群体阅读需求，提升群众获得感。</w:t>
      </w:r>
    </w:p>
    <w:p w14:paraId="1A17064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（四）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创新活动形式，深化阅读推广</w:t>
      </w:r>
    </w:p>
    <w:p w14:paraId="6D8F0C1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围绕世界读书日、国庆、春节等节点，开展主题讲座、图书漂流、亲子阅读、征文比赛等特色活动，结合线上线下融合模式，扩大活动影响力，激发全民阅读热情。</w:t>
      </w:r>
    </w:p>
    <w:p w14:paraId="518FB7A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val="en-US" w:eastAsia="zh-CN"/>
        </w:rPr>
        <w:t>五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健全制度体系，强化内控管理</w:t>
      </w:r>
    </w:p>
    <w:p w14:paraId="6A59605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完善免费开放、资金使用、服务规范、安全管理等全流程制度，加强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业务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培训与日常考核，规范服务行为，及时排查整改问题，保障项目规范、高效、安全运行。</w:t>
      </w:r>
    </w:p>
    <w:p w14:paraId="3B12073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黑体" w:hAnsi="黑体" w:eastAsia="黑体" w:cs="黑体"/>
          <w:snapToGrid w:val="0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spacing w:val="0"/>
          <w:kern w:val="0"/>
          <w:sz w:val="32"/>
          <w:szCs w:val="32"/>
        </w:rPr>
        <w:t>六、存在的问题及原因分析</w:t>
      </w:r>
    </w:p>
    <w:p w14:paraId="639810E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馆藏资源更新不足，结构有待优化</w:t>
      </w:r>
    </w:p>
    <w:p w14:paraId="65C4EA2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问题：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新增图书数量有限，热门图书、新书复本量不足，少儿、科技、地方文献等特色资源占比偏低，难以完全满足读者多样化需求。</w:t>
      </w:r>
    </w:p>
    <w:p w14:paraId="58D2D31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原因：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省级配套资金规模较小，资金主要保障基本开放运行，可用于资源采购的资金有限；馆藏更新规划不够精细，资源采购针对性不足。</w:t>
      </w:r>
    </w:p>
    <w:p w14:paraId="5F743D5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服务创新力度不够，数字化服务滞后</w:t>
      </w:r>
    </w:p>
    <w:p w14:paraId="7E9D276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问题：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服务形式以传统借阅、线下活动为主，数字化服务、个性化服务、精准化服务不足；线上阅读推广、数字资源访问推广力度弱，年轻群体服务覆盖面较窄。</w:t>
      </w:r>
    </w:p>
    <w:p w14:paraId="311070D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原因：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数字化设备、数字资源采购资金短缺；数字化服务能力不足，创新服务意识有待提升。</w:t>
      </w:r>
    </w:p>
    <w:p w14:paraId="3E5CB3C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（三）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基层服务覆盖不足，延伸服务薄弱</w:t>
      </w:r>
    </w:p>
    <w:p w14:paraId="25B5F4B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问题：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送书下乡、流动图书服务频次有限，覆盖乡村、社区、学校等基层点位较少，基层群众获取服务便利性不足。</w:t>
      </w:r>
    </w:p>
    <w:p w14:paraId="1FBF880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原因：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基层服务人力、物力、资金投入不足；流动服务设施、配送机制不够完善。</w:t>
      </w:r>
    </w:p>
    <w:p w14:paraId="4D3CF5B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绩效评价应用不够充分</w:t>
      </w:r>
    </w:p>
    <w:p w14:paraId="5B71A33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问题：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绩效评价结果主要用于上报备案，与资金分配、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业务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考核、工作改进的衔接不够紧密，评价结果应用实效未充分发挥。</w:t>
      </w:r>
    </w:p>
    <w:p w14:paraId="6C4B039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原因：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绩效结果应用机制不健全，对绩效评价的重视程度有待提高。</w:t>
      </w:r>
    </w:p>
    <w:p w14:paraId="06BEAAF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黑体" w:hAnsi="黑体" w:eastAsia="黑体" w:cs="黑体"/>
          <w:snapToGrid w:val="0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spacing w:val="0"/>
          <w:kern w:val="0"/>
          <w:sz w:val="32"/>
          <w:szCs w:val="32"/>
        </w:rPr>
        <w:t>七、有关建议</w:t>
      </w:r>
    </w:p>
    <w:p w14:paraId="2BB7532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加大资金投入，优化资源配置</w:t>
      </w:r>
    </w:p>
    <w:p w14:paraId="4D70CBA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积极向上级申请增加免费开放专项资金，统筹整合资金资源，重点向馆藏资源更新、数字化建设、基层服务倾斜；科学制定馆藏采购计划，加大热门图书、少儿读物、地方文献、科技类图书采购力度，优化馆藏结构。</w:t>
      </w:r>
    </w:p>
    <w:p w14:paraId="55A0FF3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推进数字化转型，创新服务模式</w:t>
      </w:r>
    </w:p>
    <w:p w14:paraId="2547C72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争取资金投入数字化设备、数字资源库建设，完善图书馆微信公众号、线上阅读平台功能；开展数字化服务培训，提升数字技能；推出线上阅读打卡、数字展览、直播讲座等创新服务，拓展服务覆盖面。</w:t>
      </w:r>
    </w:p>
    <w:p w14:paraId="27487FB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强化基层服务，扩大覆盖范围</w:t>
      </w:r>
    </w:p>
    <w:p w14:paraId="68D611B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增加送书下乡、流动图书服务频次，完善乡村、社区、学校图书流通点建设；建立基层服务长效机制，配备专职人员与专项经费，提升基层群众文化服务可及性。</w:t>
      </w:r>
    </w:p>
    <w:p w14:paraId="7AAECB9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健全绩效应用机制，提升管理效能</w:t>
      </w:r>
    </w:p>
    <w:p w14:paraId="339BF38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建立绩效评价结果与预算安排、资金分配、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业务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考核挂钩机制；将评价发现的问题纳入整改台账，明确整改责任、时限、措施，以评促改、以评促建，持续提升免费开放管理与服务水平。</w:t>
      </w:r>
    </w:p>
    <w:p w14:paraId="04248A5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val="en-US" w:eastAsia="zh-CN"/>
        </w:rPr>
        <w:t>五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加强队伍建设，提升服务能力</w:t>
      </w:r>
    </w:p>
    <w:p w14:paraId="6B80238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定期开展业务技能、服务规范、数字化服务培训，引进专业人才；完善考核激励机制，激发工作积极性、主动性、创新性，打造高素质服务队伍。</w:t>
      </w:r>
    </w:p>
    <w:p w14:paraId="3DE6A63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仿宋" w:hAnsi="仿宋" w:eastAsia="仿宋"/>
          <w:snapToGrid w:val="0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spacing w:val="0"/>
          <w:kern w:val="0"/>
          <w:sz w:val="32"/>
          <w:szCs w:val="32"/>
        </w:rPr>
        <w:t>八、其它需要说明的问题</w:t>
      </w:r>
    </w:p>
    <w:bookmarkEnd w:id="0"/>
    <w:p w14:paraId="6ACDE7A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影响项目绩效的因素</w:t>
      </w:r>
    </w:p>
    <w:p w14:paraId="49727F0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eastAsia="仿宋_GB2312"/>
          <w:snapToGrid w:val="0"/>
          <w:spacing w:val="0"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/>
          <w:b/>
          <w:bCs/>
          <w:snapToGrid w:val="0"/>
          <w:spacing w:val="0"/>
          <w:kern w:val="0"/>
          <w:sz w:val="32"/>
          <w:szCs w:val="32"/>
        </w:rPr>
        <w:t>资金因素</w:t>
      </w:r>
      <w:r>
        <w:rPr>
          <w:rFonts w:hint="eastAsia" w:ascii="仿宋_GB2312" w:eastAsia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napToGrid w:val="0"/>
          <w:spacing w:val="0"/>
          <w:kern w:val="0"/>
          <w:sz w:val="32"/>
          <w:szCs w:val="32"/>
        </w:rPr>
        <w:t>省级配套资金总量有限，制约馆藏更新、服务创新、基层拓展等工作推进</w:t>
      </w:r>
      <w:r>
        <w:rPr>
          <w:rFonts w:hint="eastAsia" w:ascii="仿宋_GB2312" w:eastAsia="仿宋_GB2312"/>
          <w:snapToGrid w:val="0"/>
          <w:spacing w:val="0"/>
          <w:kern w:val="0"/>
          <w:sz w:val="32"/>
          <w:szCs w:val="32"/>
          <w:lang w:eastAsia="zh-CN"/>
        </w:rPr>
        <w:t>。</w:t>
      </w:r>
    </w:p>
    <w:p w14:paraId="5D73A81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eastAsia="仿宋_GB2312"/>
          <w:snapToGrid w:val="0"/>
          <w:spacing w:val="0"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b/>
          <w:bCs/>
          <w:snapToGrid w:val="0"/>
          <w:spacing w:val="0"/>
          <w:kern w:val="0"/>
          <w:sz w:val="32"/>
          <w:szCs w:val="32"/>
        </w:rPr>
        <w:t>人才因素</w:t>
      </w:r>
      <w:r>
        <w:rPr>
          <w:rFonts w:hint="eastAsia" w:ascii="仿宋_GB2312" w:eastAsia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napToGrid w:val="0"/>
          <w:spacing w:val="0"/>
          <w:kern w:val="0"/>
          <w:sz w:val="32"/>
          <w:szCs w:val="32"/>
        </w:rPr>
        <w:t>基层图书馆专业人员不足，数字化、活动策划等专业能力薄弱</w:t>
      </w:r>
      <w:r>
        <w:rPr>
          <w:rFonts w:hint="eastAsia" w:ascii="仿宋_GB2312" w:eastAsia="仿宋_GB2312"/>
          <w:snapToGrid w:val="0"/>
          <w:spacing w:val="0"/>
          <w:kern w:val="0"/>
          <w:sz w:val="32"/>
          <w:szCs w:val="32"/>
          <w:lang w:eastAsia="zh-CN"/>
        </w:rPr>
        <w:t>。</w:t>
      </w:r>
    </w:p>
    <w:p w14:paraId="6FDED44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eastAsia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eastAsia="仿宋_GB2312"/>
          <w:b/>
          <w:bCs/>
          <w:snapToGrid w:val="0"/>
          <w:spacing w:val="0"/>
          <w:kern w:val="0"/>
          <w:sz w:val="32"/>
          <w:szCs w:val="32"/>
        </w:rPr>
        <w:t>需求因素</w:t>
      </w:r>
      <w:r>
        <w:rPr>
          <w:rFonts w:hint="eastAsia" w:ascii="仿宋_GB2312" w:eastAsia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napToGrid w:val="0"/>
          <w:spacing w:val="0"/>
          <w:kern w:val="0"/>
          <w:sz w:val="32"/>
          <w:szCs w:val="32"/>
        </w:rPr>
        <w:t>群众文化需求日益多元化，对服务品质、内容形式提出更高要求。</w:t>
      </w:r>
    </w:p>
    <w:p w14:paraId="04A7964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往年绩效评价问题整改情况</w:t>
      </w:r>
    </w:p>
    <w:p w14:paraId="7FCA0F3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eastAsia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spacing w:val="0"/>
          <w:kern w:val="0"/>
          <w:sz w:val="32"/>
          <w:szCs w:val="32"/>
        </w:rPr>
        <w:t>2024年绩效评价发现的“资金使用台账不够细化、基层服务频次不足”等问题，已完成整改</w:t>
      </w:r>
      <w:r>
        <w:rPr>
          <w:rFonts w:hint="eastAsia" w:ascii="仿宋_GB2312" w:eastAsia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napToGrid w:val="0"/>
          <w:spacing w:val="0"/>
          <w:kern w:val="0"/>
          <w:sz w:val="32"/>
          <w:szCs w:val="32"/>
        </w:rPr>
        <w:t>完善资金支出明细台账，规范记录每笔支出用途；2025年增加送书下乡、流动服务</w:t>
      </w:r>
      <w:r>
        <w:rPr>
          <w:rFonts w:hint="eastAsia" w:ascii="仿宋_GB2312" w:eastAsia="仿宋_GB2312"/>
          <w:snapToGrid w:val="0"/>
          <w:spacing w:val="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napToGrid w:val="0"/>
          <w:spacing w:val="0"/>
          <w:kern w:val="0"/>
          <w:sz w:val="32"/>
          <w:szCs w:val="32"/>
        </w:rPr>
        <w:t>场次，覆盖乡村社区，整改成效显著。</w:t>
      </w:r>
    </w:p>
    <w:p w14:paraId="585E2AE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仿宋_GB2312" w:eastAsia="仿宋_GB2312"/>
          <w:snapToGrid w:val="0"/>
          <w:spacing w:val="0"/>
          <w:kern w:val="0"/>
          <w:sz w:val="32"/>
          <w:szCs w:val="32"/>
        </w:rPr>
      </w:pPr>
    </w:p>
    <w:p w14:paraId="6420741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424" w:firstLineChars="202"/>
        <w:jc w:val="both"/>
        <w:textAlignment w:val="auto"/>
        <w:rPr>
          <w:snapToGrid w:val="0"/>
          <w:spacing w:val="0"/>
          <w:kern w:val="0"/>
        </w:rPr>
      </w:pP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0" w:num="1"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7BCC1A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07B0D7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07B0D7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290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0MTkyMDgwNmJkYTNlNmVjMDk5MDMyMGQ5Yzk0NDUifQ=="/>
  </w:docVars>
  <w:rsids>
    <w:rsidRoot w:val="12927D71"/>
    <w:rsid w:val="000E6661"/>
    <w:rsid w:val="002020E6"/>
    <w:rsid w:val="002A3E90"/>
    <w:rsid w:val="00374AB7"/>
    <w:rsid w:val="003B6467"/>
    <w:rsid w:val="00404802"/>
    <w:rsid w:val="00451CED"/>
    <w:rsid w:val="004A76FA"/>
    <w:rsid w:val="0058320E"/>
    <w:rsid w:val="005B2D1B"/>
    <w:rsid w:val="006E0A05"/>
    <w:rsid w:val="007E77B9"/>
    <w:rsid w:val="0087492D"/>
    <w:rsid w:val="008F7E56"/>
    <w:rsid w:val="00997D04"/>
    <w:rsid w:val="00A34092"/>
    <w:rsid w:val="00C040C7"/>
    <w:rsid w:val="00C44CFA"/>
    <w:rsid w:val="00DE6A66"/>
    <w:rsid w:val="00EC5918"/>
    <w:rsid w:val="00F5756A"/>
    <w:rsid w:val="00FE0C9E"/>
    <w:rsid w:val="03A62A72"/>
    <w:rsid w:val="054D2B43"/>
    <w:rsid w:val="05DB4901"/>
    <w:rsid w:val="12927D71"/>
    <w:rsid w:val="315C5288"/>
    <w:rsid w:val="3DEF68E1"/>
    <w:rsid w:val="3E0C2C1C"/>
    <w:rsid w:val="5C2D4186"/>
    <w:rsid w:val="6F951797"/>
    <w:rsid w:val="752C369E"/>
    <w:rsid w:val="77672FE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0"/>
    <w:pPr>
      <w:widowControl w:val="0"/>
      <w:spacing w:after="120"/>
      <w:jc w:val="both"/>
    </w:pPr>
    <w:rPr>
      <w:rFonts w:ascii="Calibri" w:hAnsi="Calibri" w:eastAsia="宋体" w:cs="Times New Roman"/>
      <w:kern w:val="2"/>
      <w:sz w:val="32"/>
      <w:lang w:val="en-US" w:eastAsia="zh-CN" w:bidi="ar-SA"/>
    </w:rPr>
  </w:style>
  <w:style w:type="paragraph" w:styleId="3">
    <w:name w:val="toc 5"/>
    <w:next w:val="1"/>
    <w:qFormat/>
    <w:uiPriority w:val="0"/>
    <w:pPr>
      <w:widowControl w:val="0"/>
      <w:spacing w:before="100" w:beforeAutospacing="1" w:after="100" w:afterAutospacing="1"/>
      <w:ind w:left="1680"/>
      <w:jc w:val="both"/>
    </w:pPr>
    <w:rPr>
      <w:rFonts w:ascii="Calibri" w:hAnsi="Calibri" w:eastAsia="宋体" w:cs="Times New Roman"/>
      <w:kern w:val="2"/>
      <w:sz w:val="32"/>
      <w:lang w:val="en-US" w:eastAsia="zh-CN" w:bidi="ar-SA"/>
    </w:rPr>
  </w:style>
  <w:style w:type="paragraph" w:styleId="4">
    <w:name w:val="Balloon Text"/>
    <w:basedOn w:val="1"/>
    <w:link w:val="11"/>
    <w:qFormat/>
    <w:uiPriority w:val="0"/>
    <w:rPr>
      <w:sz w:val="18"/>
      <w:szCs w:val="18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1">
    <w:name w:val="批注框文本 Char"/>
    <w:basedOn w:val="8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昆明市嵩明县党政机关单位</Company>
  <Pages>12</Pages>
  <Words>5436</Words>
  <Characters>5581</Characters>
  <Lines>2</Lines>
  <Paragraphs>1</Paragraphs>
  <TotalTime>41</TotalTime>
  <ScaleCrop>false</ScaleCrop>
  <LinksUpToDate>false</LinksUpToDate>
  <CharactersWithSpaces>5581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2021-01-08T05:40:00Z</dcterms:created>
  <dc:creator>lenovo</dc:creator>
  <cp:lastModifiedBy>momo</cp:lastModifiedBy>
  <cp:lastPrinted>2025-04-01T03:22:00Z</cp:lastPrinted>
  <dcterms:modified xsi:type="dcterms:W3CDTF">2026-06-24T08:25:59Z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347CC18209414AF98E8C7F72A991D1E1_13</vt:lpwstr>
  </property>
  <property fmtid="{D5CDD505-2E9C-101B-9397-08002B2CF9AE}" pid="4" name="KSOTemplateDocerSaveRecord">
    <vt:lpwstr>eyJoZGlkIjoiNzQ4ZTZhZDMyNTkwZmUxMTJhMzgzZDEzMWZlM2U4MjYiLCJ1c2VySWQiOiIxMDg0Njk1MDExIn0=</vt:lpwstr>
  </property>
</Properties>
</file>