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4838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  <w:lang w:val="en-US" w:eastAsia="zh-CN"/>
        </w:rPr>
        <w:t>富民县图书馆《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  <w:t>2024年美术馆、公共图书馆、文化馆（站）免费开放省级配套资金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  <w:lang w:val="en-US"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napToGrid w:val="0"/>
          <w:spacing w:val="0"/>
          <w:kern w:val="0"/>
          <w:sz w:val="44"/>
          <w:szCs w:val="44"/>
        </w:rPr>
        <w:t>项目资金支出绩效评价报告</w:t>
      </w:r>
    </w:p>
    <w:p w14:paraId="3AF994F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</w:p>
    <w:p w14:paraId="0603652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一、基本情况</w:t>
      </w:r>
    </w:p>
    <w:p w14:paraId="37ADEE8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" w:hAnsi="仿宋" w:eastAsia="仿宋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（一）项目概况</w:t>
      </w:r>
    </w:p>
    <w:p w14:paraId="2C8D0AF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项目背景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为深入贯彻《中华人民共和国公共图书馆法》《云南省公共图书馆美术馆文化馆（站）免费开放补助资金管理办法》等文件精神，落实国家、省、市关于公共文化设施免费开放的工作部署，保障人民群众基本文化权益，提升公共文化服务均等化、标准化水平，加快“书香富民”建设，富民县图书馆实施2025年“三馆一站”免费开放省级配套资金项目，确保图书馆公共空间设施场地与基本服务项目全程免费开放。</w:t>
      </w:r>
    </w:p>
    <w:p w14:paraId="6287F4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主要内容及实施情况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项目核心围绕图书馆免费开放基本职能展开，全年稳定推进以下工作：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设施免费开放。图书借阅区、报刊阅览区、少儿阅览区、电子阅览室、地方文献室等全区域免费开放，全年无闭馆日，严格执行每周开放时长不低于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6小时、节假日正常开放的服务标准。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基本服务免费。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免费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提供图书借阅、报刊阅览、文献查询、公益讲座、展览展示、读者咨询、数字资源访问等基础服务。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提质增效。开展全民阅读推广、送书下乡、流动图书服务、读者培训、文化志愿服务等延伸服务；优化馆藏资源，更新图书文献，完善图书加工与馆藏维护；提升馆内设施设备运维水平，保障服务环境安全舒适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四是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规范管理运行。严格落实免费开放公示制度，公开服务项目、开放时间、规章制度；完善读者服务流程，提升服务效率与质量。</w:t>
      </w:r>
    </w:p>
    <w:p w14:paraId="2010D05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楷体_GB2312" w:hAnsi="楷体_GB2312" w:eastAsia="仿宋_GB2312" w:cs="楷体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资金投入和使用情况。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2025年7月16日我单位共收到富民县文化和旅游局下拨202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年美术馆、公共图书馆、文化馆（站）免费开放省级配套资金0.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万元。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该笔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资金用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于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富民县图书馆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线路维修改造，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截止到2025年12月31日202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年美术馆、公共图书馆、文化馆（站）免费开放省级配套资金已全部列支完毕。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资金专项用于图书馆免费开放相关支出，专款专用。</w:t>
      </w:r>
    </w:p>
    <w:p w14:paraId="71FEA07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（二）项目绩效目标</w:t>
      </w:r>
    </w:p>
    <w:p w14:paraId="7435985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总体目标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保障富民县图书馆全年免费开放稳定运行，完善公共文化服务设施，丰富馆藏资源，提升服务质量与效率，满足群众基本文化需求，提高群众文化素养，推动全民阅读深入开展，助力全县公共文化服务体系高质量建设。</w:t>
      </w:r>
    </w:p>
    <w:p w14:paraId="2B17F81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</w:rPr>
        <w:t>阶段性目标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。一是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服务保障。图书馆全年免费开放天数≥365天，每周开放时长≥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66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小时，基本服务项目免费率100%。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服务效能。年接待读者≥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1万余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人次，图书外借≥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5000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册次，开展阅读推广等公益活动≥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场，服务群众≥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val="en-US" w:eastAsia="zh-CN"/>
        </w:rPr>
        <w:t>1000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人次。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服务满意度。读者服务满意度≥90%，无重大服务投诉事件。</w:t>
      </w:r>
      <w:r>
        <w:rPr>
          <w:rFonts w:hint="eastAsia" w:ascii="Times New Roman" w:hAnsi="Times New Roman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四是</w:t>
      </w:r>
      <w:r>
        <w:rPr>
          <w:rFonts w:hint="eastAsia" w:ascii="Times New Roman" w:hAnsi="Times New Roman" w:eastAsia="仿宋_GB2312"/>
          <w:snapToGrid w:val="0"/>
          <w:spacing w:val="0"/>
          <w:kern w:val="0"/>
          <w:sz w:val="32"/>
          <w:szCs w:val="32"/>
          <w:lang w:eastAsia="zh-CN"/>
        </w:rPr>
        <w:t>规范管理。资金使用合规率100%，项目管理制度健全，执行到位，档案资料完整规范。</w:t>
      </w:r>
    </w:p>
    <w:p w14:paraId="413E274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（三）项目组织管理情况</w:t>
      </w:r>
    </w:p>
    <w:p w14:paraId="3950113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相关方职责分工。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主管部门富民县文化和旅游局负责项目资金下达、政策指导、监督检查，统筹协调免费开放工作推进。实施单位富民县图书馆为项目责任主体，馆长为第一责任人，负责项目具体实施、资金使用、服务开展、绩效自评、资料归档等全流程工作。内部科室办公室负责资金管理、财务核算、制度建设、后勤保障；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业务部门负责资源建设、读者服务、活动策划、业务培训；各阅览区负责日常开放、读者接待、设施维护。</w:t>
      </w:r>
    </w:p>
    <w:p w14:paraId="5C20AC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default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2.管理流程。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前期制定年度免费开放实施方案与绩效目标，明确工作任务、资金预算、责任分工，报主管部门审核备案。中期按计划推进免费开放服务与活动开展，规范资金支出审批流程，建立资金使用台账，定期开展自查自纠，及时整改问题。后期收集整理项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目资料，开展绩效自评，总结经验做法，分析存在问题，形成绩效评价报告并上报。</w:t>
      </w:r>
    </w:p>
    <w:p w14:paraId="00BDBF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3.组织实施。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成立以馆长为组长，馆员为成员的免费开放工作领导小组，统筹项目实施；定期召开工作会议，部署工作任务、解决实施难题；加强业务培训，提升服务能力；严格落实考勤、服务规范、安全管理等制度，保障免费开放有序运行。</w:t>
      </w:r>
    </w:p>
    <w:p w14:paraId="747D665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4.制度建设情况。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完善《富民县图书馆免费开放管理制度》《专项资金管理办法》《财务报销审批制度》《读者服务规范》《设施设备维护制度》《安全应急预案》等内部管理制度，形成“用制度管人、按制度办事”的管理机制，确保项目实施规范、资金使用安全。</w:t>
      </w:r>
    </w:p>
    <w:p w14:paraId="65DFF7A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二、绩效评价工作开展情况</w:t>
      </w:r>
    </w:p>
    <w:p w14:paraId="1E49B4B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（一）绩效评价目的、对象和范围</w:t>
      </w:r>
    </w:p>
    <w:p w14:paraId="55F3130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评价目的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全面了解2025年免费开放省级配套资金项目实施、资金使用、目标完成情况；总结经验做法，查找问题不足；客观评价项目绩效，为优化资金管理、提升服务效能、完善政策决策提供依据，提高财政资金使用效益。</w:t>
      </w:r>
    </w:p>
    <w:p w14:paraId="0E056EC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评价对象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富民县图书馆2025年“三馆一站”免费开放省级配套资金项目。</w:t>
      </w:r>
    </w:p>
    <w:p w14:paraId="6F94E13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评价范围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涵盖项目决策、资金管理、实施过程、服务产出、项目效益等全流程，涉及资金使用、开放时长、资源建设、服务活动、群众满意度、制度执行等全部内容。</w:t>
      </w:r>
    </w:p>
    <w:p w14:paraId="3E2CC08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（二）绩效评价原则、依据、评价指标体系（附表说明）、评价方法、评价标准、评价抽样等</w:t>
      </w:r>
    </w:p>
    <w:p w14:paraId="48B440A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绩效评价原则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坚持科学规范、客观公正、实事求是、绩效导向、公开透明原则，确保评价结果真实、准确、可靠。</w:t>
      </w:r>
    </w:p>
    <w:p w14:paraId="7E2A596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绩效评价依据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《中华人民共和国公共图书馆法》；《云南省公共图书馆美术馆文化馆（站）免费开放补助资金管理办法》；《中共中央、国务院关于全面实施预算绩效管理的意见》；富民县财政局、文旅局关于免费开放资金管理、绩效评价的相关文件要求；项目实施方案、绩效目标申报表、财务凭证、服务台账、</w:t>
      </w:r>
      <w:bookmarkStart w:id="1" w:name="_GoBack"/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活动记录、读者反馈等资料。</w:t>
      </w:r>
    </w:p>
    <w:bookmarkEnd w:id="1"/>
    <w:p w14:paraId="313EB03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评价指标体系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参照项目支出绩效评价指标体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系框架，结合图书馆免费开放实际，构建“产出—效益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满意度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个一级指标、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个二级指标、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个三级指标的评价体系，总分100分。</w:t>
      </w:r>
    </w:p>
    <w:p w14:paraId="338A9F4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评价方法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。一是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比较分析法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对比项目绩效目标与实际完成情况，分析目标实现程度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成本效益分析法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核算资金投入与产出效益，评价资金使用效率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公众评议法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发放读者满意度调查问卷，收集群众评价意见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四是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台账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研究法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查阅财务账目、服务记录、活动资料、制度文件等，核实项目实施情况。</w:t>
      </w:r>
    </w:p>
    <w:p w14:paraId="4CE573F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5.绩效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评价标准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以项目既定绩效目标、行业服务标准、财政资金管理规定、上级工作要求为核心标准，结合县级图书馆平均水平，设定优秀、良好、合格、不合格4个等级标准。</w:t>
      </w:r>
    </w:p>
    <w:p w14:paraId="22E4EF4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6.绩效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评价抽样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。一是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资金抽样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全覆盖核查所有资金支出凭证，确保合规性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服务抽样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随机抽取2025年各月度开放记录、图书借阅记录、活动档案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满意度抽样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发放读者问卷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份，回收有效问卷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份，有效回收率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%。</w:t>
      </w:r>
    </w:p>
    <w:p w14:paraId="7E525E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（三）绩效评价工作流程</w:t>
      </w:r>
    </w:p>
    <w:p w14:paraId="7F42507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准备阶段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成立绩效评价工作小组，制定评价方案，明确评价指标、方法、流程；收集项目实施方案、资金文件、财务资料、服务数据、活动记录等基础材料。</w:t>
      </w:r>
    </w:p>
    <w:p w14:paraId="27DC316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实施阶段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开展资料核查、现场勘查、数据统计、读者问卷调查；对照评价指标逐项评分，核实目标完成情况，分析问题原因。</w:t>
      </w:r>
    </w:p>
    <w:p w14:paraId="4337E38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报告阶段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整理评价数据，撰写绩效评价报告，形成评价结论与整改建议；报告经内部审核、主管部门复核后定稿上报。</w:t>
      </w:r>
    </w:p>
    <w:p w14:paraId="19DE4AC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三、综合评价情况及评价结论（附相关评分表）</w:t>
      </w:r>
    </w:p>
    <w:p w14:paraId="6BF20AC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spacing w:val="0"/>
          <w:kern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一）绩效评价综合结论</w:t>
      </w:r>
    </w:p>
    <w:p w14:paraId="43805AC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经综合评价，富民县图书馆2025年免费开放省级配套资金项目绩效评价得分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分，评价等级为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</w:rPr>
        <w:t>优秀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。项目严格执行政策要求，资金使用规范合规，免费开放服务稳定运行，服务产出超额完成预期，社会效益显著，有效保障了群众基本文化权益，但在资源更新速度、活动创新力度等方面仍需提升。</w:t>
      </w:r>
    </w:p>
    <w:p w14:paraId="1C75E49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（二）绩效目标实现情况等</w:t>
      </w:r>
    </w:p>
    <w:p w14:paraId="66EA875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服务保障目标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全年免费开放365天，每周开放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小时，基本服务免费率100%，全面完成开放时长与服务免费目标。</w:t>
      </w:r>
    </w:p>
    <w:p w14:paraId="57E5DF5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服务效能目标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年接待读者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3.2万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人次，完成目标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%；开展阅读推广、讲座、送书下乡等活动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场，服务群众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2000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人次，完成目标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%。</w:t>
      </w:r>
    </w:p>
    <w:p w14:paraId="21BEB29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满意度目标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读者满意度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95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%，高于90%的预期目标；全年无重大服务投诉，目标完成。</w:t>
      </w:r>
    </w:p>
    <w:p w14:paraId="51C2E5E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规范管理目标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资金使用合规率100%，制度健全且执行到位，档案资料完整，目标全面完成。</w:t>
      </w:r>
    </w:p>
    <w:p w14:paraId="36BFD58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四、绩效评价指标分析</w:t>
      </w:r>
    </w:p>
    <w:p w14:paraId="006F673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（一）项目决策情况分析</w:t>
      </w:r>
    </w:p>
    <w:p w14:paraId="7BE824D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项目立项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项目依据国家、省、市免费开放政策立项，符合公共文化服务发展需求，立项依据充分、程序规范。</w:t>
      </w:r>
    </w:p>
    <w:p w14:paraId="6369AA8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绩效目标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绩效目标设定科学、明确、可量化，与项目职能、资金规模匹配，目标分解合理。</w:t>
      </w:r>
    </w:p>
    <w:p w14:paraId="2171CDA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资金分配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省级配套资金及时足额到位，分配方案符合管理办法，与免费开放工作任务匹配。</w:t>
      </w:r>
    </w:p>
    <w:p w14:paraId="26E4645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（二）项目过程情况分析</w:t>
      </w:r>
    </w:p>
    <w:p w14:paraId="61D81EA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资金管理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严格执行专款专用、国库集中支付制度，支出范围合规，审批流程规范，财务核算准确，台账完整，无挤占、挪用、截留情况。</w:t>
      </w:r>
    </w:p>
    <w:p w14:paraId="0F9A345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组织实施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组织机构健全，职责分工明确，管理制度完善，业务培训到位，服务流程规范，安全管理到位，项目推进有序。</w:t>
      </w:r>
    </w:p>
    <w:p w14:paraId="5BB381F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监督管理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定期开展内部自查，主动接受主管部门、财政部门监督检查，发现问题及时整改，档案资料收集完整。</w:t>
      </w:r>
    </w:p>
    <w:p w14:paraId="693D0D8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（三）项目产出情况分析</w:t>
      </w:r>
    </w:p>
    <w:p w14:paraId="303AF98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开放服务产出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免费开放天数、时长达标，基本服务项目全覆盖，服务流程高效，设施环境整洁，产出数量、质量达标。</w:t>
      </w:r>
    </w:p>
    <w:p w14:paraId="46A095D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资源建设产出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新增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报刊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、期刊、数字资源数量达标，图书加工规范，馆藏结构优化，满足读者需求。</w:t>
      </w:r>
    </w:p>
    <w:p w14:paraId="4C0DBDD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活动开展产出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阅读推广、公益讲座、送书下乡等活动场次、参与人数达标，活动形式多样，覆盖不同群体，。</w:t>
      </w:r>
    </w:p>
    <w:p w14:paraId="1CDC554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服务效率产出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读者接待、图书借阅、问题处理效率提升，自助服务设备运行稳定，服务响应及时。</w:t>
      </w:r>
    </w:p>
    <w:p w14:paraId="5965535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（四）项目效益情况分析</w:t>
      </w:r>
    </w:p>
    <w:p w14:paraId="11ED6B1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社会效益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保障群众基本文化权益，丰富群众精神文化生活，推动全民阅读，提升县域文化氛围，助力公共文化服务体系建设，社会效益显著。</w:t>
      </w:r>
    </w:p>
    <w:p w14:paraId="7D6D745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服务效益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读者满意度高，服务口碑良好，吸引更多群众走进图书馆，服务覆盖面持续扩大。</w:t>
      </w:r>
    </w:p>
    <w:p w14:paraId="0F1387E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可持续效益</w:t>
      </w: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免费开放机制稳定，管理制度成熟，服务能力提升，为后续免费开放工作奠定基础，可持续性强。</w:t>
      </w:r>
    </w:p>
    <w:p w14:paraId="0BBBC9C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" w:hAnsi="仿宋" w:eastAsia="仿宋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五、主要经验及做法</w:t>
      </w:r>
    </w:p>
    <w:p w14:paraId="476F75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强化组织保障，压实工作责任</w:t>
      </w:r>
    </w:p>
    <w:p w14:paraId="2CC324D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成立专项工作小组，明确馆长负总责、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馆员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分工落实的责任体系，定期调度推进，确保免费开放工作有人抓、有人管、有人干，形成上下联动、高效推进的工作格局。</w:t>
      </w:r>
    </w:p>
    <w:p w14:paraId="4370BDA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规范资金管理，确保专款专用</w:t>
      </w:r>
    </w:p>
    <w:p w14:paraId="05CDA19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严格执行专项资金管理规定，建立“专人管理、专账核算、专款专用”机制，细化资金使用计划，规范支出审批流程，全程接受监督，确保资金用在“刀刃上”，保障免费开放核心需求。</w:t>
      </w:r>
    </w:p>
    <w:p w14:paraId="0534544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优化服务供给，提升服务品质</w:t>
      </w:r>
    </w:p>
    <w:p w14:paraId="05BAB83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坚持“读者至上、服务第一”理念，延长开放时间、拓展服务内容、优化服务环境，推出延时开放、送书下乡、少儿阅读专场等便民服务，满足不同群体阅读需求，提升群众获得感。</w:t>
      </w:r>
    </w:p>
    <w:p w14:paraId="1A17064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创新活动形式，深化阅读推广</w:t>
      </w:r>
    </w:p>
    <w:p w14:paraId="6D8F0C1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围绕世界读书日、国庆、春节等节点，开展主题讲座、图书漂流、亲子阅读、征文比赛等特色活动，结合线上线下融合模式，扩大活动影响力，激发全民阅读热情。</w:t>
      </w:r>
    </w:p>
    <w:p w14:paraId="518FB7A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健全制度体系，强化内控管理</w:t>
      </w:r>
    </w:p>
    <w:p w14:paraId="6A59605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完善免费开放、资金使用、服务规范、安全管理等全流程制度，加强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培训与日常考核，规范服务行为，及时排查整改问题，保障项目规范、高效、安全运行。</w:t>
      </w:r>
    </w:p>
    <w:p w14:paraId="3B12073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六、存在的问题及原因分析</w:t>
      </w:r>
    </w:p>
    <w:p w14:paraId="639810E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馆藏资源更新不足，结构有待优化</w:t>
      </w:r>
    </w:p>
    <w:p w14:paraId="65C4EA2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新增图书数量有限，热门图书、新书复本量不足，少儿、科技、地方文献等特色资源占比偏低，难以完全满足读者多样化需求。</w:t>
      </w:r>
    </w:p>
    <w:p w14:paraId="58D2D31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省级配套资金规模较小，资金主要保障基本开放运行，可用于资源采购的资金有限；馆藏更新规划不够精细，资源采购针对性不足。</w:t>
      </w:r>
    </w:p>
    <w:p w14:paraId="5F743D5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服务创新力度不够，数字化服务滞后</w:t>
      </w:r>
    </w:p>
    <w:p w14:paraId="7E9D276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服务形式以传统借阅、线下活动为主，数字化服务、个性化服务、精准化服务不足；线上阅读推广、数字资源访问推广力度弱，年轻群体服务覆盖面较窄。</w:t>
      </w:r>
    </w:p>
    <w:p w14:paraId="311070D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数字化设备、数字资源采购资金短缺；数字化服务能力不足，创新服务意识有待提升。</w:t>
      </w:r>
    </w:p>
    <w:p w14:paraId="3E5CB3C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基层服务覆盖不足，延伸服务薄弱</w:t>
      </w:r>
    </w:p>
    <w:p w14:paraId="25B5F4B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送书下乡、流动图书服务频次有限，覆盖乡村、社区、学校等基层点位较少，基层群众获取服务便利性不足。</w:t>
      </w:r>
    </w:p>
    <w:p w14:paraId="1FBF880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基层服务人力、物力、资金投入不足；流动服务设施、配送机制不够完善。</w:t>
      </w:r>
    </w:p>
    <w:p w14:paraId="4D3CF5B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绩效评价应用不够充分</w:t>
      </w:r>
    </w:p>
    <w:p w14:paraId="5B71A33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问题：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绩效评价结果主要用于上报备案，与资金分配、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考核、工作改进的衔接不够紧密，评价结果应用实效未充分发挥。</w:t>
      </w:r>
    </w:p>
    <w:p w14:paraId="6C4B039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spacing w:val="0"/>
          <w:kern w:val="0"/>
          <w:sz w:val="32"/>
          <w:szCs w:val="32"/>
        </w:rPr>
        <w:t>原因：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绩效结果应用机制不健全，对绩效评价的重视程度有待提高。</w:t>
      </w:r>
    </w:p>
    <w:p w14:paraId="06BEAAF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黑体" w:hAnsi="黑体" w:eastAsia="黑体" w:cs="黑体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七、有关建议</w:t>
      </w:r>
    </w:p>
    <w:p w14:paraId="2BB7532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加大资金投入，优化资源配置</w:t>
      </w:r>
    </w:p>
    <w:p w14:paraId="4D70CBA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积极向上级申请增加免费开放专项资金，统筹整合资金资源，重点向馆藏资源更新、数字化建设、基层服务倾斜；科学制定馆藏采购计划，加大热门图书、少儿读物、地方文献、科技类图书采购力度，优化馆藏结构。</w:t>
      </w:r>
    </w:p>
    <w:p w14:paraId="55A0FF3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推进数字化转型，创新服务模式</w:t>
      </w:r>
    </w:p>
    <w:p w14:paraId="2547C72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争取资金投入数字化设备、数字资源库建设，完善图书馆微信公众号、线上阅读平台功能；开展数字化服务培训，提升数字技能；推出线上阅读打卡、数字展览、直播讲座等创新服务，拓展服务覆盖面。</w:t>
      </w:r>
    </w:p>
    <w:p w14:paraId="27487FB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强化基层服务，扩大覆盖范围</w:t>
      </w:r>
    </w:p>
    <w:p w14:paraId="68D611B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增加送书下乡、流动图书服务频次，完善乡村、社区、学校图书流通点建设；建立基层服务长效机制，配备专职人员与专项经费，提升基层群众文化服务可及性。</w:t>
      </w:r>
    </w:p>
    <w:p w14:paraId="7AAECB9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健全绩效应用机制，提升管理效能</w:t>
      </w:r>
    </w:p>
    <w:p w14:paraId="339BF38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建立绩效评价结果与预算安排、资金分配、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考核挂钩机制；将评价发现的问题纳入整改台账，明确整改责任、时限、措施，以评促改、以评促建，持续提升免费开放管理与服务水平。</w:t>
      </w:r>
    </w:p>
    <w:p w14:paraId="04248A5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加强队伍建设，提升服务能力</w:t>
      </w:r>
    </w:p>
    <w:p w14:paraId="6B80238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定期开展业务技能、服务规范、数字化服务培训，引进专业人才；完善考核激励机制，激发工作积极性、主动性、创新性，打造高素质服务队伍。</w:t>
      </w:r>
    </w:p>
    <w:p w14:paraId="3DE6A63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" w:hAnsi="仿宋" w:eastAsia="仿宋"/>
          <w:snapToGrid w:val="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</w:rPr>
        <w:t>八、其它需要说明的问题</w:t>
      </w:r>
    </w:p>
    <w:bookmarkEnd w:id="0"/>
    <w:p w14:paraId="6ACDE7A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影响项目绩效的因素</w:t>
      </w:r>
    </w:p>
    <w:p w14:paraId="49727F0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</w:rPr>
        <w:t>资金因素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省级配套资金总量有限，制约馆藏更新、服务创新、基层拓展等工作推进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  <w:t>。</w:t>
      </w:r>
    </w:p>
    <w:p w14:paraId="5D73A81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</w:rPr>
        <w:t>人才因素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基层图书馆专业人员不足，数字化、活动策划等专业能力薄弱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  <w:t>。</w:t>
      </w:r>
    </w:p>
    <w:p w14:paraId="6FDED44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9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</w:rPr>
        <w:t>需求因素</w:t>
      </w:r>
      <w:r>
        <w:rPr>
          <w:rFonts w:hint="eastAsia" w:ascii="仿宋_GB2312" w:eastAsia="仿宋_GB2312"/>
          <w:b/>
          <w:bCs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群众文化需求日益多元化，对服务品质、内容形式提出更高要求。</w:t>
      </w:r>
    </w:p>
    <w:p w14:paraId="04A7964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</w:rPr>
        <w:t>往年绩效评价问题整改情况</w:t>
      </w:r>
    </w:p>
    <w:p w14:paraId="7FCA0F3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2024年绩效评价发现的“资金使用台账不够细化、基层服务频次不足”等问题，已完成整改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完善资金支出明细台账，规范记录每笔支出用途；2025年增加送书下乡、流动服务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napToGrid w:val="0"/>
          <w:spacing w:val="0"/>
          <w:kern w:val="0"/>
          <w:sz w:val="32"/>
          <w:szCs w:val="32"/>
        </w:rPr>
        <w:t>场次，覆盖乡村社区，整改成效显著。</w:t>
      </w:r>
    </w:p>
    <w:p w14:paraId="585E2AE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646" w:firstLineChars="202"/>
        <w:jc w:val="both"/>
        <w:textAlignment w:val="auto"/>
        <w:rPr>
          <w:rFonts w:ascii="仿宋_GB2312" w:eastAsia="仿宋_GB2312"/>
          <w:snapToGrid w:val="0"/>
          <w:spacing w:val="0"/>
          <w:kern w:val="0"/>
          <w:sz w:val="32"/>
          <w:szCs w:val="32"/>
        </w:rPr>
      </w:pPr>
    </w:p>
    <w:p w14:paraId="6420741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left="0" w:leftChars="0" w:firstLine="424" w:firstLineChars="202"/>
        <w:jc w:val="both"/>
        <w:textAlignment w:val="auto"/>
        <w:rPr>
          <w:snapToGrid w:val="0"/>
          <w:spacing w:val="0"/>
          <w:kern w:val="0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BCC1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07B0D7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07B0D7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290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0MTkyMDgwNmJkYTNlNmVjMDk5MDMyMGQ5Yzk0NDUifQ=="/>
  </w:docVars>
  <w:rsids>
    <w:rsidRoot w:val="12927D71"/>
    <w:rsid w:val="000E6661"/>
    <w:rsid w:val="002020E6"/>
    <w:rsid w:val="002A3E90"/>
    <w:rsid w:val="00374AB7"/>
    <w:rsid w:val="003B6467"/>
    <w:rsid w:val="00404802"/>
    <w:rsid w:val="00451CED"/>
    <w:rsid w:val="004A76FA"/>
    <w:rsid w:val="0058320E"/>
    <w:rsid w:val="005B2D1B"/>
    <w:rsid w:val="006E0A05"/>
    <w:rsid w:val="007E77B9"/>
    <w:rsid w:val="0087492D"/>
    <w:rsid w:val="008F7E56"/>
    <w:rsid w:val="00997D04"/>
    <w:rsid w:val="00A34092"/>
    <w:rsid w:val="00C040C7"/>
    <w:rsid w:val="00C44CFA"/>
    <w:rsid w:val="00DE6A66"/>
    <w:rsid w:val="00EC5918"/>
    <w:rsid w:val="00F5756A"/>
    <w:rsid w:val="00FE0C9E"/>
    <w:rsid w:val="03A62A72"/>
    <w:rsid w:val="054D2B43"/>
    <w:rsid w:val="12927D71"/>
    <w:rsid w:val="2B475279"/>
    <w:rsid w:val="306F6904"/>
    <w:rsid w:val="3DEF68E1"/>
    <w:rsid w:val="65C23618"/>
    <w:rsid w:val="6F951797"/>
    <w:rsid w:val="77672F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32"/>
      <w:lang w:val="en-US" w:eastAsia="zh-CN" w:bidi="ar-SA"/>
    </w:rPr>
  </w:style>
  <w:style w:type="paragraph" w:styleId="3">
    <w:name w:val="toc 5"/>
    <w:next w:val="1"/>
    <w:qFormat/>
    <w:uiPriority w:val="0"/>
    <w:pPr>
      <w:widowControl w:val="0"/>
      <w:spacing w:before="100" w:beforeAutospacing="1" w:after="100" w:afterAutospacing="1"/>
      <w:ind w:left="1680"/>
      <w:jc w:val="both"/>
    </w:pPr>
    <w:rPr>
      <w:rFonts w:ascii="Calibri" w:hAnsi="Calibri" w:eastAsia="宋体" w:cs="Times New Roman"/>
      <w:kern w:val="2"/>
      <w:sz w:val="32"/>
      <w:lang w:val="en-US" w:eastAsia="zh-CN" w:bidi="ar-SA"/>
    </w:rPr>
  </w:style>
  <w:style w:type="paragraph" w:styleId="4">
    <w:name w:val="Balloon Text"/>
    <w:basedOn w:val="1"/>
    <w:link w:val="11"/>
    <w:uiPriority w:val="0"/>
    <w:rPr>
      <w:sz w:val="18"/>
      <w:szCs w:val="18"/>
    </w:r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5"/>
    <w:uiPriority w:val="0"/>
    <w:rPr>
      <w:kern w:val="2"/>
      <w:sz w:val="18"/>
      <w:szCs w:val="18"/>
    </w:rPr>
  </w:style>
  <w:style w:type="character" w:customStyle="1" w:styleId="11">
    <w:name w:val="批注框文本 Char"/>
    <w:basedOn w:val="8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昆明市嵩明县党政机关单位</Company>
  <Pages>12</Pages>
  <Words>5428</Words>
  <Characters>5563</Characters>
  <Lines>2</Lines>
  <Paragraphs>1</Paragraphs>
  <TotalTime>3</TotalTime>
  <ScaleCrop>false</ScaleCrop>
  <LinksUpToDate>false</LinksUpToDate>
  <CharactersWithSpaces>5563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2021-01-08T05:40:00Z</dcterms:created>
  <dc:creator>lenovo</dc:creator>
  <cp:lastModifiedBy>momo</cp:lastModifiedBy>
  <cp:lastPrinted>2025-04-01T03:22:00Z</cp:lastPrinted>
  <dcterms:modified xsi:type="dcterms:W3CDTF">2026-06-24T08:29:02Z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372859907E8E4786A1E4FB73269342BE_13</vt:lpwstr>
  </property>
  <property fmtid="{D5CDD505-2E9C-101B-9397-08002B2CF9AE}" pid="4" name="KSOTemplateDocerSaveRecord">
    <vt:lpwstr>eyJoZGlkIjoiNzQ4ZTZhZDMyNTkwZmUxMTJhMzgzZDEzMWZlM2U4MjYiLCJ1c2VySWQiOiIxMDg0Njk1MDExIn0=</vt:lpwstr>
  </property>
</Properties>
</file>