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line="580" w:lineRule="exact"/>
        <w:jc w:val="center"/>
        <w:rPr>
          <w:rFonts w:ascii="Times New Roman" w:hAnsi="Times New Roman" w:eastAsia="方正小标宋简体"/>
          <w:bCs/>
          <w:sz w:val="44"/>
          <w:szCs w:val="44"/>
        </w:rPr>
      </w:pPr>
      <w:r>
        <w:rPr>
          <w:rFonts w:ascii="Times New Roman" w:hAnsi="Times New Roman" w:eastAsia="方正小标宋简体"/>
          <w:bCs/>
          <w:sz w:val="44"/>
          <w:szCs w:val="44"/>
        </w:rPr>
        <w:t>富民县政协提案答复清单</w:t>
      </w:r>
    </w:p>
    <w:tbl>
      <w:tblPr>
        <w:tblStyle w:val="5"/>
        <w:tblpPr w:leftFromText="180" w:rightFromText="180" w:vertAnchor="text" w:horzAnchor="page" w:tblpXSpec="center" w:tblpY="240"/>
        <w:tblOverlap w:val="never"/>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820"/>
        <w:gridCol w:w="1810"/>
        <w:gridCol w:w="636"/>
        <w:gridCol w:w="2445"/>
        <w:gridCol w:w="1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9280" w:type="dxa"/>
            <w:gridSpan w:val="6"/>
            <w:tcBorders>
              <w:top w:val="single" w:color="auto" w:sz="4" w:space="0"/>
              <w:left w:val="single" w:color="auto" w:sz="4" w:space="0"/>
              <w:bottom w:val="single" w:color="auto" w:sz="4" w:space="0"/>
              <w:right w:val="single" w:color="auto" w:sz="4" w:space="0"/>
            </w:tcBorders>
            <w:vAlign w:val="center"/>
          </w:tcPr>
          <w:p>
            <w:pPr>
              <w:jc w:val="center"/>
              <w:rPr>
                <w:rFonts w:ascii="仿宋_GB2312"/>
                <w:kern w:val="0"/>
                <w:sz w:val="28"/>
                <w:szCs w:val="28"/>
              </w:rPr>
            </w:pPr>
            <w:r>
              <w:rPr>
                <w:rFonts w:hint="eastAsia" w:ascii="仿宋_GB2312"/>
                <w:kern w:val="0"/>
                <w:sz w:val="28"/>
                <w:szCs w:val="28"/>
              </w:rPr>
              <w:t>富民县财政局</w:t>
            </w:r>
          </w:p>
          <w:p>
            <w:pPr>
              <w:autoSpaceDE w:val="0"/>
              <w:autoSpaceDN w:val="0"/>
              <w:spacing w:line="580" w:lineRule="exact"/>
              <w:jc w:val="center"/>
              <w:rPr>
                <w:rFonts w:ascii="仿宋_GB2312" w:hAnsi="Times New Roman"/>
                <w:kern w:val="0"/>
                <w:sz w:val="28"/>
                <w:szCs w:val="28"/>
              </w:rPr>
            </w:pPr>
            <w:r>
              <w:rPr>
                <w:rFonts w:hint="eastAsia" w:ascii="仿宋_GB2312"/>
                <w:kern w:val="0"/>
                <w:sz w:val="28"/>
                <w:szCs w:val="28"/>
              </w:rPr>
              <w:t>关于对富民县政协十届</w:t>
            </w:r>
            <w:r>
              <w:rPr>
                <w:rFonts w:hint="eastAsia" w:ascii="仿宋_GB2312"/>
                <w:kern w:val="0"/>
                <w:sz w:val="28"/>
                <w:szCs w:val="28"/>
                <w:u w:val="single"/>
              </w:rPr>
              <w:t>三</w:t>
            </w:r>
            <w:r>
              <w:rPr>
                <w:rFonts w:hint="eastAsia" w:ascii="仿宋_GB2312"/>
                <w:kern w:val="0"/>
                <w:sz w:val="28"/>
                <w:szCs w:val="28"/>
              </w:rPr>
              <w:t>次会议第</w:t>
            </w:r>
            <w:r>
              <w:rPr>
                <w:rFonts w:hint="eastAsia" w:ascii="仿宋_GB2312"/>
                <w:kern w:val="0"/>
                <w:sz w:val="28"/>
                <w:szCs w:val="28"/>
                <w:u w:val="single"/>
              </w:rPr>
              <w:t>107</w:t>
            </w:r>
            <w:r>
              <w:rPr>
                <w:rFonts w:hint="eastAsia" w:ascii="仿宋_GB2312"/>
                <w:kern w:val="0"/>
                <w:sz w:val="28"/>
                <w:szCs w:val="28"/>
              </w:rPr>
              <w:t>号提案的答复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9280" w:type="dxa"/>
            <w:gridSpan w:val="6"/>
            <w:tcBorders>
              <w:top w:val="single" w:color="auto" w:sz="4" w:space="0"/>
              <w:left w:val="single" w:color="auto" w:sz="4" w:space="0"/>
              <w:bottom w:val="single" w:color="auto" w:sz="4" w:space="0"/>
              <w:right w:val="single" w:color="auto" w:sz="4" w:space="0"/>
            </w:tcBorders>
          </w:tcPr>
          <w:p>
            <w:pPr>
              <w:rPr>
                <w:rFonts w:ascii="仿宋_GB2312"/>
                <w:kern w:val="0"/>
                <w:sz w:val="28"/>
                <w:szCs w:val="28"/>
              </w:rPr>
            </w:pPr>
            <w:r>
              <w:rPr>
                <w:rFonts w:hint="eastAsia" w:ascii="仿宋_GB2312"/>
                <w:kern w:val="0"/>
                <w:sz w:val="28"/>
                <w:szCs w:val="28"/>
              </w:rPr>
              <w:t>经济和财税金融界杨丽娟领衔：</w:t>
            </w:r>
          </w:p>
          <w:p>
            <w:pPr>
              <w:autoSpaceDE w:val="0"/>
              <w:autoSpaceDN w:val="0"/>
              <w:spacing w:line="440" w:lineRule="exact"/>
              <w:ind w:firstLine="280" w:firstLineChars="100"/>
              <w:rPr>
                <w:rFonts w:ascii="仿宋_GB2312" w:hAnsi="Times New Roman"/>
                <w:kern w:val="0"/>
                <w:sz w:val="28"/>
                <w:szCs w:val="28"/>
              </w:rPr>
            </w:pPr>
            <w:r>
              <w:rPr>
                <w:rFonts w:hint="eastAsia" w:ascii="仿宋_GB2312"/>
                <w:kern w:val="0"/>
                <w:sz w:val="28"/>
                <w:szCs w:val="28"/>
              </w:rPr>
              <w:t>关于</w:t>
            </w:r>
            <w:r>
              <w:rPr>
                <w:rFonts w:hint="eastAsia" w:ascii="仿宋_GB2312"/>
                <w:kern w:val="0"/>
                <w:sz w:val="28"/>
                <w:szCs w:val="28"/>
                <w:u w:val="single"/>
              </w:rPr>
              <w:t>加强税源培植的建议</w:t>
            </w:r>
            <w:r>
              <w:rPr>
                <w:rFonts w:hint="eastAsia" w:ascii="仿宋_GB2312"/>
                <w:kern w:val="0"/>
                <w:sz w:val="28"/>
                <w:szCs w:val="28"/>
              </w:rPr>
              <w:t>提案收悉，现就提案办理有关情况答复如下：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25" w:type="dxa"/>
            <w:vMerge w:val="restart"/>
            <w:tcBorders>
              <w:top w:val="nil"/>
              <w:left w:val="single" w:color="auto" w:sz="4" w:space="0"/>
              <w:bottom w:val="single" w:color="auto" w:sz="4" w:space="0"/>
              <w:right w:val="single" w:color="auto" w:sz="4" w:space="0"/>
            </w:tcBorders>
            <w:vAlign w:val="center"/>
          </w:tcPr>
          <w:p>
            <w:pPr>
              <w:autoSpaceDE w:val="0"/>
              <w:autoSpaceDN w:val="0"/>
              <w:spacing w:line="580" w:lineRule="exact"/>
              <w:rPr>
                <w:rFonts w:ascii="Times New Roman" w:hAnsi="Times New Roman"/>
                <w:b/>
                <w:bCs/>
                <w:kern w:val="0"/>
                <w:sz w:val="28"/>
                <w:szCs w:val="28"/>
              </w:rPr>
            </w:pPr>
            <w:r>
              <w:rPr>
                <w:rFonts w:ascii="Times New Roman" w:hAnsi="Times New Roman"/>
                <w:b/>
                <w:bCs/>
                <w:kern w:val="0"/>
                <w:sz w:val="28"/>
                <w:szCs w:val="28"/>
              </w:rPr>
              <w:t>办</w:t>
            </w:r>
          </w:p>
          <w:p>
            <w:pPr>
              <w:autoSpaceDE w:val="0"/>
              <w:autoSpaceDN w:val="0"/>
              <w:spacing w:line="580" w:lineRule="exact"/>
              <w:rPr>
                <w:rFonts w:ascii="Times New Roman" w:hAnsi="Times New Roman"/>
                <w:b/>
                <w:bCs/>
                <w:kern w:val="0"/>
                <w:sz w:val="28"/>
                <w:szCs w:val="28"/>
              </w:rPr>
            </w:pPr>
            <w:r>
              <w:rPr>
                <w:rFonts w:ascii="Times New Roman" w:hAnsi="Times New Roman"/>
                <w:b/>
                <w:bCs/>
                <w:kern w:val="0"/>
                <w:sz w:val="28"/>
                <w:szCs w:val="28"/>
              </w:rPr>
              <w:t>理</w:t>
            </w:r>
          </w:p>
          <w:p>
            <w:pPr>
              <w:autoSpaceDE w:val="0"/>
              <w:autoSpaceDN w:val="0"/>
              <w:spacing w:line="580" w:lineRule="exact"/>
              <w:rPr>
                <w:rFonts w:ascii="Times New Roman" w:hAnsi="Times New Roman"/>
                <w:b/>
                <w:bCs/>
                <w:kern w:val="0"/>
                <w:sz w:val="28"/>
                <w:szCs w:val="28"/>
              </w:rPr>
            </w:pPr>
            <w:r>
              <w:rPr>
                <w:rFonts w:ascii="Times New Roman" w:hAnsi="Times New Roman"/>
                <w:b/>
                <w:bCs/>
                <w:kern w:val="0"/>
                <w:sz w:val="28"/>
                <w:szCs w:val="28"/>
              </w:rPr>
              <w:t>结</w:t>
            </w:r>
          </w:p>
          <w:p>
            <w:pPr>
              <w:autoSpaceDE w:val="0"/>
              <w:autoSpaceDN w:val="0"/>
              <w:spacing w:line="580" w:lineRule="exact"/>
              <w:rPr>
                <w:rFonts w:ascii="Times New Roman" w:hAnsi="Times New Roman"/>
                <w:b/>
                <w:bCs/>
                <w:kern w:val="0"/>
                <w:sz w:val="28"/>
                <w:szCs w:val="28"/>
              </w:rPr>
            </w:pPr>
            <w:r>
              <w:rPr>
                <w:rFonts w:ascii="Times New Roman" w:hAnsi="Times New Roman"/>
                <w:b/>
                <w:bCs/>
                <w:kern w:val="0"/>
                <w:sz w:val="28"/>
                <w:szCs w:val="28"/>
              </w:rPr>
              <w:t>果</w:t>
            </w:r>
          </w:p>
          <w:p>
            <w:pPr>
              <w:autoSpaceDE w:val="0"/>
              <w:autoSpaceDN w:val="0"/>
              <w:spacing w:line="580" w:lineRule="exact"/>
              <w:rPr>
                <w:rFonts w:ascii="Times New Roman" w:hAnsi="Times New Roman"/>
                <w:b/>
                <w:bCs/>
                <w:kern w:val="0"/>
                <w:sz w:val="28"/>
                <w:szCs w:val="28"/>
              </w:rPr>
            </w:pPr>
            <w:r>
              <w:rPr>
                <w:rFonts w:ascii="Times New Roman" w:hAnsi="Times New Roman"/>
                <w:b/>
                <w:bCs/>
                <w:kern w:val="0"/>
                <w:sz w:val="28"/>
                <w:szCs w:val="28"/>
              </w:rPr>
              <w:t>清</w:t>
            </w:r>
          </w:p>
          <w:p>
            <w:pPr>
              <w:autoSpaceDE w:val="0"/>
              <w:autoSpaceDN w:val="0"/>
              <w:spacing w:line="580" w:lineRule="exact"/>
              <w:rPr>
                <w:rFonts w:ascii="Times New Roman" w:hAnsi="Times New Roman"/>
                <w:kern w:val="0"/>
                <w:sz w:val="28"/>
                <w:szCs w:val="28"/>
              </w:rPr>
            </w:pPr>
            <w:r>
              <w:rPr>
                <w:rFonts w:ascii="Times New Roman" w:hAnsi="Times New Roman"/>
                <w:b/>
                <w:bCs/>
                <w:kern w:val="0"/>
                <w:sz w:val="28"/>
                <w:szCs w:val="28"/>
              </w:rPr>
              <w:t>单</w:t>
            </w: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b/>
                <w:kern w:val="0"/>
                <w:sz w:val="24"/>
                <w:szCs w:val="24"/>
              </w:rPr>
            </w:pPr>
            <w:r>
              <w:rPr>
                <w:rFonts w:ascii="Times New Roman" w:hAnsi="Times New Roman"/>
                <w:b/>
                <w:kern w:val="0"/>
                <w:sz w:val="24"/>
                <w:szCs w:val="24"/>
              </w:rPr>
              <w:t>建议一</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u w:color="000000"/>
                <w:shd w:val="clear" w:color="auto" w:fill="FFFFFF"/>
              </w:rPr>
              <w:t>狠抓园区建设。聚焦园区这一中心，加快推进</w:t>
            </w:r>
            <w:r>
              <w:rPr>
                <w:rFonts w:ascii="Times New Roman" w:hAnsi="Times New Roman"/>
                <w:kern w:val="0"/>
                <w:sz w:val="24"/>
                <w:szCs w:val="24"/>
                <w:shd w:val="clear" w:color="auto" w:fill="FFFFFF"/>
              </w:rPr>
              <w:t>白石岩片区开发力度，提升园区承载能力</w:t>
            </w:r>
            <w:r>
              <w:rPr>
                <w:rFonts w:ascii="Times New Roman" w:hAnsi="Times New Roman"/>
                <w:kern w:val="0"/>
                <w:sz w:val="24"/>
                <w:szCs w:val="24"/>
              </w:rPr>
              <w:t>；</w:t>
            </w:r>
            <w:r>
              <w:rPr>
                <w:rFonts w:ascii="Times New Roman" w:hAnsi="Times New Roman"/>
                <w:kern w:val="0"/>
                <w:sz w:val="24"/>
                <w:szCs w:val="24"/>
                <w:u w:color="000000"/>
                <w:shd w:val="clear" w:color="auto" w:fill="FFFFFF"/>
              </w:rPr>
              <w:t>加大园区</w:t>
            </w:r>
            <w:r>
              <w:rPr>
                <w:rFonts w:ascii="Times New Roman" w:hAnsi="Times New Roman"/>
                <w:spacing w:val="-6"/>
                <w:kern w:val="0"/>
                <w:sz w:val="24"/>
                <w:szCs w:val="24"/>
              </w:rPr>
              <w:t>“专精特新”项目</w:t>
            </w:r>
            <w:r>
              <w:rPr>
                <w:rFonts w:ascii="Times New Roman" w:hAnsi="Times New Roman"/>
                <w:kern w:val="0"/>
                <w:sz w:val="24"/>
                <w:szCs w:val="24"/>
                <w:u w:color="000000"/>
                <w:shd w:val="clear" w:color="auto" w:fill="FFFFFF"/>
              </w:rPr>
              <w:t>扶持力度，坚决淘汰落后产能，</w:t>
            </w:r>
            <w:r>
              <w:rPr>
                <w:rFonts w:ascii="Times New Roman" w:hAnsi="Times New Roman"/>
                <w:kern w:val="0"/>
                <w:sz w:val="24"/>
                <w:szCs w:val="24"/>
              </w:rPr>
              <w:t>推动园区工业产业集群发展；落实好园区财税扶持相关政策，</w:t>
            </w:r>
            <w:r>
              <w:rPr>
                <w:rFonts w:ascii="Times New Roman" w:hAnsi="Times New Roman"/>
                <w:kern w:val="0"/>
                <w:sz w:val="24"/>
                <w:szCs w:val="24"/>
                <w:lang w:val="zh-CN"/>
              </w:rPr>
              <w:t>保障园区开发建设</w:t>
            </w:r>
            <w:r>
              <w:rPr>
                <w:rFonts w:ascii="Times New Roman" w:hAnsi="Times New Roman"/>
                <w:kern w:val="0"/>
                <w:sz w:val="24"/>
                <w:szCs w:val="24"/>
              </w:rPr>
              <w:t>资金需求，</w:t>
            </w:r>
            <w:r>
              <w:rPr>
                <w:rFonts w:ascii="Times New Roman" w:hAnsi="Times New Roman"/>
                <w:kern w:val="0"/>
                <w:sz w:val="24"/>
                <w:szCs w:val="24"/>
                <w:u w:color="000000"/>
                <w:shd w:val="clear" w:color="auto" w:fill="FFFFFF"/>
              </w:rPr>
              <w:t>以园区经济引领工业经济高质量发展。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当年完成事项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b/>
                <w:bCs/>
                <w:kern w:val="0"/>
                <w:sz w:val="24"/>
                <w:szCs w:val="24"/>
              </w:rPr>
              <w:t>一是</w:t>
            </w:r>
            <w:r>
              <w:rPr>
                <w:rFonts w:ascii="Times New Roman" w:hAnsi="Times New Roman"/>
                <w:bCs/>
                <w:kern w:val="0"/>
                <w:sz w:val="24"/>
                <w:szCs w:val="24"/>
              </w:rPr>
              <w:t>积极争取</w:t>
            </w:r>
            <w:r>
              <w:rPr>
                <w:rFonts w:ascii="Times New Roman" w:hAnsi="Times New Roman"/>
                <w:kern w:val="0"/>
                <w:sz w:val="24"/>
                <w:szCs w:val="24"/>
              </w:rPr>
              <w:t>市级政策支撑。市政府出台《支持富民县聚集钛产业进阶发展工业经济若干措施》支持富民县化工园区建设及发展；</w:t>
            </w:r>
            <w:r>
              <w:rPr>
                <w:rFonts w:ascii="Times New Roman" w:hAnsi="Times New Roman"/>
                <w:b/>
                <w:kern w:val="0"/>
                <w:sz w:val="24"/>
                <w:szCs w:val="24"/>
              </w:rPr>
              <w:t>二是</w:t>
            </w:r>
            <w:r>
              <w:rPr>
                <w:rFonts w:ascii="Times New Roman" w:hAnsi="Times New Roman"/>
                <w:kern w:val="0"/>
                <w:sz w:val="24"/>
                <w:szCs w:val="24"/>
              </w:rPr>
              <w:t>落实税收收入增量留用分享政策。印发《富民县落实省级分享税收收入增量留用实施细则》，助力园区激发内生发展动力，促进我县县域及园区经济高质量发展；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当年推动工作</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积极配合园区做好向上争取资金工作，协助园区申报预算内资金、超长期国债等上级补助项目。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明年待落实事项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若园区申报项目落地，积极做好财政资金统筹。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b/>
                <w:kern w:val="0"/>
                <w:sz w:val="24"/>
                <w:szCs w:val="24"/>
              </w:rPr>
            </w:pPr>
            <w:r>
              <w:rPr>
                <w:rFonts w:ascii="Times New Roman" w:hAnsi="Times New Roman"/>
                <w:b/>
                <w:kern w:val="0"/>
                <w:sz w:val="24"/>
                <w:szCs w:val="24"/>
              </w:rPr>
              <w:t>建议二</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u w:color="000000"/>
                <w:shd w:val="clear" w:color="auto" w:fill="FFFFFF"/>
              </w:rPr>
              <w:t>扩大税基容量。</w:t>
            </w:r>
            <w:r>
              <w:rPr>
                <w:rFonts w:ascii="Times New Roman" w:hAnsi="Times New Roman"/>
                <w:kern w:val="0"/>
                <w:sz w:val="24"/>
                <w:szCs w:val="24"/>
              </w:rPr>
              <w:t>全面分析我县重点产业的分布和区域竞合关系，立足区域的整体利益和目标，以做大产业集群为核心，有针对性的招大引强，做大产业集群。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当年完成事项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富民县税务局结合税收工作职能，积极获取外部数据开展行业分析。目前正在撰写《用税收推进产业发展》的分析报告，富民县税务局从富民县不动产中心获取的全县不动产登记信息，结合税务金三系统房源登记信息，对税收收入与企业登记的房产建筑面积关系进行分析，就引进企业方面提出税务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当年推动工作</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bCs/>
                <w:kern w:val="0"/>
                <w:sz w:val="24"/>
                <w:szCs w:val="24"/>
              </w:rPr>
              <w:t>聚焦“接得住、留得下、玩得好”目标，</w:t>
            </w:r>
            <w:r>
              <w:rPr>
                <w:rFonts w:ascii="Times New Roman" w:hAnsi="Times New Roman"/>
                <w:snapToGrid w:val="0"/>
                <w:kern w:val="0"/>
                <w:sz w:val="24"/>
                <w:szCs w:val="24"/>
              </w:rPr>
              <w:t>拓展生态露营、温泉养生、农事体验等业态，</w:t>
            </w:r>
            <w:r>
              <w:rPr>
                <w:rFonts w:ascii="Times New Roman" w:hAnsi="Times New Roman"/>
                <w:kern w:val="0"/>
                <w:sz w:val="24"/>
                <w:szCs w:val="24"/>
              </w:rPr>
              <w:t>聚力提升天马山—明熙苑片区—徐霞客游线—半山耕云田园综合体示范效应，提高餐饮、娱乐、住宿等配套承接水平，实现提质增效。全年实现接待游客500万人次以上，旅游营业收入增长126%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待明年落实事项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pStyle w:val="7"/>
              <w:framePr w:hSpace="0" w:wrap="auto" w:vAnchor="margin" w:hAnchor="text" w:xAlign="left" w:yAlign="inline"/>
              <w:ind w:firstLine="0" w:firstLineChars="0"/>
              <w:jc w:val="both"/>
              <w:rPr>
                <w:rFonts w:ascii="Times New Roman" w:eastAsia="仿宋_GB2312"/>
                <w:kern w:val="0"/>
                <w:szCs w:val="24"/>
              </w:rPr>
            </w:pPr>
            <w:r>
              <w:rPr>
                <w:rFonts w:ascii="Times New Roman" w:eastAsia="仿宋_GB2312"/>
                <w:b/>
                <w:bCs/>
                <w:kern w:val="0"/>
                <w:szCs w:val="24"/>
              </w:rPr>
              <w:t>一是</w:t>
            </w:r>
            <w:r>
              <w:rPr>
                <w:rFonts w:ascii="Times New Roman" w:eastAsia="仿宋_GB2312"/>
                <w:kern w:val="0"/>
                <w:szCs w:val="24"/>
              </w:rPr>
              <w:t>强化政策支持积极推动相关优惠政策的落实，吸引更多文旅企业入驻，激发市场活力。加强与税务部门的协作，确保政策执行到位。二</w:t>
            </w:r>
            <w:r>
              <w:rPr>
                <w:rFonts w:ascii="Times New Roman" w:eastAsia="仿宋_GB2312"/>
                <w:b/>
                <w:bCs/>
                <w:kern w:val="0"/>
                <w:szCs w:val="24"/>
              </w:rPr>
              <w:t>是</w:t>
            </w:r>
            <w:r>
              <w:rPr>
                <w:rFonts w:ascii="Times New Roman" w:eastAsia="仿宋_GB2312"/>
                <w:kern w:val="0"/>
                <w:szCs w:val="24"/>
              </w:rPr>
              <w:t>优化产业布局，加大对文旅产业的规划和引导，促进产业集聚发展。扶持特色文旅项目，提升产业附加值。</w:t>
            </w:r>
            <w:r>
              <w:rPr>
                <w:rFonts w:ascii="Times New Roman" w:eastAsia="仿宋_GB2312"/>
                <w:b/>
                <w:bCs/>
                <w:kern w:val="0"/>
                <w:szCs w:val="24"/>
              </w:rPr>
              <w:t>三是</w:t>
            </w:r>
            <w:r>
              <w:rPr>
                <w:rFonts w:ascii="Times New Roman" w:eastAsia="仿宋_GB2312"/>
                <w:kern w:val="0"/>
                <w:szCs w:val="24"/>
              </w:rPr>
              <w:t>提升服务质量，加强对文旅企业的服务和指导，帮助企业解决实际问题。改善营商环境，吸引更多投资。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b/>
                <w:kern w:val="0"/>
                <w:sz w:val="24"/>
                <w:szCs w:val="24"/>
              </w:rPr>
            </w:pPr>
            <w:r>
              <w:rPr>
                <w:rFonts w:ascii="Times New Roman" w:hAnsi="Times New Roman"/>
                <w:b/>
                <w:kern w:val="0"/>
                <w:sz w:val="24"/>
                <w:szCs w:val="24"/>
              </w:rPr>
              <w:t>建议三</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u w:color="000000"/>
                <w:shd w:val="clear" w:color="auto" w:fill="FFFFFF"/>
              </w:rPr>
              <w:t>涵养优质税源。</w:t>
            </w:r>
            <w:r>
              <w:rPr>
                <w:rFonts w:ascii="Times New Roman" w:hAnsi="Times New Roman"/>
                <w:kern w:val="0"/>
                <w:sz w:val="24"/>
                <w:szCs w:val="24"/>
              </w:rPr>
              <w:t>加强对税源企业的培育，落实好各项税收优惠政策，及时掌握企业的生产经营情况，解决存在的问题，增强企业发展信心；及时兑现惠企政策奖励资金，巩固存量；</w:t>
            </w:r>
            <w:r>
              <w:rPr>
                <w:rFonts w:ascii="Times New Roman" w:hAnsi="Times New Roman"/>
                <w:kern w:val="0"/>
                <w:sz w:val="24"/>
                <w:szCs w:val="24"/>
                <w:u w:color="000000"/>
                <w:shd w:val="clear" w:color="auto" w:fill="FFFFFF"/>
              </w:rPr>
              <w:t>把握以项目数量为基础、以项目质量为根本的选资导向，注重引进前景好的企业，</w:t>
            </w:r>
            <w:r>
              <w:rPr>
                <w:rFonts w:ascii="Times New Roman" w:hAnsi="Times New Roman"/>
                <w:kern w:val="0"/>
                <w:sz w:val="24"/>
                <w:szCs w:val="24"/>
              </w:rPr>
              <w:t>做大增量</w:t>
            </w:r>
            <w:r>
              <w:rPr>
                <w:rFonts w:ascii="Times New Roman" w:hAnsi="Times New Roman"/>
                <w:kern w:val="0"/>
                <w:sz w:val="24"/>
                <w:szCs w:val="24"/>
                <w:u w:color="000000"/>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当年完成事项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一是为扎实推进各项税费优惠政策落实落细，持续优化税收营商环境，有效防控税收执法风险，依法依规开展组织税费收入工作。县财政局、县税务局于2024年2月向县委县政府报送《富民县税务局关于2023年组织收入完成情况和2024年组织收入形势的分析报告》，就2023年组织收入情况、税源结构情况、当前存在的困难以及组织收入的办法措施进行汇报；二是为进一步提升税收征管精准度和规范化，确保富民财政收入稳步增长，县税务局立足于自身职能，认真落实组织收入原则，协同多部门充分发挥税收共治机制效能，多措并举高质量推动税收现代化服务富民地方经济，于2024年4月向县委县政府报送《国家税务总局富民县税务局关于构建税收共治格局及组织收入有关措施的调研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当年推动工作</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持续做好各类税费政策的落实和宣导工作，协助企业申报惠企政策并及时兑现，税费支持政策和扶持政策应享尽享，激发企业内生动力，增强企业发展信心。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待明年落实事项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常态化开展</w:t>
            </w:r>
            <w:r>
              <w:rPr>
                <w:rFonts w:ascii="Times New Roman" w:hAnsi="Times New Roman"/>
                <w:kern w:val="0"/>
                <w:sz w:val="24"/>
                <w:szCs w:val="24"/>
                <w:u w:color="000000"/>
                <w:shd w:val="clear" w:color="auto" w:fill="FFFFFF"/>
              </w:rPr>
              <w:t>涵养税源，培育优质税源工作。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b/>
                <w:kern w:val="0"/>
                <w:sz w:val="24"/>
                <w:szCs w:val="24"/>
              </w:rPr>
            </w:pPr>
            <w:r>
              <w:rPr>
                <w:rFonts w:ascii="Times New Roman" w:hAnsi="Times New Roman"/>
                <w:b/>
                <w:kern w:val="0"/>
                <w:sz w:val="24"/>
                <w:szCs w:val="24"/>
              </w:rPr>
              <w:t>建议四</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u w:color="000000"/>
                <w:shd w:val="clear" w:color="auto" w:fill="FFFFFF"/>
              </w:rPr>
              <w:t>加强税源管控。</w:t>
            </w:r>
            <w:r>
              <w:rPr>
                <w:rFonts w:ascii="Times New Roman" w:hAnsi="Times New Roman"/>
                <w:kern w:val="0"/>
                <w:sz w:val="24"/>
                <w:szCs w:val="24"/>
              </w:rPr>
              <w:t>坚持财税部门收入分析工作机制，强化税收效应分析，结合税源情况，分级分类建立税源监控台账，对重点企业进行动态监控，抓牢年纳税额10万元以上重点税源的管控，防止税源流失、税收跑冒滴漏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当年完成事项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富民县税务局目前按月开展全口径税费收入情况分析，从分税种、分行业、税务总局监控的重点税源企业、非税收入、社会保险费收入等方面进行分析，传送至县政府、县财政局、县统计局、县审计局、县人大财经委等相关部门传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Times New Roman" w:hAnsi="Times New Roman"/>
                <w:kern w:val="0"/>
                <w:sz w:val="24"/>
                <w:szCs w:val="24"/>
              </w:rPr>
            </w:pPr>
            <w:r>
              <w:rPr>
                <w:rFonts w:ascii="Times New Roman" w:hAnsi="Times New Roman"/>
                <w:kern w:val="0"/>
                <w:sz w:val="24"/>
                <w:szCs w:val="24"/>
              </w:rPr>
              <w:t>当年推动工作</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spacing w:line="0" w:lineRule="atLeast"/>
              <w:rPr>
                <w:rFonts w:ascii="Times New Roman" w:hAnsi="Times New Roman"/>
                <w:kern w:val="0"/>
                <w:sz w:val="24"/>
                <w:szCs w:val="24"/>
              </w:rPr>
            </w:pPr>
            <w:r>
              <w:rPr>
                <w:rFonts w:ascii="Times New Roman" w:hAnsi="Times New Roman"/>
                <w:kern w:val="0"/>
                <w:sz w:val="24"/>
                <w:szCs w:val="24"/>
              </w:rPr>
              <w:t>一是定期召开财税分析联系会议。由县财政局、县税务局牵头每月23日召开财税分析专题会，根据当月预计完成事项召集相关行管部门及各镇（街道）主要负责人共同会商协税护税工作推进；二是按月统计纳税10万元以上企业名单、四上企业纳税情况、税收分产业情况表、非公经济统计表、财政收支分析表（对一般预算收入分税种情况进行增减因素分析）并报送县财政局，为领导决策提供数据支撑，便于县级领导和行管部门及时掌握富民县税收经济运行情况。三是构建税收共治新体系，与行管部门和各镇街联合行动，加强跨区域涉税事项管理，加强富民县在建工程监控，防止税源流失，确保建安企业税款及时准确入库。四是强化税种管理，优化税收环境，开展房土两税申报数据与不动产中心登记数据比对，核实是否存在漏缴情况看，如果存在，及时督促纳税人补缴税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25" w:type="dxa"/>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kern w:val="0"/>
                <w:sz w:val="28"/>
                <w:szCs w:val="28"/>
              </w:rPr>
            </w:pPr>
          </w:p>
        </w:tc>
        <w:tc>
          <w:tcPr>
            <w:tcW w:w="363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kern w:val="0"/>
                <w:sz w:val="24"/>
                <w:szCs w:val="24"/>
              </w:rPr>
            </w:pPr>
            <w:r>
              <w:rPr>
                <w:rFonts w:ascii="Times New Roman" w:hAnsi="Times New Roman"/>
                <w:kern w:val="0"/>
                <w:sz w:val="24"/>
                <w:szCs w:val="24"/>
              </w:rPr>
              <w:t>待明年落实事项</w:t>
            </w:r>
          </w:p>
        </w:tc>
        <w:tc>
          <w:tcPr>
            <w:tcW w:w="5025"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kern w:val="0"/>
                <w:sz w:val="24"/>
                <w:szCs w:val="24"/>
              </w:rPr>
            </w:pPr>
            <w:r>
              <w:rPr>
                <w:rFonts w:ascii="Times New Roman" w:hAnsi="Times New Roman"/>
                <w:kern w:val="0"/>
                <w:sz w:val="24"/>
                <w:szCs w:val="24"/>
              </w:rPr>
              <w:t>常态化开展</w:t>
            </w:r>
            <w:r>
              <w:rPr>
                <w:rFonts w:ascii="Times New Roman" w:hAnsi="Times New Roman"/>
                <w:kern w:val="0"/>
                <w:sz w:val="24"/>
                <w:szCs w:val="24"/>
                <w:u w:color="000000"/>
                <w:shd w:val="clear" w:color="auto" w:fill="FFFFFF"/>
              </w:rPr>
              <w:t>税源管控工作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9280" w:type="dxa"/>
            <w:gridSpan w:val="6"/>
            <w:tcBorders>
              <w:top w:val="single" w:color="auto" w:sz="4" w:space="0"/>
              <w:left w:val="single" w:color="auto" w:sz="4" w:space="0"/>
              <w:bottom w:val="single" w:color="auto" w:sz="4" w:space="0"/>
              <w:right w:val="single" w:color="auto" w:sz="4" w:space="0"/>
            </w:tcBorders>
          </w:tcPr>
          <w:p>
            <w:pPr>
              <w:autoSpaceDE w:val="0"/>
              <w:autoSpaceDN w:val="0"/>
              <w:spacing w:line="580" w:lineRule="exact"/>
              <w:ind w:firstLine="560" w:firstLineChars="200"/>
              <w:rPr>
                <w:rFonts w:ascii="Times New Roman" w:hAnsi="Times New Roman"/>
                <w:kern w:val="0"/>
                <w:sz w:val="28"/>
                <w:szCs w:val="28"/>
              </w:rPr>
            </w:pPr>
            <w:r>
              <w:rPr>
                <w:rFonts w:ascii="Times New Roman" w:hAnsi="Times New Roman"/>
                <w:kern w:val="0"/>
                <w:sz w:val="28"/>
                <w:szCs w:val="28"/>
              </w:rPr>
              <w:t>附件清单：（现场协商照片、相关答复文件等）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9280" w:type="dxa"/>
            <w:gridSpan w:val="6"/>
            <w:tcBorders>
              <w:top w:val="single" w:color="auto" w:sz="4" w:space="0"/>
              <w:left w:val="single" w:color="auto" w:sz="4" w:space="0"/>
              <w:bottom w:val="single" w:color="auto" w:sz="4" w:space="0"/>
              <w:right w:val="single" w:color="auto" w:sz="4" w:space="0"/>
            </w:tcBorders>
          </w:tcPr>
          <w:p>
            <w:pPr>
              <w:autoSpaceDE w:val="0"/>
              <w:autoSpaceDN w:val="0"/>
              <w:spacing w:line="400" w:lineRule="exact"/>
              <w:ind w:firstLine="560" w:firstLineChars="200"/>
              <w:rPr>
                <w:rFonts w:ascii="Times New Roman" w:hAnsi="Times New Roman"/>
                <w:kern w:val="0"/>
                <w:sz w:val="28"/>
                <w:szCs w:val="28"/>
              </w:rPr>
            </w:pPr>
            <w:r>
              <w:rPr>
                <w:rFonts w:ascii="Times New Roman" w:hAnsi="Times New Roman"/>
                <w:kern w:val="0"/>
                <w:sz w:val="28"/>
                <w:szCs w:val="28"/>
              </w:rPr>
              <w:t>补充说明：办理情况是结合县财政局、县税务局和县文化</w:t>
            </w:r>
            <w:r>
              <w:rPr>
                <w:rFonts w:hint="eastAsia" w:ascii="Times New Roman" w:hAnsi="Times New Roman"/>
                <w:kern w:val="0"/>
                <w:sz w:val="28"/>
                <w:szCs w:val="28"/>
                <w:lang w:eastAsia="zh-CN"/>
              </w:rPr>
              <w:t>和</w:t>
            </w:r>
            <w:r>
              <w:rPr>
                <w:rFonts w:ascii="Times New Roman" w:hAnsi="Times New Roman"/>
                <w:kern w:val="0"/>
                <w:sz w:val="28"/>
                <w:szCs w:val="28"/>
              </w:rPr>
              <w:t>旅游局相关工作推进情况进行回复。</w:t>
            </w:r>
            <w:bookmarkStart w:id="0" w:name="_GoBack"/>
            <w:bookmarkEnd w:id="0"/>
          </w:p>
          <w:p>
            <w:pPr>
              <w:autoSpaceDE w:val="0"/>
              <w:autoSpaceDN w:val="0"/>
              <w:spacing w:line="400" w:lineRule="exact"/>
              <w:ind w:firstLine="560" w:firstLineChars="200"/>
              <w:jc w:val="center"/>
              <w:rPr>
                <w:rFonts w:ascii="Times New Roman" w:hAnsi="Times New Roman"/>
                <w:kern w:val="0"/>
                <w:sz w:val="28"/>
                <w:szCs w:val="28"/>
              </w:rPr>
            </w:pPr>
          </w:p>
          <w:p>
            <w:pPr>
              <w:autoSpaceDE w:val="0"/>
              <w:autoSpaceDN w:val="0"/>
              <w:spacing w:line="400" w:lineRule="exact"/>
              <w:ind w:firstLine="560" w:firstLineChars="200"/>
              <w:jc w:val="center"/>
              <w:rPr>
                <w:rFonts w:ascii="Times New Roman" w:hAnsi="Times New Roman"/>
                <w:kern w:val="0"/>
                <w:sz w:val="28"/>
                <w:szCs w:val="28"/>
              </w:rPr>
            </w:pPr>
            <w:r>
              <w:rPr>
                <w:rFonts w:ascii="Times New Roman" w:hAnsi="Times New Roman"/>
                <w:kern w:val="0"/>
                <w:sz w:val="28"/>
                <w:szCs w:val="28"/>
              </w:rPr>
              <w:t>富民县财政局</w:t>
            </w:r>
          </w:p>
          <w:p>
            <w:pPr>
              <w:autoSpaceDE w:val="0"/>
              <w:autoSpaceDN w:val="0"/>
              <w:spacing w:line="400" w:lineRule="exact"/>
              <w:rPr>
                <w:rFonts w:ascii="Times New Roman" w:hAnsi="Times New Roman"/>
                <w:kern w:val="0"/>
                <w:sz w:val="28"/>
                <w:szCs w:val="28"/>
              </w:rPr>
            </w:pPr>
            <w:r>
              <w:rPr>
                <w:rFonts w:ascii="Times New Roman" w:hAnsi="Times New Roman"/>
                <w:kern w:val="0"/>
                <w:sz w:val="28"/>
                <w:szCs w:val="28"/>
              </w:rPr>
              <w:t>日期：2024年6月28日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9280" w:type="dxa"/>
            <w:gridSpan w:val="6"/>
            <w:tcBorders>
              <w:top w:val="single" w:color="auto" w:sz="4" w:space="0"/>
              <w:left w:val="single" w:color="auto" w:sz="4" w:space="0"/>
              <w:bottom w:val="single" w:color="auto" w:sz="4" w:space="0"/>
              <w:right w:val="single" w:color="auto" w:sz="4" w:space="0"/>
            </w:tcBorders>
          </w:tcPr>
          <w:p>
            <w:pPr>
              <w:autoSpaceDE w:val="0"/>
              <w:autoSpaceDN w:val="0"/>
              <w:spacing w:line="400" w:lineRule="exact"/>
              <w:ind w:firstLine="560" w:firstLineChars="200"/>
              <w:rPr>
                <w:rFonts w:ascii="Times New Roman" w:hAnsi="Times New Roman"/>
                <w:kern w:val="0"/>
                <w:sz w:val="28"/>
                <w:szCs w:val="28"/>
              </w:rPr>
            </w:pPr>
            <w:r>
              <w:rPr>
                <w:rFonts w:ascii="Times New Roman" w:hAnsi="Times New Roman"/>
                <w:kern w:val="0"/>
                <w:sz w:val="28"/>
                <w:szCs w:val="28"/>
              </w:rPr>
              <w:t>提案办理结果：</w:t>
            </w:r>
            <w:r>
              <w:rPr>
                <w:rFonts w:hint="eastAsia" w:ascii="Times New Roman" w:hAnsi="Times New Roman"/>
                <w:kern w:val="0"/>
                <w:sz w:val="28"/>
                <w:szCs w:val="28"/>
                <w:u w:val="single"/>
              </w:rPr>
              <w:t>A</w:t>
            </w:r>
            <w:r>
              <w:rPr>
                <w:rFonts w:ascii="Times New Roman" w:hAnsi="Times New Roman"/>
                <w:kern w:val="0"/>
                <w:sz w:val="28"/>
                <w:szCs w:val="28"/>
              </w:rPr>
              <w:t>类</w:t>
            </w:r>
          </w:p>
          <w:p>
            <w:pPr>
              <w:autoSpaceDE w:val="0"/>
              <w:autoSpaceDN w:val="0"/>
              <w:spacing w:line="400" w:lineRule="exact"/>
              <w:rPr>
                <w:rFonts w:ascii="Times New Roman" w:hAnsi="Times New Roman"/>
                <w:kern w:val="0"/>
                <w:sz w:val="28"/>
                <w:szCs w:val="28"/>
              </w:rPr>
            </w:pPr>
            <w:r>
              <w:rPr>
                <w:rFonts w:ascii="Times New Roman" w:hAnsi="Times New Roman"/>
                <w:kern w:val="0"/>
                <w:sz w:val="28"/>
                <w:szCs w:val="28"/>
              </w:rPr>
              <w:t>（A类为提案所提问题已经解决或部分解决；B类为提案所提问题列入计划逐步解决；C类为提案所提问题目前无法解决或留作参考。）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244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580" w:lineRule="exact"/>
              <w:ind w:firstLine="560" w:firstLineChars="200"/>
              <w:rPr>
                <w:rFonts w:ascii="Times New Roman" w:hAnsi="Times New Roman"/>
                <w:kern w:val="0"/>
                <w:sz w:val="28"/>
                <w:szCs w:val="28"/>
              </w:rPr>
            </w:pPr>
            <w:r>
              <w:rPr>
                <w:rFonts w:ascii="Times New Roman" w:hAnsi="Times New Roman"/>
                <w:kern w:val="0"/>
                <w:sz w:val="28"/>
                <w:szCs w:val="28"/>
              </w:rPr>
              <w:t>联系人</w:t>
            </w:r>
          </w:p>
        </w:tc>
        <w:tc>
          <w:tcPr>
            <w:tcW w:w="2446"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spacing w:line="580" w:lineRule="exact"/>
              <w:ind w:firstLine="560" w:firstLineChars="200"/>
              <w:rPr>
                <w:rFonts w:ascii="Times New Roman" w:hAnsi="Times New Roman"/>
                <w:kern w:val="0"/>
                <w:sz w:val="28"/>
                <w:szCs w:val="28"/>
              </w:rPr>
            </w:pPr>
            <w:r>
              <w:rPr>
                <w:rFonts w:hint="eastAsia" w:ascii="Times New Roman" w:hAnsi="Times New Roman"/>
                <w:kern w:val="0"/>
                <w:sz w:val="28"/>
                <w:szCs w:val="28"/>
              </w:rPr>
              <w:t>杨海军</w:t>
            </w:r>
          </w:p>
        </w:tc>
        <w:tc>
          <w:tcPr>
            <w:tcW w:w="24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80" w:lineRule="exact"/>
              <w:ind w:firstLine="560" w:firstLineChars="200"/>
              <w:rPr>
                <w:rFonts w:ascii="Times New Roman" w:hAnsi="Times New Roman"/>
                <w:kern w:val="0"/>
                <w:sz w:val="28"/>
                <w:szCs w:val="28"/>
              </w:rPr>
            </w:pPr>
            <w:r>
              <w:rPr>
                <w:rFonts w:ascii="Times New Roman" w:hAnsi="Times New Roman"/>
                <w:kern w:val="0"/>
                <w:sz w:val="28"/>
                <w:szCs w:val="28"/>
              </w:rPr>
              <w:t>联系电话</w:t>
            </w:r>
          </w:p>
        </w:tc>
        <w:tc>
          <w:tcPr>
            <w:tcW w:w="19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580" w:lineRule="exact"/>
              <w:rPr>
                <w:rFonts w:ascii="Times New Roman" w:hAnsi="Times New Roman"/>
                <w:kern w:val="0"/>
                <w:sz w:val="28"/>
                <w:szCs w:val="28"/>
              </w:rPr>
            </w:pPr>
          </w:p>
        </w:tc>
      </w:tr>
    </w:tbl>
    <w:p>
      <w:pPr>
        <w:spacing w:line="440" w:lineRule="exact"/>
        <w:rPr>
          <w:rFonts w:ascii="Times New Roman" w:hAnsi="Times New Roman"/>
          <w:sz w:val="28"/>
          <w:szCs w:val="28"/>
        </w:rPr>
      </w:pPr>
    </w:p>
    <w:p>
      <w:pPr>
        <w:rPr>
          <w:rFonts w:ascii="Times New Roman" w:hAnsi="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5MjQwMzgzZjUyYmQ2ZjBjNTYxOTlmZTUzNDdkYzgifQ=="/>
  </w:docVars>
  <w:rsids>
    <w:rsidRoot w:val="00257300"/>
    <w:rsid w:val="001F52A6"/>
    <w:rsid w:val="00257300"/>
    <w:rsid w:val="007F0A3A"/>
    <w:rsid w:val="008F7BE2"/>
    <w:rsid w:val="00B6612F"/>
    <w:rsid w:val="00DD010A"/>
    <w:rsid w:val="20E23B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0"/>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正文缩进1"/>
    <w:basedOn w:val="1"/>
    <w:qFormat/>
    <w:uiPriority w:val="99"/>
    <w:pPr>
      <w:framePr w:hSpace="180" w:wrap="around" w:vAnchor="text" w:hAnchor="page" w:xAlign="center" w:y="240"/>
      <w:suppressOverlap/>
      <w:autoSpaceDE w:val="0"/>
      <w:autoSpaceDN w:val="0"/>
      <w:spacing w:line="0" w:lineRule="atLeast"/>
      <w:ind w:firstLine="420" w:firstLineChars="200"/>
      <w:jc w:val="center"/>
    </w:pPr>
    <w:rPr>
      <w:rFonts w:ascii="方正小标宋_GBK" w:hAnsi="Times New Roman" w:eastAsia="方正小标宋_GBK"/>
      <w:color w:val="000000"/>
      <w:sz w:val="24"/>
      <w:szCs w:val="32"/>
    </w:rPr>
  </w:style>
  <w:style w:type="character" w:customStyle="1" w:styleId="8">
    <w:name w:val="页眉 Char"/>
    <w:basedOn w:val="6"/>
    <w:link w:val="3"/>
    <w:uiPriority w:val="99"/>
    <w:rPr>
      <w:rFonts w:ascii="Calibri" w:hAnsi="Calibri" w:eastAsia="仿宋_GB2312" w:cs="Times New Roman"/>
      <w:sz w:val="18"/>
      <w:szCs w:val="18"/>
    </w:rPr>
  </w:style>
  <w:style w:type="character" w:customStyle="1" w:styleId="9">
    <w:name w:val="页脚 Char"/>
    <w:basedOn w:val="6"/>
    <w:link w:val="2"/>
    <w:uiPriority w:val="99"/>
    <w:rPr>
      <w:rFonts w:ascii="Calibri" w:hAnsi="Calibri" w:eastAsia="仿宋_GB2312"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345</Words>
  <Characters>1971</Characters>
  <Lines>16</Lines>
  <Paragraphs>4</Paragraphs>
  <TotalTime>10</TotalTime>
  <ScaleCrop>false</ScaleCrop>
  <LinksUpToDate>false</LinksUpToDate>
  <CharactersWithSpaces>2312</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2024-06-28T00:51:00Z</dcterms:created>
  <dc:creator>李佳</dc:creator>
  <cp:lastModifiedBy>姚晓铭</cp:lastModifiedBy>
  <dcterms:modified xsi:type="dcterms:W3CDTF">2026-07-17T06:13:00Z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791C59B0DB0E46D1963B0691C53D3D4D_13</vt:lpwstr>
  </property>
</Properties>
</file>