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0" w:lineRule="atLeast"/>
        <w:ind w:left="263" w:leftChars="125"/>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县委统战部政策法规培训</w:t>
      </w:r>
      <w:r>
        <w:rPr>
          <w:rFonts w:hint="eastAsia" w:ascii="方正小标宋简体" w:hAnsi="方正小标宋简体" w:eastAsia="方正小标宋简体" w:cs="方正小标宋简体"/>
          <w:sz w:val="44"/>
          <w:szCs w:val="44"/>
        </w:rPr>
        <w:t>项目</w:t>
      </w:r>
    </w:p>
    <w:p>
      <w:pPr>
        <w:keepNext w:val="0"/>
        <w:keepLines w:val="0"/>
        <w:pageBreakBefore w:val="0"/>
        <w:widowControl w:val="0"/>
        <w:kinsoku/>
        <w:wordWrap/>
        <w:overflowPunct/>
        <w:topLinePunct w:val="0"/>
        <w:autoSpaceDE/>
        <w:autoSpaceDN/>
        <w:bidi w:val="0"/>
        <w:adjustRightInd/>
        <w:snapToGrid/>
        <w:spacing w:line="0" w:lineRule="atLeast"/>
        <w:ind w:left="263" w:leftChars="125"/>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支出绩效评价报告</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ascii="黑体" w:hAnsi="黑体" w:eastAsia="黑体" w:cs="黑体"/>
          <w:sz w:val="32"/>
          <w:szCs w:val="32"/>
        </w:rPr>
      </w:pPr>
      <w:r>
        <w:rPr>
          <w:rFonts w:hint="eastAsia" w:ascii="黑体" w:hAnsi="黑体" w:eastAsia="黑体" w:cs="黑体"/>
          <w:sz w:val="32"/>
          <w:szCs w:val="32"/>
        </w:rPr>
        <w:t>一、基本情况</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hint="eastAsia" w:ascii="Times New Roman" w:hAnsi="Times New Roman" w:eastAsia="仿宋_GB2312"/>
          <w:sz w:val="32"/>
          <w:szCs w:val="32"/>
        </w:rPr>
      </w:pPr>
      <w:r>
        <w:rPr>
          <w:rFonts w:hint="eastAsia" w:ascii="楷体_GB2312" w:hAnsi="楷体_GB2312" w:eastAsia="楷体_GB2312" w:cs="楷体_GB2312"/>
          <w:sz w:val="32"/>
          <w:szCs w:val="32"/>
        </w:rPr>
        <w:t>（一）项目概况</w:t>
      </w:r>
      <w:r>
        <w:rPr>
          <w:rFonts w:hint="eastAsia" w:ascii="Times New Roman" w:hAnsi="Times New Roman" w:eastAsia="仿宋_GB2312"/>
          <w:sz w:val="32"/>
          <w:szCs w:val="32"/>
        </w:rPr>
        <w:t>。</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hint="eastAsia" w:ascii="仿宋_GB2312" w:hAnsi="华文仿宋" w:eastAsia="仿宋_GB2312"/>
          <w:sz w:val="32"/>
          <w:szCs w:val="32"/>
          <w:lang w:eastAsia="zh-CN"/>
        </w:rPr>
      </w:pPr>
      <w:r>
        <w:rPr>
          <w:rFonts w:hint="eastAsia" w:ascii="Times New Roman" w:hAnsi="Times New Roman" w:eastAsia="仿宋_GB2312"/>
          <w:sz w:val="32"/>
          <w:szCs w:val="32"/>
        </w:rPr>
        <w:t>项目背景</w:t>
      </w:r>
      <w:r>
        <w:rPr>
          <w:rFonts w:hint="eastAsia" w:ascii="Times New Roman" w:hAnsi="Times New Roman" w:eastAsia="仿宋_GB2312"/>
          <w:sz w:val="32"/>
          <w:szCs w:val="32"/>
          <w:lang w:eastAsia="zh-CN"/>
        </w:rPr>
        <w:t>：</w:t>
      </w:r>
      <w:r>
        <w:rPr>
          <w:rFonts w:hint="eastAsia" w:ascii="仿宋_GB2312" w:hAnsi="华文仿宋" w:eastAsia="仿宋_GB2312"/>
          <w:sz w:val="32"/>
          <w:szCs w:val="32"/>
        </w:rPr>
        <w:t>随着</w:t>
      </w:r>
      <w:r>
        <w:rPr>
          <w:rFonts w:hint="eastAsia" w:ascii="仿宋_GB2312" w:hAnsi="华文仿宋" w:eastAsia="仿宋_GB2312"/>
          <w:sz w:val="32"/>
          <w:szCs w:val="32"/>
          <w:lang w:eastAsia="zh-CN"/>
        </w:rPr>
        <w:t>社会</w:t>
      </w:r>
      <w:r>
        <w:rPr>
          <w:rFonts w:hint="eastAsia" w:ascii="仿宋_GB2312" w:hAnsi="华文仿宋" w:eastAsia="仿宋_GB2312"/>
          <w:sz w:val="32"/>
          <w:szCs w:val="32"/>
        </w:rPr>
        <w:t>的快速发展，强化统战政策法规知识培训是推动统战工作高质量发展的基础工程。通过精心部署和统筹推进，不断提升基层统战干部的政策把握能力，从而促进基层统战工作的高质量发展</w:t>
      </w:r>
      <w:r>
        <w:rPr>
          <w:rFonts w:hint="eastAsia" w:ascii="仿宋_GB2312" w:hAnsi="华文仿宋"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主要内容及实施情况</w:t>
      </w:r>
      <w:r>
        <w:rPr>
          <w:rFonts w:hint="eastAsia" w:ascii="Times New Roman" w:hAnsi="Times New Roman" w:eastAsia="仿宋_GB2312"/>
          <w:sz w:val="32"/>
          <w:szCs w:val="32"/>
          <w:lang w:eastAsia="zh-CN"/>
        </w:rPr>
        <w:t>：</w:t>
      </w:r>
      <w:r>
        <w:rPr>
          <w:rFonts w:hint="eastAsia" w:ascii="仿宋_GB2312" w:hAnsi="仿宋" w:eastAsia="仿宋_GB2312"/>
          <w:sz w:val="32"/>
          <w:szCs w:val="32"/>
          <w:lang w:val="en-US" w:eastAsia="zh-CN"/>
        </w:rPr>
        <w:t>202</w:t>
      </w:r>
      <w:r>
        <w:rPr>
          <w:rFonts w:hint="eastAsia" w:ascii="仿宋_GB2312" w:hAnsi="仿宋"/>
          <w:sz w:val="32"/>
          <w:szCs w:val="32"/>
          <w:lang w:val="en-US" w:eastAsia="zh-CN"/>
        </w:rPr>
        <w:t>5</w:t>
      </w:r>
      <w:r>
        <w:rPr>
          <w:rFonts w:hint="eastAsia" w:ascii="仿宋_GB2312" w:hAnsi="仿宋" w:eastAsia="仿宋_GB2312"/>
          <w:sz w:val="32"/>
          <w:szCs w:val="32"/>
          <w:lang w:val="en-US" w:eastAsia="zh-CN"/>
        </w:rPr>
        <w:t>年富民县委统战部</w:t>
      </w:r>
      <w:r>
        <w:rPr>
          <w:rFonts w:hint="eastAsia" w:ascii="仿宋_GB2312" w:hAnsi="仿宋" w:eastAsia="仿宋_GB2312"/>
          <w:sz w:val="32"/>
          <w:szCs w:val="32"/>
        </w:rPr>
        <w:t>统战政策法规培训</w:t>
      </w:r>
      <w:r>
        <w:rPr>
          <w:rFonts w:hint="eastAsia" w:ascii="仿宋_GB2312" w:hAnsi="仿宋" w:eastAsia="仿宋_GB2312"/>
          <w:sz w:val="32"/>
          <w:szCs w:val="32"/>
          <w:lang w:eastAsia="zh-CN"/>
        </w:rPr>
        <w:t>项目</w:t>
      </w:r>
      <w:r>
        <w:rPr>
          <w:rFonts w:hint="eastAsia" w:ascii="仿宋_GB2312" w:hAnsi="仿宋" w:eastAsia="仿宋_GB2312"/>
          <w:sz w:val="32"/>
          <w:szCs w:val="32"/>
        </w:rPr>
        <w:t>的目标旨在提升统战干部的理论水平和实际工作能力，实现教育培训的全员覆盖，深化大统战工作格局，以及聚焦和完成年度重点任务，从而推动统战工作在新时代的科学发展</w:t>
      </w:r>
      <w:r>
        <w:rPr>
          <w:rFonts w:hint="eastAsia" w:ascii="仿宋_GB2312" w:hAnsi="仿宋"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lang w:eastAsia="zh-CN"/>
        </w:rPr>
      </w:pPr>
      <w:sdt>
        <w:sdtPr>
          <w:rPr>
            <w:rFonts w:hint="eastAsia" w:ascii="仿宋_GB2312" w:hAnsi="仿宋_GB2312" w:eastAsia="仿宋_GB2312" w:cs="仿宋_GB2312"/>
            <w:sz w:val="32"/>
            <w:szCs w:val="32"/>
            <w:lang w:val="en-US" w:eastAsia="zh-CN"/>
          </w:rPr>
          <w:alias w:val="wenHao"/>
          <w:id w:val="147459773"/>
          <w:placeholder>
            <w:docPart w:val="{8cb5c632-ac8d-4106-ae80-d7920b967006}"/>
          </w:placeholder>
          <w15:appearance w15:val="hidden"/>
        </w:sdtPr>
        <w:sdtEndPr>
          <w:rPr>
            <w:rFonts w:hint="default" w:ascii="仿宋_GB2312" w:hAnsi="仿宋_GB2312" w:eastAsia="仿宋_GB2312" w:cs="仿宋_GB2312"/>
            <w:sz w:val="32"/>
            <w:szCs w:val="32"/>
            <w:lang w:val="en-US" w:eastAsia="zh-CN"/>
          </w:rPr>
        </w:sdtEndPr>
        <w:sdtContent>
          <w:r>
            <w:rPr>
              <w:rFonts w:hint="eastAsia" w:ascii="Times New Roman" w:hAnsi="Times New Roman" w:eastAsia="仿宋_GB2312"/>
              <w:sz w:val="32"/>
              <w:szCs w:val="32"/>
            </w:rPr>
            <w:t>资金投入和使用情况</w:t>
          </w:r>
          <w:r>
            <w:rPr>
              <w:rFonts w:hint="eastAsia" w:ascii="Times New Roman" w:hAnsi="Times New Roman" w:eastAsia="仿宋_GB2312"/>
              <w:sz w:val="32"/>
              <w:szCs w:val="32"/>
              <w:lang w:eastAsia="zh-CN"/>
            </w:rPr>
            <w:t>：</w:t>
          </w:r>
          <w:r>
            <w:rPr>
              <w:rFonts w:hint="eastAsia" w:ascii="仿宋_GB2312" w:hAnsi="仿宋" w:eastAsia="仿宋_GB2312"/>
              <w:sz w:val="32"/>
              <w:szCs w:val="32"/>
              <w:lang w:val="en-US" w:eastAsia="zh-CN"/>
            </w:rPr>
            <w:t>202</w:t>
          </w:r>
          <w:r>
            <w:rPr>
              <w:rFonts w:hint="eastAsia" w:ascii="仿宋_GB2312" w:hAnsi="仿宋"/>
              <w:sz w:val="32"/>
              <w:szCs w:val="32"/>
              <w:lang w:val="en-US" w:eastAsia="zh-CN"/>
            </w:rPr>
            <w:t>5</w:t>
          </w:r>
          <w:r>
            <w:rPr>
              <w:rFonts w:hint="eastAsia" w:ascii="仿宋_GB2312" w:hAnsi="仿宋" w:eastAsia="仿宋_GB2312"/>
              <w:sz w:val="32"/>
              <w:szCs w:val="32"/>
              <w:lang w:val="en-US" w:eastAsia="zh-CN"/>
            </w:rPr>
            <w:t>年富民县委统战部</w:t>
          </w:r>
          <w:r>
            <w:rPr>
              <w:rFonts w:hint="eastAsia" w:ascii="仿宋_GB2312" w:hAnsi="仿宋" w:eastAsia="仿宋_GB2312"/>
              <w:sz w:val="32"/>
              <w:szCs w:val="32"/>
            </w:rPr>
            <w:t>统战政策法规培训</w:t>
          </w:r>
          <w:r>
            <w:rPr>
              <w:rFonts w:hint="eastAsia" w:ascii="仿宋_GB2312" w:hAnsi="仿宋" w:eastAsia="仿宋_GB2312"/>
              <w:sz w:val="32"/>
              <w:szCs w:val="32"/>
              <w:lang w:eastAsia="zh-CN"/>
            </w:rPr>
            <w:t>项目</w:t>
          </w:r>
          <w:r>
            <w:rPr>
              <w:rFonts w:hint="eastAsia" w:ascii="仿宋_GB2312" w:hAnsi="仿宋_GB2312" w:eastAsia="仿宋_GB2312" w:cs="仿宋_GB2312"/>
              <w:sz w:val="32"/>
              <w:szCs w:val="32"/>
              <w:lang w:val="en-US" w:eastAsia="zh-CN"/>
            </w:rPr>
            <w:t>于2025年中与年末共组织两次统战人士的政策法规培训。</w:t>
          </w:r>
        </w:sdtContent>
      </w:sdt>
    </w:p>
    <w:p>
      <w:pPr>
        <w:keepNext w:val="0"/>
        <w:keepLines w:val="0"/>
        <w:pageBreakBefore w:val="0"/>
        <w:numPr>
          <w:ilvl w:val="0"/>
          <w:numId w:val="0"/>
        </w:numPr>
        <w:kinsoku/>
        <w:wordWrap/>
        <w:overflowPunct/>
        <w:topLinePunct w:val="0"/>
        <w:autoSpaceDE/>
        <w:autoSpaceDN/>
        <w:bidi w:val="0"/>
        <w:adjustRightInd/>
        <w:snapToGrid/>
        <w:spacing w:line="560" w:lineRule="exact"/>
        <w:ind w:leftChars="325"/>
        <w:textAlignment w:val="auto"/>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ascii="Times New Roman" w:hAnsi="Times New Roman" w:eastAsia="楷体_GB2312" w:cs="Times New Roman"/>
          <w:sz w:val="32"/>
          <w:szCs w:val="32"/>
        </w:rPr>
        <w:t>总体目标</w:t>
      </w:r>
      <w:r>
        <w:rPr>
          <w:rFonts w:hint="eastAsia" w:ascii="Times New Roman" w:hAnsi="Times New Roman" w:eastAsia="楷体_GB2312" w:cs="Times New Roman"/>
          <w:sz w:val="32"/>
          <w:szCs w:val="32"/>
          <w:lang w:eastAsia="zh-CN"/>
        </w:rPr>
        <w:t>：</w:t>
      </w:r>
      <w:r>
        <w:rPr>
          <w:rFonts w:hint="eastAsia" w:ascii="仿宋_GB2312" w:hAnsi="仿宋" w:eastAsia="仿宋_GB2312"/>
          <w:sz w:val="32"/>
          <w:szCs w:val="32"/>
          <w:lang w:val="en-US" w:eastAsia="zh-CN"/>
        </w:rPr>
        <w:t>2025年富民县委统战部</w:t>
      </w:r>
      <w:r>
        <w:rPr>
          <w:rFonts w:hint="eastAsia" w:ascii="仿宋_GB2312" w:hAnsi="仿宋" w:eastAsia="仿宋_GB2312"/>
          <w:sz w:val="32"/>
          <w:szCs w:val="32"/>
        </w:rPr>
        <w:t>统战政策法规培训</w:t>
      </w:r>
      <w:r>
        <w:rPr>
          <w:rFonts w:hint="eastAsia" w:ascii="仿宋_GB2312" w:hAnsi="仿宋" w:eastAsia="仿宋_GB2312"/>
          <w:sz w:val="32"/>
          <w:szCs w:val="32"/>
          <w:lang w:eastAsia="zh-CN"/>
        </w:rPr>
        <w:t>项目</w:t>
      </w:r>
      <w:r>
        <w:rPr>
          <w:rFonts w:hint="eastAsia" w:ascii="仿宋_GB2312" w:hAnsi="仿宋" w:eastAsia="仿宋_GB2312"/>
          <w:sz w:val="32"/>
          <w:szCs w:val="32"/>
        </w:rPr>
        <w:t>的目标旨在提升统战干部的理论水平和实际工作能力，实现教育培训的全员覆盖，深化大统战工作格局，以及聚焦和完成年度重点任务，从而推动统战工作在新时代的科学发展</w:t>
      </w:r>
      <w:r>
        <w:rPr>
          <w:rFonts w:hint="eastAsia" w:ascii="仿宋_GB2312" w:hAnsi="仿宋"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ascii="Times New Roman" w:hAnsi="Times New Roman" w:eastAsia="楷体_GB2312" w:cs="Times New Roman"/>
          <w:sz w:val="32"/>
          <w:szCs w:val="32"/>
        </w:rPr>
        <w:t>年度目标</w:t>
      </w:r>
      <w:r>
        <w:rPr>
          <w:rFonts w:hint="eastAsia" w:ascii="Times New Roman" w:hAnsi="Times New Roman" w:eastAsia="楷体_GB2312" w:cs="Times New Roman"/>
          <w:sz w:val="32"/>
          <w:szCs w:val="32"/>
          <w:lang w:eastAsia="zh-CN"/>
        </w:rPr>
        <w:t>：</w:t>
      </w:r>
      <w:r>
        <w:rPr>
          <w:rFonts w:hint="eastAsia" w:ascii="仿宋_GB2312" w:hAnsi="仿宋_GB2312" w:eastAsia="仿宋_GB2312" w:cs="仿宋_GB2312"/>
          <w:sz w:val="32"/>
          <w:szCs w:val="32"/>
          <w:lang w:val="en-US" w:eastAsia="zh-CN"/>
        </w:rPr>
        <w:t>1.全面覆盖教育培训主体：培训工作应突出重点，实现教育培训主体的全员覆盖；</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2.深化大统战工作格局：根据习近平总书记关于大统战工作格局的重要论述，完善大统战工作格局是做好新时代统战工作的重要保障；</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r>
        <w:rPr>
          <w:rFonts w:hint="eastAsia" w:ascii="仿宋_GB2312" w:hAnsi="仿宋_GB2312" w:eastAsia="仿宋_GB2312" w:cs="仿宋_GB2312"/>
          <w:sz w:val="32"/>
          <w:szCs w:val="32"/>
          <w:lang w:val="en-US" w:eastAsia="zh-CN"/>
        </w:rPr>
        <w:t>3.聚焦年度重点任务：在统一战线政策法规知识培训中，强调焦年度重点任务的重要性，如民族宗教、民营经济、新的社会阶层人士和网络统战等重点领域工作。</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（三）项目组织管理情况。</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1.组织领导和培训统筹：强调了对统战政策法规知识培训的重视，制定了详细的培训方案和学习计划，明确了全年统战理论学习的任务和重点；</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2.培训内容和方法：针对特定的统战成员，结合不同类别、不同层次、不同岗位的特点和工作实际进行设计；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3.定制化培训课程：内容通过需求量身定制。课程模块包括统战理论、意识形态工作协同机制、统一战线与基层协商民主新发展等。</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ascii="黑体" w:hAnsi="黑体" w:eastAsia="黑体" w:cs="黑体"/>
          <w:sz w:val="32"/>
          <w:szCs w:val="32"/>
        </w:rPr>
      </w:pPr>
      <w:r>
        <w:rPr>
          <w:rFonts w:hint="eastAsia" w:ascii="黑体" w:hAnsi="黑体" w:eastAsia="黑体" w:cs="黑体"/>
          <w:sz w:val="32"/>
          <w:szCs w:val="32"/>
        </w:rPr>
        <w:t>二、绩效评价工作开展情况</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r>
        <w:rPr>
          <w:rFonts w:hint="eastAsia" w:ascii="仿宋_GB2312" w:hAnsi="仿宋_GB2312" w:eastAsia="仿宋_GB2312" w:cs="仿宋_GB2312"/>
          <w:sz w:val="32"/>
          <w:szCs w:val="32"/>
          <w:lang w:val="en-US" w:eastAsia="zh-CN"/>
        </w:rPr>
        <w:t>加强预算科学化精细化管理，提高预算资金分配决策的科学性、公开性和公正性，进一步规范我部门的预算绩效管理工作，结合部门实际，制此次工作方案。</w:t>
      </w:r>
    </w:p>
    <w:p>
      <w:pPr>
        <w:keepNext w:val="0"/>
        <w:keepLines w:val="0"/>
        <w:pageBreakBefore w:val="0"/>
        <w:numPr>
          <w:ilvl w:val="0"/>
          <w:numId w:val="1"/>
        </w:numPr>
        <w:kinsoku/>
        <w:wordWrap/>
        <w:overflowPunct/>
        <w:topLinePunct w:val="0"/>
        <w:autoSpaceDE/>
        <w:autoSpaceDN/>
        <w:bidi w:val="0"/>
        <w:adjustRightInd/>
        <w:snapToGrid/>
        <w:spacing w:line="560" w:lineRule="exact"/>
        <w:ind w:left="263" w:leftChars="125" w:firstLine="640" w:firstLineChars="200"/>
        <w:textAlignment w:val="auto"/>
        <w:sectPr>
          <w:pgSz w:w="11906" w:h="16838"/>
          <w:pgMar w:top="2098" w:right="1531" w:bottom="1984" w:left="1531" w:header="851" w:footer="992" w:gutter="0"/>
          <w:cols w:space="425" w:num="1"/>
          <w:docGrid w:type="lines" w:linePitch="312" w:charSpace="0"/>
        </w:sectPr>
      </w:pPr>
      <w:r>
        <w:rPr>
          <w:rFonts w:hint="eastAsia" w:ascii="楷体_GB2312" w:hAnsi="楷体_GB2312" w:eastAsia="楷体_GB2312" w:cs="楷体_GB2312"/>
          <w:sz w:val="32"/>
          <w:szCs w:val="32"/>
        </w:rPr>
        <w:t>绩效评价原则、依据、评价指标体系（附表说明）、</w:t>
      </w:r>
    </w:p>
    <w:p>
      <w:pPr>
        <w:pStyle w:val="2"/>
      </w:pPr>
    </w:p>
    <w:p/>
    <w:p>
      <w:pPr>
        <w:keepNext w:val="0"/>
        <w:keepLines w:val="0"/>
        <w:pageBreakBefore w:val="0"/>
        <w:numPr>
          <w:ilvl w:val="0"/>
          <w:numId w:val="1"/>
        </w:numPr>
        <w:kinsoku/>
        <w:wordWrap/>
        <w:overflowPunct/>
        <w:topLinePunct w:val="0"/>
        <w:autoSpaceDE/>
        <w:autoSpaceDN/>
        <w:bidi w:val="0"/>
        <w:adjustRightInd/>
        <w:snapToGrid/>
        <w:spacing w:line="560" w:lineRule="exact"/>
        <w:ind w:left="263" w:leftChars="125" w:firstLine="640" w:firstLineChars="200"/>
        <w:textAlignment w:val="auto"/>
      </w:pPr>
      <w:r>
        <w:rPr>
          <w:rFonts w:hint="eastAsia" w:ascii="楷体_GB2312" w:hAnsi="楷体_GB2312" w:eastAsia="楷体_GB2312" w:cs="楷体_GB2312"/>
          <w:sz w:val="32"/>
          <w:szCs w:val="32"/>
        </w:rPr>
        <w:t>评价方法、评价标准、评价抽样等。</w:t>
      </w:r>
    </w:p>
    <w:tbl>
      <w:tblPr>
        <w:tblStyle w:val="6"/>
        <w:tblW w:w="128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06"/>
        <w:gridCol w:w="238"/>
        <w:gridCol w:w="448"/>
        <w:gridCol w:w="614"/>
        <w:gridCol w:w="240"/>
        <w:gridCol w:w="411"/>
        <w:gridCol w:w="297"/>
        <w:gridCol w:w="965"/>
        <w:gridCol w:w="10"/>
        <w:gridCol w:w="510"/>
        <w:gridCol w:w="97"/>
        <w:gridCol w:w="473"/>
        <w:gridCol w:w="7"/>
        <w:gridCol w:w="638"/>
        <w:gridCol w:w="578"/>
        <w:gridCol w:w="547"/>
        <w:gridCol w:w="664"/>
        <w:gridCol w:w="1301"/>
        <w:gridCol w:w="3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64" w:hRule="atLeast"/>
        </w:trPr>
        <w:tc>
          <w:tcPr>
            <w:tcW w:w="12804" w:type="dxa"/>
            <w:gridSpan w:val="1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Source Han Sans CN" w:hAnsi="Source Han Sans CN" w:eastAsia="Source Han Sans CN" w:cs="Source Han Sans CN"/>
                <w:b/>
                <w:i w:val="0"/>
                <w:color w:val="000000"/>
                <w:sz w:val="36"/>
                <w:szCs w:val="36"/>
                <w:u w:val="none"/>
              </w:rPr>
            </w:pPr>
            <w:r>
              <w:rPr>
                <w:rFonts w:hint="default" w:ascii="Source Han Sans CN" w:hAnsi="Source Han Sans CN" w:eastAsia="Source Han Sans CN" w:cs="Source Han Sans CN"/>
                <w:b/>
                <w:i w:val="0"/>
                <w:color w:val="000000"/>
                <w:kern w:val="0"/>
                <w:sz w:val="36"/>
                <w:szCs w:val="36"/>
                <w:u w:val="none"/>
                <w:lang w:val="en-US" w:eastAsia="zh-CN" w:bidi="ar"/>
              </w:rPr>
              <w:t>项目绩效目标表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50" w:hRule="atLeast"/>
        </w:trPr>
        <w:tc>
          <w:tcPr>
            <w:tcW w:w="10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4"/>
                <w:szCs w:val="24"/>
                <w:u w:val="none"/>
              </w:rPr>
            </w:pPr>
            <w:r>
              <w:rPr>
                <w:rFonts w:hint="default" w:ascii="Source Han Sans CN" w:hAnsi="Source Han Sans CN" w:eastAsia="Source Han Sans CN" w:cs="Source Han Sans CN"/>
                <w:i w:val="0"/>
                <w:color w:val="000000"/>
                <w:kern w:val="0"/>
                <w:sz w:val="24"/>
                <w:szCs w:val="24"/>
                <w:u w:val="none"/>
                <w:lang w:val="en-US" w:eastAsia="zh-CN" w:bidi="ar"/>
              </w:rPr>
              <w:t>项目目标</w:t>
            </w:r>
          </w:p>
        </w:tc>
        <w:tc>
          <w:tcPr>
            <w:tcW w:w="201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4"/>
                <w:szCs w:val="24"/>
                <w:u w:val="none"/>
              </w:rPr>
            </w:pPr>
            <w:r>
              <w:rPr>
                <w:rStyle w:val="11"/>
                <w:sz w:val="24"/>
                <w:szCs w:val="24"/>
                <w:lang w:val="en-US" w:eastAsia="zh-CN" w:bidi="ar"/>
              </w:rPr>
              <w:t>总体目标</w:t>
            </w:r>
            <w:r>
              <w:rPr>
                <w:rStyle w:val="12"/>
                <w:sz w:val="24"/>
                <w:szCs w:val="24"/>
                <w:lang w:val="en-US" w:eastAsia="zh-CN" w:bidi="ar"/>
              </w:rPr>
              <w:t>(2025</w:t>
            </w:r>
            <w:r>
              <w:rPr>
                <w:rStyle w:val="11"/>
                <w:sz w:val="24"/>
                <w:szCs w:val="24"/>
                <w:lang w:val="en-US" w:eastAsia="zh-CN" w:bidi="ar"/>
              </w:rPr>
              <w:t>年</w:t>
            </w:r>
            <w:r>
              <w:rPr>
                <w:rStyle w:val="12"/>
                <w:sz w:val="24"/>
                <w:szCs w:val="24"/>
                <w:lang w:val="en-US" w:eastAsia="zh-CN" w:bidi="ar"/>
              </w:rPr>
              <w:t>-2027</w:t>
            </w:r>
            <w:r>
              <w:rPr>
                <w:rStyle w:val="11"/>
                <w:sz w:val="24"/>
                <w:szCs w:val="24"/>
                <w:lang w:val="en-US" w:eastAsia="zh-CN" w:bidi="ar"/>
              </w:rPr>
              <w:t>年</w:t>
            </w:r>
            <w:r>
              <w:rPr>
                <w:rStyle w:val="12"/>
                <w:sz w:val="24"/>
                <w:szCs w:val="24"/>
                <w:lang w:val="en-US" w:eastAsia="zh-CN" w:bidi="ar"/>
              </w:rPr>
              <w:t>)</w:t>
            </w:r>
          </w:p>
        </w:tc>
        <w:tc>
          <w:tcPr>
            <w:tcW w:w="975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1.全面覆盖教育培训主体：培训工作应突出重点，实现教育培训主体的全员覆盖；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2.深化大统战工作格局：根据习近平总书记关于大统战工作格局的重要论述，完善大统战工作格局是做好新时代统战工作的重要保障；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3.聚焦年度重点任务：在统一战线政策法规知识培训中，强调焦年度重点任务的重要性，如民族宗教、民营经济、新的社会阶层人士和网络统战等重点领域工作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5" w:hRule="atLeast"/>
        </w:trPr>
        <w:tc>
          <w:tcPr>
            <w:tcW w:w="10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Source Han Sans CN" w:hAnsi="Source Han Sans CN" w:eastAsia="Source Han Sans CN" w:cs="Source Han Sans CN"/>
                <w:i w:val="0"/>
                <w:color w:val="000000"/>
                <w:sz w:val="24"/>
                <w:szCs w:val="24"/>
                <w:u w:val="none"/>
              </w:rPr>
            </w:pPr>
          </w:p>
        </w:tc>
        <w:tc>
          <w:tcPr>
            <w:tcW w:w="201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4"/>
                <w:szCs w:val="24"/>
                <w:u w:val="none"/>
              </w:rPr>
            </w:pPr>
            <w:r>
              <w:rPr>
                <w:rStyle w:val="11"/>
                <w:sz w:val="24"/>
                <w:szCs w:val="24"/>
                <w:lang w:val="en-US" w:eastAsia="zh-CN" w:bidi="ar"/>
              </w:rPr>
              <w:t>预算年度</w:t>
            </w:r>
            <w:r>
              <w:rPr>
                <w:rStyle w:val="12"/>
                <w:sz w:val="24"/>
                <w:szCs w:val="24"/>
                <w:lang w:val="en-US" w:eastAsia="zh-CN" w:bidi="ar"/>
              </w:rPr>
              <w:t>(2025</w:t>
            </w:r>
            <w:r>
              <w:rPr>
                <w:rStyle w:val="11"/>
                <w:sz w:val="24"/>
                <w:szCs w:val="24"/>
                <w:lang w:val="en-US" w:eastAsia="zh-CN" w:bidi="ar"/>
              </w:rPr>
              <w:t>年</w:t>
            </w:r>
            <w:r>
              <w:rPr>
                <w:rStyle w:val="12"/>
                <w:sz w:val="24"/>
                <w:szCs w:val="24"/>
                <w:lang w:val="en-US" w:eastAsia="zh-CN" w:bidi="ar"/>
              </w:rPr>
              <w:t>)</w:t>
            </w:r>
            <w:r>
              <w:rPr>
                <w:rStyle w:val="11"/>
                <w:sz w:val="24"/>
                <w:szCs w:val="24"/>
                <w:lang w:val="en-US" w:eastAsia="zh-CN" w:bidi="ar"/>
              </w:rPr>
              <w:t>目标</w:t>
            </w:r>
          </w:p>
        </w:tc>
        <w:tc>
          <w:tcPr>
            <w:tcW w:w="975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2025年富民县委统战部统战政策法规培训项目的目标旨在提升统战干部的理论水平和实际工作能力，实现教育培训的全员覆盖，深化大统战工作格局，以及聚焦和完成年度重点任务，从而推动统战工作在新时代的科学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5" w:hRule="atLeast"/>
        </w:trPr>
        <w:tc>
          <w:tcPr>
            <w:tcW w:w="5754"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绩效指标</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评（扣）分标准</w:t>
            </w: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指标内容</w:t>
            </w: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绩效指标值设定依据及数据来源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二级指标</w:t>
            </w: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三级指标</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指标性质</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指标值</w:t>
            </w:r>
          </w:p>
        </w:tc>
        <w:tc>
          <w:tcPr>
            <w:tcW w:w="4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度量单位</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Source Han Sans CN" w:hAnsi="Source Han Sans CN" w:eastAsia="Source Han Sans CN" w:cs="Source Han Sans CN"/>
                <w:i w:val="0"/>
                <w:color w:val="000000"/>
                <w:sz w:val="21"/>
                <w:szCs w:val="21"/>
                <w:u w:val="none"/>
              </w:rPr>
            </w:pPr>
            <w:r>
              <w:rPr>
                <w:rFonts w:hint="default" w:ascii="Source Han Sans CN" w:hAnsi="Source Han Sans CN" w:eastAsia="Source Han Sans CN" w:cs="Source Han Sans CN"/>
                <w:i w:val="0"/>
                <w:color w:val="000000"/>
                <w:kern w:val="0"/>
                <w:sz w:val="21"/>
                <w:szCs w:val="21"/>
                <w:u w:val="none"/>
                <w:lang w:val="en-US" w:eastAsia="zh-CN" w:bidi="ar"/>
              </w:rPr>
              <w:t>指标属性</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Source Han Sans CN" w:hAnsi="Source Han Sans CN" w:eastAsia="Source Han Sans CN" w:cs="Source Han Sans CN"/>
                <w:i w:val="0"/>
                <w:color w:val="000000"/>
                <w:sz w:val="21"/>
                <w:szCs w:val="21"/>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Source Han Sans CN" w:hAnsi="Source Han Sans CN" w:eastAsia="Source Han Sans CN" w:cs="Source Han Sans CN"/>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Source Han Sans CN" w:hAnsi="Source Han Sans CN" w:eastAsia="Source Han Sans CN" w:cs="Source Han Sans C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产出指标</w:t>
            </w:r>
          </w:p>
        </w:tc>
        <w:tc>
          <w:tcPr>
            <w:tcW w:w="10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948"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975"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607"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47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645"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1125"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数量指标</w:t>
            </w: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96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48"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完成3次培训</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0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7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次</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定量指标</w:t>
            </w:r>
          </w:p>
        </w:tc>
        <w:tc>
          <w:tcPr>
            <w:tcW w:w="112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完成3场培训计划20分，未完成1场扣10分</w:t>
            </w:r>
          </w:p>
        </w:tc>
        <w:tc>
          <w:tcPr>
            <w:tcW w:w="1965" w:type="dxa"/>
            <w:gridSpan w:val="2"/>
            <w:tcBorders>
              <w:top w:val="single" w:color="000000" w:sz="4" w:space="0"/>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县委统战部统战政策法规培训</w:t>
            </w: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1.昆通〔2023〕2号     2.文件依据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质量指标</w:t>
            </w: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0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完成</w:t>
            </w:r>
            <w:r>
              <w:rPr>
                <w:rFonts w:hint="eastAsia" w:ascii="宋体" w:hAnsi="宋体" w:eastAsia="宋体" w:cs="宋体"/>
                <w:i w:val="0"/>
                <w:color w:val="000000"/>
                <w:kern w:val="0"/>
                <w:sz w:val="21"/>
                <w:szCs w:val="21"/>
                <w:u w:val="none"/>
                <w:lang w:val="en-US" w:eastAsia="zh-CN" w:bidi="ar"/>
              </w:rPr>
              <w:t>质量</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90</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定量指标</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质量</w:t>
            </w:r>
            <w:r>
              <w:rPr>
                <w:rFonts w:hint="eastAsia" w:ascii="宋体" w:hAnsi="宋体" w:cs="宋体"/>
                <w:i w:val="0"/>
                <w:color w:val="000000"/>
                <w:kern w:val="0"/>
                <w:sz w:val="21"/>
                <w:szCs w:val="21"/>
                <w:u w:val="none"/>
                <w:lang w:val="en-US" w:eastAsia="zh-CN" w:bidi="ar"/>
              </w:rPr>
              <w:t>达标</w:t>
            </w:r>
            <w:r>
              <w:rPr>
                <w:rFonts w:hint="eastAsia" w:ascii="宋体" w:hAnsi="宋体" w:eastAsia="宋体" w:cs="宋体"/>
                <w:i w:val="0"/>
                <w:color w:val="000000"/>
                <w:kern w:val="0"/>
                <w:sz w:val="21"/>
                <w:szCs w:val="21"/>
                <w:u w:val="none"/>
                <w:lang w:val="en-US" w:eastAsia="zh-CN" w:bidi="ar"/>
              </w:rPr>
              <w:t>10分，检查不合格不计分</w:t>
            </w: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高质量</w:t>
            </w:r>
            <w:r>
              <w:rPr>
                <w:rFonts w:hint="eastAsia" w:ascii="宋体" w:hAnsi="宋体" w:cs="宋体"/>
                <w:i w:val="0"/>
                <w:color w:val="000000"/>
                <w:kern w:val="0"/>
                <w:sz w:val="21"/>
                <w:szCs w:val="21"/>
                <w:u w:val="none"/>
                <w:lang w:val="en-US" w:eastAsia="zh-CN" w:bidi="ar"/>
              </w:rPr>
              <w:t>完成培训</w:t>
            </w: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1.昆通〔2023〕2号     2.文件依据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00" w:hRule="atLeast"/>
        </w:trPr>
        <w:tc>
          <w:tcPr>
            <w:tcW w:w="104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成本指标</w:t>
            </w: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建设成本节约</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5</w:t>
            </w:r>
            <w:r>
              <w:rPr>
                <w:rFonts w:hint="eastAsia" w:ascii="宋体" w:hAnsi="宋体" w:eastAsia="宋体" w:cs="宋体"/>
                <w:i w:val="0"/>
                <w:color w:val="000000"/>
                <w:kern w:val="0"/>
                <w:sz w:val="21"/>
                <w:szCs w:val="21"/>
                <w:u w:val="none"/>
                <w:lang w:val="en-US" w:eastAsia="zh-CN" w:bidi="ar"/>
              </w:rPr>
              <w:t>0000</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元</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定量指标</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在金额内完成项目，厉行节约计10分，铺张浪费不计分</w:t>
            </w: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控制成本</w:t>
            </w: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1.昆通〔2023〕2号     2.文件依据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时效指标</w:t>
            </w: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按时完成</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定量指标</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按时完成计10分，超时完成不计分</w:t>
            </w: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按规定时限完成培训</w:t>
            </w: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1.昆通〔2023〕2号     2.文件依据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0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效益指标</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3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20"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社会效益指标</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项目实施所产生的效益</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定性指标</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1.至少有两个明确的效益指标得15分2.指标合理性和正确的指标确立依据得15分</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提升统战干部的理论水平和实际工作能力，实现教育培训的全员覆盖</w:t>
            </w:r>
          </w:p>
        </w:tc>
        <w:tc>
          <w:tcPr>
            <w:tcW w:w="5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数据参考、走访调研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满意度指标</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1211"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5261"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服务对象满意度指标</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社会公众满意度</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&gt;=</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90</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5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定性指标</w:t>
            </w:r>
          </w:p>
        </w:tc>
        <w:tc>
          <w:tcPr>
            <w:tcW w:w="12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95%以上计10分，每减少10%扣1.5分</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反映受益对象满意度</w:t>
            </w:r>
          </w:p>
        </w:tc>
        <w:tc>
          <w:tcPr>
            <w:tcW w:w="52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走访调查</w:t>
            </w:r>
          </w:p>
        </w:tc>
      </w:tr>
    </w:tbl>
    <w:p>
      <w:pPr>
        <w:jc w:val="left"/>
        <w:rPr>
          <w:rFonts w:hint="eastAsia" w:ascii="宋体" w:hAnsi="宋体" w:eastAsia="宋体" w:cs="宋体"/>
          <w:i w:val="0"/>
          <w:color w:val="000000"/>
          <w:sz w:val="24"/>
          <w:szCs w:val="24"/>
          <w:u w:val="none"/>
        </w:rPr>
        <w:sectPr>
          <w:type w:val="continuous"/>
          <w:pgSz w:w="16838" w:h="11906" w:orient="landscape"/>
          <w:pgMar w:top="1531" w:right="2098" w:bottom="1531" w:left="1984" w:header="851" w:footer="992" w:gutter="0"/>
          <w:cols w:space="425" w:num="1"/>
          <w:docGrid w:type="lines" w:linePitch="312" w:charSpace="0"/>
        </w:sectPr>
      </w:pPr>
    </w:p>
    <w:p>
      <w:pPr>
        <w:pStyle w:val="2"/>
        <w:keepNext w:val="0"/>
        <w:keepLines w:val="0"/>
        <w:pageBreakBefore w:val="0"/>
        <w:kinsoku/>
        <w:wordWrap/>
        <w:overflowPunct/>
        <w:topLinePunct w:val="0"/>
        <w:autoSpaceDE/>
        <w:autoSpaceDN/>
        <w:bidi w:val="0"/>
        <w:adjustRightInd/>
        <w:snapToGrid/>
        <w:spacing w:line="560" w:lineRule="exact"/>
        <w:textAlignment w:val="auto"/>
        <w:rPr>
          <w:sz w:val="24"/>
          <w:szCs w:val="24"/>
        </w:rPr>
      </w:pPr>
    </w:p>
    <w:p>
      <w:pPr>
        <w:keepNext w:val="0"/>
        <w:keepLines w:val="0"/>
        <w:pageBreakBefore w:val="0"/>
        <w:numPr>
          <w:ilvl w:val="0"/>
          <w:numId w:val="1"/>
        </w:numPr>
        <w:kinsoku/>
        <w:wordWrap/>
        <w:overflowPunct/>
        <w:topLinePunct w:val="0"/>
        <w:autoSpaceDE/>
        <w:autoSpaceDN/>
        <w:bidi w:val="0"/>
        <w:adjustRightInd/>
        <w:snapToGrid/>
        <w:spacing w:line="560" w:lineRule="exact"/>
        <w:ind w:left="263" w:leftChars="125"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绩效评价工作流程。</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（一）项目组织保障</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中共富民县委统战部组织相关人员成立工作小组推进项目有序进行。</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（二）项目监督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sz w:val="32"/>
          <w:szCs w:val="32"/>
          <w:lang w:eastAsia="zh-CN"/>
        </w:rPr>
      </w:pPr>
      <w:r>
        <w:rPr>
          <w:rFonts w:hint="eastAsia" w:ascii="仿宋_GB2312" w:hAnsi="仿宋" w:eastAsia="仿宋_GB2312"/>
          <w:sz w:val="32"/>
          <w:szCs w:val="32"/>
          <w:lang w:val="en-US" w:eastAsia="zh-CN"/>
        </w:rPr>
        <w:t>由中共富民县委统战部督察全程监督检查。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textAlignment w:val="auto"/>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eastAsia="zh-CN"/>
        </w:rPr>
        <w:t>（三）</w:t>
      </w:r>
      <w:r>
        <w:rPr>
          <w:rFonts w:ascii="Times New Roman" w:hAnsi="Times New Roman" w:eastAsia="楷体_GB2312" w:cs="Times New Roman"/>
          <w:sz w:val="32"/>
          <w:szCs w:val="32"/>
        </w:rPr>
        <w:t>节支增效措施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开展询价工作以及项目进程中由中共富民县委统战部工作小组组织跟进项目进度，确保项目稳步高效推进。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eastAsia="zh-CN"/>
        </w:rPr>
        <w:t>（四）</w:t>
      </w:r>
      <w:r>
        <w:rPr>
          <w:rFonts w:ascii="Times New Roman" w:hAnsi="Times New Roman" w:eastAsia="楷体_GB2312" w:cs="Times New Roman"/>
          <w:sz w:val="32"/>
          <w:szCs w:val="32"/>
        </w:rPr>
        <w:t>内部控制管理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严格按照中共富民县委统战部内控系统的工作要求开展工作。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（五）项目财务管理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 w:eastAsia="仿宋_GB2312"/>
          <w:sz w:val="32"/>
          <w:szCs w:val="32"/>
          <w:lang w:val="en-US" w:eastAsia="zh-CN"/>
        </w:rPr>
        <w:t>按照中共富民县委统战部财务和审计工作依法依规报销相关费用。</w:t>
      </w:r>
    </w:p>
    <w:p>
      <w:pPr>
        <w:keepNext w:val="0"/>
        <w:keepLines w:val="0"/>
        <w:pageBreakBefore w:val="0"/>
        <w:numPr>
          <w:ilvl w:val="0"/>
          <w:numId w:val="2"/>
        </w:numPr>
        <w:kinsoku/>
        <w:wordWrap/>
        <w:overflowPunct/>
        <w:topLinePunct w:val="0"/>
        <w:autoSpaceDE/>
        <w:autoSpaceDN/>
        <w:bidi w:val="0"/>
        <w:adjustRightInd/>
        <w:snapToGrid/>
        <w:spacing w:line="560" w:lineRule="exact"/>
        <w:ind w:left="263" w:leftChars="125"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综合评价情况及评价结论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2025</w:t>
      </w:r>
      <w:bookmarkStart w:id="0" w:name="_GoBack"/>
      <w:bookmarkEnd w:id="0"/>
      <w:r>
        <w:rPr>
          <w:rFonts w:hint="eastAsia" w:ascii="仿宋_GB2312" w:hAnsi="仿宋" w:eastAsia="仿宋_GB2312"/>
          <w:sz w:val="32"/>
          <w:szCs w:val="32"/>
          <w:lang w:val="en-US" w:eastAsia="zh-CN"/>
        </w:rPr>
        <w:t>年富民县委统战部</w:t>
      </w:r>
      <w:r>
        <w:rPr>
          <w:rFonts w:hint="eastAsia" w:ascii="仿宋_GB2312" w:hAnsi="仿宋" w:eastAsia="仿宋_GB2312"/>
          <w:sz w:val="32"/>
          <w:szCs w:val="32"/>
        </w:rPr>
        <w:t>统战政策法规培训</w:t>
      </w:r>
      <w:r>
        <w:rPr>
          <w:rFonts w:hint="eastAsia" w:ascii="仿宋_GB2312" w:hAnsi="仿宋" w:eastAsia="仿宋_GB2312"/>
          <w:sz w:val="32"/>
          <w:szCs w:val="32"/>
          <w:lang w:eastAsia="zh-CN"/>
        </w:rPr>
        <w:t>项目</w:t>
      </w:r>
      <w:r>
        <w:rPr>
          <w:rFonts w:hint="eastAsia" w:ascii="仿宋_GB2312" w:hAnsi="仿宋" w:eastAsia="仿宋_GB2312"/>
          <w:sz w:val="32"/>
          <w:szCs w:val="32"/>
        </w:rPr>
        <w:t>的目标旨在提升统战干部的理论水平和实际工作能力，实现教育培训的全员覆盖，深化大统战工作格局，以及聚焦和完成年度重点任务，从而推动统战工作在新时代的科学发展</w:t>
      </w:r>
      <w:r>
        <w:rPr>
          <w:rFonts w:hint="eastAsia" w:ascii="仿宋_GB2312" w:hAnsi="仿宋" w:eastAsia="仿宋_GB2312"/>
          <w:sz w:val="32"/>
          <w:szCs w:val="32"/>
          <w:lang w:eastAsia="zh-CN"/>
        </w:rPr>
        <w:t>。</w:t>
      </w:r>
    </w:p>
    <w:p>
      <w:pPr>
        <w:pStyle w:val="2"/>
        <w:numPr>
          <w:ilvl w:val="0"/>
          <w:numId w:val="0"/>
        </w:numPr>
      </w:pP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ascii="黑体" w:hAnsi="黑体" w:eastAsia="黑体" w:cs="黑体"/>
          <w:sz w:val="32"/>
          <w:szCs w:val="32"/>
        </w:rPr>
      </w:pPr>
      <w:r>
        <w:rPr>
          <w:rFonts w:hint="eastAsia" w:ascii="黑体" w:hAnsi="黑体" w:eastAsia="黑体" w:cs="黑体"/>
          <w:sz w:val="32"/>
          <w:szCs w:val="32"/>
        </w:rPr>
        <w:t>四、绩效评价指标分析</w:t>
      </w:r>
    </w:p>
    <w:sdt>
      <w:sdtPr>
        <w:rPr>
          <w:rFonts w:hint="eastAsia" w:ascii="仿宋_GB2312" w:hAnsi="仿宋_GB2312" w:eastAsia="仿宋_GB2312" w:cs="仿宋_GB2312"/>
          <w:sz w:val="32"/>
          <w:szCs w:val="32"/>
          <w:lang w:val="en-US" w:eastAsia="zh-CN"/>
        </w:rPr>
        <w:alias w:val="wenHao"/>
        <w:id w:val="147463952"/>
        <w:placeholder>
          <w:docPart w:val="{d6bc314c-3410-4a5b-b554-d14e9bc34f9d}"/>
        </w:placeholder>
        <w15:appearance w15:val="hidden"/>
      </w:sdtPr>
      <w:sdtEndPr>
        <w:rPr>
          <w:rFonts w:hint="default" w:ascii="仿宋_GB2312" w:hAnsi="仿宋_GB2312" w:eastAsia="仿宋_GB2312" w:cs="仿宋_GB2312"/>
          <w:sz w:val="32"/>
          <w:szCs w:val="32"/>
          <w:lang w:val="en-US" w:eastAsia="zh-CN"/>
        </w:rPr>
      </w:sdtEndPr>
      <w:sdtContent>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1.组织领导和培训统筹：强调了对统战政策法规知识培训的重视，制定了详细的培训方案和学习计划，明确了全年统战理论学习的任务和重点；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培训内容和方法：针对特定的统战成员，结合不同类别、不同层次、不同岗位的特点和工作实际进行设计；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lang w:val="en-US" w:eastAsia="zh-CN"/>
            </w:rPr>
          </w:pPr>
          <w:r>
            <w:rPr>
              <w:rFonts w:hint="eastAsia" w:ascii="仿宋_GB2312" w:hAnsi="仿宋_GB2312" w:eastAsia="仿宋_GB2312" w:cs="仿宋_GB2312"/>
              <w:sz w:val="32"/>
              <w:szCs w:val="32"/>
              <w:lang w:val="en-US" w:eastAsia="zh-CN"/>
            </w:rPr>
            <w:t xml:space="preserve">3.定制化培训课程：内容通过需求量身定制。课程模块包括统战理论、意识形态工作协同机制、统一战线与基层协商民主新发展等。 </w:t>
          </w:r>
        </w:p>
      </w:sdtContent>
    </w:sdt>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五、主要经验及做法</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w:t>
      </w:r>
    </w:p>
    <w:p>
      <w:pPr>
        <w:keepNext w:val="0"/>
        <w:keepLines w:val="0"/>
        <w:pageBreakBefore w:val="0"/>
        <w:numPr>
          <w:ilvl w:val="0"/>
          <w:numId w:val="3"/>
        </w:numPr>
        <w:kinsoku/>
        <w:wordWrap/>
        <w:overflowPunct/>
        <w:topLinePunct w:val="0"/>
        <w:autoSpaceDE/>
        <w:autoSpaceDN/>
        <w:bidi w:val="0"/>
        <w:adjustRightInd/>
        <w:snapToGrid/>
        <w:spacing w:line="560" w:lineRule="exact"/>
        <w:ind w:left="263" w:leftChars="125"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存在的问题及原因分析</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w:t>
      </w:r>
    </w:p>
    <w:p>
      <w:pPr>
        <w:keepNext w:val="0"/>
        <w:keepLines w:val="0"/>
        <w:pageBreakBefore w:val="0"/>
        <w:numPr>
          <w:ilvl w:val="0"/>
          <w:numId w:val="3"/>
        </w:numPr>
        <w:kinsoku/>
        <w:wordWrap/>
        <w:overflowPunct/>
        <w:topLinePunct w:val="0"/>
        <w:autoSpaceDE/>
        <w:autoSpaceDN/>
        <w:bidi w:val="0"/>
        <w:adjustRightInd/>
        <w:snapToGrid/>
        <w:spacing w:line="560" w:lineRule="exact"/>
        <w:ind w:left="263" w:leftChars="125"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有关建议</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w:t>
      </w:r>
    </w:p>
    <w:p>
      <w:pPr>
        <w:keepNext w:val="0"/>
        <w:keepLines w:val="0"/>
        <w:pageBreakBefore w:val="0"/>
        <w:kinsoku/>
        <w:wordWrap/>
        <w:overflowPunct/>
        <w:topLinePunct w:val="0"/>
        <w:autoSpaceDE/>
        <w:autoSpaceDN/>
        <w:bidi w:val="0"/>
        <w:adjustRightInd/>
        <w:snapToGrid/>
        <w:spacing w:line="560" w:lineRule="exact"/>
        <w:ind w:left="263" w:leftChars="125" w:firstLine="640" w:firstLineChars="200"/>
        <w:textAlignment w:val="auto"/>
        <w:rPr>
          <w:rFonts w:ascii="仿宋" w:hAnsi="仿宋" w:eastAsia="仿宋"/>
          <w:sz w:val="32"/>
          <w:szCs w:val="32"/>
        </w:rPr>
      </w:pPr>
      <w:r>
        <w:rPr>
          <w:rFonts w:hint="eastAsia" w:ascii="黑体" w:hAnsi="黑体" w:eastAsia="黑体" w:cs="黑体"/>
          <w:sz w:val="32"/>
          <w:szCs w:val="32"/>
        </w:rPr>
        <w:t>八、其它需要说明的问题</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w:t>
      </w:r>
    </w:p>
    <w:sectPr>
      <w:type w:val="continuous"/>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ource Han Sans C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1E3E"/>
    <w:multiLevelType w:val="singleLevel"/>
    <w:tmpl w:val="0B501E3E"/>
    <w:lvl w:ilvl="0" w:tentative="0">
      <w:start w:val="6"/>
      <w:numFmt w:val="chineseCounting"/>
      <w:suff w:val="nothing"/>
      <w:lvlText w:val="%1、"/>
      <w:lvlJc w:val="left"/>
      <w:rPr>
        <w:rFonts w:hint="eastAsia"/>
      </w:rPr>
    </w:lvl>
  </w:abstractNum>
  <w:abstractNum w:abstractNumId="1">
    <w:nsid w:val="3B5687BE"/>
    <w:multiLevelType w:val="singleLevel"/>
    <w:tmpl w:val="3B5687BE"/>
    <w:lvl w:ilvl="0" w:tentative="0">
      <w:start w:val="2"/>
      <w:numFmt w:val="chineseCounting"/>
      <w:suff w:val="nothing"/>
      <w:lvlText w:val="（%1）"/>
      <w:lvlJc w:val="left"/>
      <w:rPr>
        <w:rFonts w:hint="eastAsia"/>
      </w:rPr>
    </w:lvl>
  </w:abstractNum>
  <w:abstractNum w:abstractNumId="2">
    <w:nsid w:val="789019FD"/>
    <w:multiLevelType w:val="singleLevel"/>
    <w:tmpl w:val="789019FD"/>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27D71"/>
    <w:rsid w:val="000E6661"/>
    <w:rsid w:val="002020E6"/>
    <w:rsid w:val="002A3E90"/>
    <w:rsid w:val="00374AB7"/>
    <w:rsid w:val="003B6467"/>
    <w:rsid w:val="00404802"/>
    <w:rsid w:val="00451CED"/>
    <w:rsid w:val="004A76FA"/>
    <w:rsid w:val="0058320E"/>
    <w:rsid w:val="005B2D1B"/>
    <w:rsid w:val="006E0A05"/>
    <w:rsid w:val="007E77B9"/>
    <w:rsid w:val="0087492D"/>
    <w:rsid w:val="008F7E56"/>
    <w:rsid w:val="00997D04"/>
    <w:rsid w:val="00A34092"/>
    <w:rsid w:val="00C040C7"/>
    <w:rsid w:val="00C44CFA"/>
    <w:rsid w:val="00DE6A66"/>
    <w:rsid w:val="00EC5918"/>
    <w:rsid w:val="00F5756A"/>
    <w:rsid w:val="00FE0C9E"/>
    <w:rsid w:val="12927D71"/>
    <w:rsid w:val="17693915"/>
    <w:rsid w:val="176A76C3"/>
    <w:rsid w:val="1AAD6D6B"/>
    <w:rsid w:val="1DB25358"/>
    <w:rsid w:val="1FA42736"/>
    <w:rsid w:val="2604502B"/>
    <w:rsid w:val="3100460F"/>
    <w:rsid w:val="38EE7515"/>
    <w:rsid w:val="39C74CB2"/>
    <w:rsid w:val="3CFE083C"/>
    <w:rsid w:val="402F24CD"/>
    <w:rsid w:val="530202EE"/>
    <w:rsid w:val="589D3E9A"/>
    <w:rsid w:val="5F72650E"/>
    <w:rsid w:val="62B966EC"/>
    <w:rsid w:val="67BE7851"/>
    <w:rsid w:val="6F951797"/>
    <w:rsid w:val="709E0B24"/>
    <w:rsid w:val="741B44BD"/>
    <w:rsid w:val="75A200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afterAutospacing="0"/>
    </w:pPr>
    <w:rPr>
      <w:rFonts w:ascii="Arial" w:hAnsi="Arial"/>
      <w:sz w:val="24"/>
    </w:rPr>
  </w:style>
  <w:style w:type="paragraph" w:styleId="3">
    <w:name w:val="Balloon Text"/>
    <w:basedOn w:val="1"/>
    <w:link w:val="10"/>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character" w:customStyle="1" w:styleId="10">
    <w:name w:val="批注框文本 Char"/>
    <w:basedOn w:val="7"/>
    <w:link w:val="3"/>
    <w:qFormat/>
    <w:uiPriority w:val="0"/>
    <w:rPr>
      <w:kern w:val="2"/>
      <w:sz w:val="18"/>
      <w:szCs w:val="18"/>
    </w:rPr>
  </w:style>
  <w:style w:type="character" w:customStyle="1" w:styleId="11">
    <w:name w:val="font21"/>
    <w:basedOn w:val="7"/>
    <w:qFormat/>
    <w:uiPriority w:val="0"/>
    <w:rPr>
      <w:rFonts w:hint="eastAsia" w:ascii="宋体" w:hAnsi="宋体" w:eastAsia="宋体" w:cs="宋体"/>
      <w:color w:val="000000"/>
      <w:sz w:val="24"/>
      <w:szCs w:val="24"/>
      <w:u w:val="none"/>
    </w:rPr>
  </w:style>
  <w:style w:type="character" w:customStyle="1" w:styleId="12">
    <w:name w:val="font01"/>
    <w:basedOn w:val="7"/>
    <w:qFormat/>
    <w:uiPriority w:val="0"/>
    <w:rPr>
      <w:rFonts w:ascii="方正小标宋简体" w:hAnsi="方正小标宋简体" w:eastAsia="方正小标宋简体" w:cs="方正小标宋简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cb5c632-ac8d-4106-ae80-d7920b967006}"/>
        <w:style w:val=""/>
        <w:category>
          <w:name w:val="常规"/>
          <w:gallery w:val="placeholder"/>
        </w:category>
        <w:types>
          <w:type w:val="bbPlcHdr"/>
        </w:types>
        <w:behaviors>
          <w:behavior w:val="content"/>
        </w:behaviors>
        <w:description w:val=""/>
        <w:guid w:val="{8cb5c632-ac8d-4106-ae80-d7920b967006}"/>
      </w:docPartPr>
      <w:docPartBody>
        <w:p>
          <w:r>
            <w:rPr>
              <w:color w:val="808080"/>
            </w:rPr>
            <w:t>单击此处输入文字。</w:t>
          </w:r>
        </w:p>
      </w:docPartBody>
    </w:docPart>
    <w:docPart>
      <w:docPartPr>
        <w:name w:val="{d6bc314c-3410-4a5b-b554-d14e9bc34f9d}"/>
        <w:style w:val=""/>
        <w:category>
          <w:name w:val="常规"/>
          <w:gallery w:val="placeholder"/>
        </w:category>
        <w:types>
          <w:type w:val="bbPlcHdr"/>
        </w:types>
        <w:behaviors>
          <w:behavior w:val="content"/>
        </w:behaviors>
        <w:description w:val=""/>
        <w:guid w:val="{d6bc314c-3410-4a5b-b554-d14e9bc34f9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昆明市嵩明县党政机关单位</Company>
  <Pages>2</Pages>
  <Words>381</Words>
  <Characters>381</Characters>
  <Lines>2</Lines>
  <Paragraphs>1</Paragraphs>
  <TotalTime>21</TotalTime>
  <ScaleCrop>false</ScaleCrop>
  <LinksUpToDate>false</LinksUpToDate>
  <CharactersWithSpaces>381</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2021-01-08T05:40:00Z</dcterms:created>
  <dc:creator>lenovo</dc:creator>
  <cp:lastModifiedBy>Administrator</cp:lastModifiedBy>
  <cp:lastPrinted>2025-04-01T03:22:00Z</cp:lastPrinted>
  <dcterms:modified xsi:type="dcterms:W3CDTF">2026-08-27T02:25:00Z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AE8C51231E9C4C529625598E5B42DB89_13</vt:lpwstr>
  </property>
</Properties>
</file>