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2C5E6">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富民县教育体育局（本级）</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4B345E8B">
      <w:pPr>
        <w:jc w:val="center"/>
        <w:rPr>
          <w:rFonts w:hint="eastAsia" w:ascii="方正小标宋简体" w:hAnsi="方正小标宋简体" w:eastAsia="方正小标宋简体" w:cs="方正小标宋简体"/>
          <w:sz w:val="36"/>
          <w:szCs w:val="36"/>
          <w:highlight w:val="none"/>
        </w:rPr>
      </w:pPr>
    </w:p>
    <w:p w14:paraId="2E131D30">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543FBDA9">
      <w:pPr>
        <w:jc w:val="left"/>
        <w:rPr>
          <w:rFonts w:hint="eastAsia" w:ascii="黑体" w:hAnsi="黑体" w:eastAsia="黑体"/>
          <w:sz w:val="30"/>
          <w:szCs w:val="30"/>
          <w:highlight w:val="none"/>
        </w:rPr>
      </w:pPr>
    </w:p>
    <w:p w14:paraId="3E83E5C5">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4605B9D1">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38582856">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13A34215">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4B805A8D">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2E1A31C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297F155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191B3A2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22DCB26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743832A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37F526D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16766DEB">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3F643ECC">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7C5EF5C9">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68860292">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05A0C5D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十一、一般公共预算财政拨款“三公”经费情况表</w:t>
      </w:r>
    </w:p>
    <w:p w14:paraId="771EFAB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十二、国有资产使用情况表</w:t>
      </w:r>
    </w:p>
    <w:p w14:paraId="2A6A70F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十三、部门整体支出绩效自评情况</w:t>
      </w:r>
    </w:p>
    <w:p w14:paraId="7E684757">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十四、部门整体支出绩效自评表</w:t>
      </w:r>
    </w:p>
    <w:p w14:paraId="4DC8BB4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十五、项目支出绩效自评表</w:t>
      </w:r>
    </w:p>
    <w:p w14:paraId="092052B1">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71B1C19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61F7FE8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24B4353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2A85CBBF">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716C1A98">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3706D10A">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3B5C26AE">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2C4705B9">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50D6DC6A">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04EAC68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7A2E6A5D">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01D163CA">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20F27514">
      <w:pPr>
        <w:jc w:val="center"/>
        <w:rPr>
          <w:rFonts w:hint="eastAsia" w:ascii="黑体" w:hAnsi="黑体" w:eastAsia="黑体"/>
          <w:sz w:val="32"/>
          <w:szCs w:val="32"/>
          <w:highlight w:val="none"/>
        </w:rPr>
      </w:pPr>
    </w:p>
    <w:p w14:paraId="27A149C4">
      <w:pPr>
        <w:jc w:val="both"/>
        <w:rPr>
          <w:rFonts w:hint="eastAsia" w:ascii="黑体" w:hAnsi="黑体" w:eastAsia="黑体"/>
          <w:sz w:val="32"/>
          <w:szCs w:val="32"/>
          <w:highlight w:val="none"/>
        </w:rPr>
      </w:pPr>
    </w:p>
    <w:p w14:paraId="72841D02">
      <w:pPr>
        <w:jc w:val="both"/>
        <w:rPr>
          <w:rFonts w:hint="eastAsia" w:ascii="黑体" w:hAnsi="黑体" w:eastAsia="黑体"/>
          <w:sz w:val="32"/>
          <w:szCs w:val="32"/>
          <w:highlight w:val="none"/>
        </w:rPr>
      </w:pPr>
    </w:p>
    <w:p w14:paraId="6EF1E624">
      <w:pPr>
        <w:jc w:val="both"/>
        <w:rPr>
          <w:rFonts w:hint="eastAsia" w:ascii="黑体" w:hAnsi="黑体" w:eastAsia="黑体"/>
          <w:sz w:val="32"/>
          <w:szCs w:val="32"/>
          <w:highlight w:val="none"/>
        </w:rPr>
      </w:pPr>
    </w:p>
    <w:p w14:paraId="297A45DE">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12D418DC">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5FBC8D6C">
      <w:pPr>
        <w:pStyle w:val="3"/>
        <w:keepNext w:val="0"/>
        <w:keepLines w:val="0"/>
        <w:pageBreakBefore w:val="0"/>
        <w:widowControl w:val="0"/>
        <w:kinsoku/>
        <w:overflowPunct/>
        <w:topLinePunct w:val="0"/>
        <w:autoSpaceDE/>
        <w:autoSpaceDN/>
        <w:bidi w:val="0"/>
        <w:adjustRightInd w:val="0"/>
        <w:snapToGrid w:val="0"/>
        <w:spacing w:before="0" w:beforeLines="0" w:line="576" w:lineRule="exact"/>
        <w:ind w:firstLine="600" w:firstLineChars="200"/>
        <w:textAlignment w:val="auto"/>
        <w:rPr>
          <w:rFonts w:hint="eastAsia"/>
          <w:bCs/>
          <w:color w:val="auto"/>
          <w:szCs w:val="30"/>
          <w:highlight w:val="none"/>
        </w:rPr>
      </w:pPr>
      <w:r>
        <w:rPr>
          <w:rFonts w:hint="eastAsia"/>
          <w:bCs/>
          <w:color w:val="auto"/>
          <w:szCs w:val="30"/>
          <w:highlight w:val="none"/>
        </w:rPr>
        <w:t>根据《富民县深化党政机构改革领导小组关于印发</w:t>
      </w:r>
      <w:r>
        <w:rPr>
          <w:rFonts w:hint="eastAsia" w:ascii="仿宋_GB2312" w:hAnsi="仿宋_GB2312" w:eastAsia="仿宋_GB2312" w:cs="仿宋_GB2312"/>
          <w:bCs/>
          <w:color w:val="auto"/>
          <w:szCs w:val="30"/>
          <w:highlight w:val="none"/>
        </w:rPr>
        <w:t>〈</w:t>
      </w:r>
      <w:r>
        <w:rPr>
          <w:rFonts w:hint="eastAsia"/>
          <w:bCs/>
          <w:color w:val="auto"/>
          <w:szCs w:val="30"/>
          <w:highlight w:val="none"/>
        </w:rPr>
        <w:t>富民县深化县级机构改革实施方案</w:t>
      </w:r>
      <w:r>
        <w:rPr>
          <w:rFonts w:hint="eastAsia" w:ascii="仿宋_GB2312" w:hAnsi="仿宋_GB2312" w:eastAsia="仿宋_GB2312" w:cs="仿宋_GB2312"/>
          <w:bCs/>
          <w:color w:val="auto"/>
          <w:szCs w:val="30"/>
          <w:highlight w:val="none"/>
          <w:lang w:val="en-US" w:eastAsia="zh-CN"/>
        </w:rPr>
        <w:t>〉</w:t>
      </w:r>
      <w:r>
        <w:rPr>
          <w:rFonts w:hint="eastAsia"/>
          <w:bCs/>
          <w:color w:val="auto"/>
          <w:szCs w:val="30"/>
          <w:highlight w:val="none"/>
        </w:rPr>
        <w:t>的通知》（富改发〔2019〕1号），实施素质教育、强化学校体育教育，促进学生全面发展，加强体育公共服务，进一步推动多元化体育服务体系建设，将县教育局的职责，县文化体育广播电视旅游局的体育职责等整合，组建县教育体育局，作为县政府工作部门。</w:t>
      </w:r>
    </w:p>
    <w:p w14:paraId="728CEFFB">
      <w:pPr>
        <w:pStyle w:val="3"/>
        <w:adjustRightInd w:val="0"/>
        <w:snapToGrid w:val="0"/>
        <w:spacing w:line="600" w:lineRule="exact"/>
        <w:ind w:firstLine="630" w:firstLineChars="210"/>
        <w:rPr>
          <w:rFonts w:hint="eastAsia"/>
          <w:bCs/>
          <w:szCs w:val="30"/>
          <w:highlight w:val="none"/>
        </w:rPr>
      </w:pPr>
      <w:r>
        <w:rPr>
          <w:rFonts w:hint="eastAsia"/>
          <w:bCs/>
          <w:color w:val="auto"/>
          <w:szCs w:val="30"/>
          <w:highlight w:val="none"/>
        </w:rPr>
        <w:t>主要职责是，制定全县教育体育事业发展规划并组织实施，综合管理全县教育体育工作，推进教育体育事业建设和体制机制改革，指导校外教育工作和推动公共体育活动。</w:t>
      </w:r>
    </w:p>
    <w:p w14:paraId="178706C8">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13942BD2">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28D84706">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我单位共设置3个内设机构，包括：</w:t>
      </w:r>
      <w:r>
        <w:rPr>
          <w:rFonts w:hint="default" w:ascii="仿宋_GB2312" w:eastAsia="仿宋_GB2312"/>
          <w:sz w:val="30"/>
          <w:szCs w:val="30"/>
          <w:highlight w:val="none"/>
          <w:lang w:val="en-US" w:eastAsia="zh-CN"/>
        </w:rPr>
        <w:t>办公室、教育体育发展科、基础保障科。</w:t>
      </w:r>
    </w:p>
    <w:p w14:paraId="4A4FE345">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655AD9EC">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2A0238D4">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w:t>
      </w:r>
      <w:r>
        <w:rPr>
          <w:rFonts w:hint="eastAsia" w:ascii="仿宋_GB2312" w:eastAsia="仿宋_GB2312"/>
          <w:sz w:val="30"/>
          <w:szCs w:val="30"/>
          <w:highlight w:val="none"/>
          <w:lang w:val="en-US" w:eastAsia="zh-CN"/>
        </w:rPr>
        <w:t>富民县教育体育局的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5A0DDAA6">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00CCE259">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10</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9</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317DE877">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357D2BD2">
      <w:pPr>
        <w:spacing w:line="600" w:lineRule="exact"/>
        <w:ind w:firstLine="600" w:firstLineChars="200"/>
        <w:rPr>
          <w:rFonts w:hint="default" w:ascii="仿宋_GB2312" w:hAnsi="宋体" w:eastAsia="仿宋_GB2312" w:cs="Arial"/>
          <w:color w:val="FF000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12</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12</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4</w:t>
      </w:r>
      <w:r>
        <w:rPr>
          <w:rFonts w:hint="eastAsia" w:ascii="仿宋_GB2312" w:hAnsi="宋体" w:eastAsia="仿宋_GB2312" w:cs="Arial"/>
          <w:kern w:val="0"/>
          <w:sz w:val="30"/>
          <w:szCs w:val="30"/>
          <w:highlight w:val="none"/>
          <w:lang w:val="en-US" w:eastAsia="zh-CN"/>
        </w:rPr>
        <w:t>人。</w:t>
      </w:r>
    </w:p>
    <w:p w14:paraId="2C091E8A">
      <w:pPr>
        <w:spacing w:line="600" w:lineRule="exact"/>
        <w:ind w:firstLine="600" w:firstLineChars="200"/>
        <w:jc w:val="left"/>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车辆编制1辆，在编实有车辆1辆，超编0辆。</w:t>
      </w:r>
    </w:p>
    <w:p w14:paraId="1716FED5">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6CC6A917">
      <w:pPr>
        <w:keepNext w:val="0"/>
        <w:keepLines w:val="0"/>
        <w:pageBreakBefore w:val="0"/>
        <w:kinsoku/>
        <w:overflowPunct/>
        <w:topLinePunct w:val="0"/>
        <w:autoSpaceDE/>
        <w:autoSpaceDN/>
        <w:bidi w:val="0"/>
        <w:spacing w:line="600" w:lineRule="exact"/>
        <w:ind w:firstLine="600" w:firstLineChars="200"/>
        <w:textAlignment w:val="auto"/>
        <w:rPr>
          <w:rFonts w:hint="eastAsia" w:ascii="楷体_GB2312" w:hAnsi="楷体_GB2312" w:eastAsia="楷体_GB2312" w:cs="楷体_GB2312"/>
          <w:i w:val="0"/>
          <w:iCs w:val="0"/>
          <w:kern w:val="0"/>
          <w:sz w:val="30"/>
          <w:szCs w:val="30"/>
          <w:highlight w:val="none"/>
          <w:lang w:eastAsia="zh-CN"/>
        </w:rPr>
      </w:pPr>
      <w:r>
        <w:rPr>
          <w:rFonts w:hint="eastAsia" w:ascii="楷体_GB2312" w:hAnsi="楷体_GB2312" w:eastAsia="楷体_GB2312" w:cs="楷体_GB2312"/>
          <w:i w:val="0"/>
          <w:iCs w:val="0"/>
          <w:kern w:val="0"/>
          <w:sz w:val="30"/>
          <w:szCs w:val="30"/>
          <w:highlight w:val="none"/>
          <w:lang w:val="en-US" w:eastAsia="zh-CN"/>
        </w:rPr>
        <w:t>（一）</w:t>
      </w:r>
      <w:r>
        <w:rPr>
          <w:rFonts w:hint="eastAsia" w:ascii="楷体_GB2312" w:hAnsi="楷体_GB2312" w:eastAsia="楷体_GB2312" w:cs="楷体_GB2312"/>
          <w:i w:val="0"/>
          <w:iCs w:val="0"/>
          <w:kern w:val="0"/>
          <w:sz w:val="30"/>
          <w:szCs w:val="30"/>
          <w:highlight w:val="none"/>
          <w:lang w:eastAsia="zh-CN"/>
        </w:rPr>
        <w:t>党建工作不断加强</w:t>
      </w:r>
    </w:p>
    <w:p w14:paraId="11145685">
      <w:pPr>
        <w:keepNext w:val="0"/>
        <w:keepLines w:val="0"/>
        <w:pageBreakBefore w:val="0"/>
        <w:kinsoku/>
        <w:overflowPunct/>
        <w:topLinePunct w:val="0"/>
        <w:autoSpaceDE/>
        <w:autoSpaceDN/>
        <w:bidi w:val="0"/>
        <w:spacing w:line="600" w:lineRule="exact"/>
        <w:ind w:firstLine="600" w:firstLineChars="200"/>
        <w:textAlignment w:val="auto"/>
        <w:rPr>
          <w:rFonts w:hint="default" w:ascii="仿宋_GB2312" w:hAnsi="宋体" w:eastAsia="仿宋_GB2312" w:cs="Arial"/>
          <w:i w:val="0"/>
          <w:iCs w:val="0"/>
          <w:kern w:val="0"/>
          <w:sz w:val="30"/>
          <w:szCs w:val="30"/>
          <w:highlight w:val="none"/>
          <w:lang w:eastAsia="zh"/>
        </w:rPr>
      </w:pPr>
      <w:r>
        <w:rPr>
          <w:rFonts w:hint="default" w:ascii="仿宋_GB2312" w:hAnsi="宋体" w:eastAsia="仿宋_GB2312" w:cs="Arial"/>
          <w:i w:val="0"/>
          <w:iCs w:val="0"/>
          <w:kern w:val="0"/>
          <w:sz w:val="30"/>
          <w:szCs w:val="30"/>
          <w:highlight w:val="none"/>
          <w:lang w:eastAsia="zh-CN"/>
        </w:rPr>
        <w:t>党对教育工作的全面领导</w:t>
      </w:r>
      <w:r>
        <w:rPr>
          <w:rFonts w:hint="default" w:ascii="仿宋_GB2312" w:hAnsi="宋体" w:eastAsia="仿宋_GB2312" w:cs="Arial"/>
          <w:i w:val="0"/>
          <w:iCs w:val="0"/>
          <w:kern w:val="0"/>
          <w:sz w:val="30"/>
          <w:szCs w:val="30"/>
          <w:highlight w:val="none"/>
          <w:lang w:eastAsia="zh"/>
        </w:rPr>
        <w:t>不断加强</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学校党建水平不断提高</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严格落实意识形态工作责任</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val="en-US" w:eastAsia="zh"/>
        </w:rPr>
        <w:t>全面推进党风廉政建设工作。</w:t>
      </w:r>
    </w:p>
    <w:p w14:paraId="0CDABB52">
      <w:pPr>
        <w:keepNext w:val="0"/>
        <w:keepLines w:val="0"/>
        <w:pageBreakBefore w:val="0"/>
        <w:kinsoku/>
        <w:overflowPunct/>
        <w:topLinePunct w:val="0"/>
        <w:autoSpaceDE/>
        <w:autoSpaceDN/>
        <w:bidi w:val="0"/>
        <w:spacing w:line="600" w:lineRule="exact"/>
        <w:ind w:firstLine="600" w:firstLineChars="200"/>
        <w:textAlignment w:val="auto"/>
        <w:rPr>
          <w:rFonts w:hint="eastAsia" w:ascii="楷体_GB2312" w:hAnsi="楷体_GB2312" w:eastAsia="楷体_GB2312" w:cs="楷体_GB2312"/>
          <w:i w:val="0"/>
          <w:iCs w:val="0"/>
          <w:kern w:val="0"/>
          <w:sz w:val="30"/>
          <w:szCs w:val="30"/>
          <w:highlight w:val="none"/>
          <w:lang w:eastAsia="zh-CN"/>
        </w:rPr>
      </w:pPr>
      <w:r>
        <w:rPr>
          <w:rFonts w:hint="eastAsia" w:ascii="楷体_GB2312" w:hAnsi="楷体_GB2312" w:eastAsia="楷体_GB2312" w:cs="楷体_GB2312"/>
          <w:i w:val="0"/>
          <w:iCs w:val="0"/>
          <w:kern w:val="0"/>
          <w:sz w:val="30"/>
          <w:szCs w:val="30"/>
          <w:highlight w:val="none"/>
          <w:lang w:eastAsia="zh-CN"/>
        </w:rPr>
        <w:t>（二）推进基础设施</w:t>
      </w:r>
      <w:r>
        <w:rPr>
          <w:rFonts w:hint="eastAsia" w:ascii="楷体_GB2312" w:hAnsi="楷体_GB2312" w:eastAsia="楷体_GB2312" w:cs="楷体_GB2312"/>
          <w:i w:val="0"/>
          <w:iCs w:val="0"/>
          <w:kern w:val="0"/>
          <w:sz w:val="30"/>
          <w:szCs w:val="30"/>
          <w:highlight w:val="none"/>
          <w:lang w:eastAsia="zh"/>
        </w:rPr>
        <w:t>项目</w:t>
      </w:r>
      <w:r>
        <w:rPr>
          <w:rFonts w:hint="eastAsia" w:ascii="楷体_GB2312" w:hAnsi="楷体_GB2312" w:eastAsia="楷体_GB2312" w:cs="楷体_GB2312"/>
          <w:i w:val="0"/>
          <w:iCs w:val="0"/>
          <w:kern w:val="0"/>
          <w:sz w:val="30"/>
          <w:szCs w:val="30"/>
          <w:highlight w:val="none"/>
          <w:lang w:eastAsia="zh-CN"/>
        </w:rPr>
        <w:t>建设</w:t>
      </w:r>
    </w:p>
    <w:p w14:paraId="7BC46B07">
      <w:pPr>
        <w:keepNext w:val="0"/>
        <w:keepLines w:val="0"/>
        <w:pageBreakBefore w:val="0"/>
        <w:kinsoku/>
        <w:overflowPunct/>
        <w:topLinePunct w:val="0"/>
        <w:autoSpaceDE/>
        <w:autoSpaceDN/>
        <w:bidi w:val="0"/>
        <w:spacing w:line="600" w:lineRule="exact"/>
        <w:ind w:firstLine="600" w:firstLineChars="200"/>
        <w:textAlignment w:val="auto"/>
        <w:rPr>
          <w:rFonts w:hint="default" w:ascii="仿宋_GB2312" w:hAnsi="宋体" w:eastAsia="仿宋_GB2312" w:cs="Arial"/>
          <w:i w:val="0"/>
          <w:iCs w:val="0"/>
          <w:kern w:val="0"/>
          <w:sz w:val="30"/>
          <w:szCs w:val="30"/>
          <w:highlight w:val="none"/>
          <w:lang w:eastAsia="zh"/>
        </w:rPr>
      </w:pPr>
      <w:r>
        <w:rPr>
          <w:rFonts w:hint="default" w:ascii="仿宋_GB2312" w:hAnsi="宋体" w:eastAsia="仿宋_GB2312" w:cs="Arial"/>
          <w:i w:val="0"/>
          <w:iCs w:val="0"/>
          <w:kern w:val="0"/>
          <w:sz w:val="30"/>
          <w:szCs w:val="30"/>
          <w:highlight w:val="none"/>
          <w:lang w:eastAsia="zh"/>
        </w:rPr>
        <w:t>基础教育建设项目有序推进</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职业教育建设项目有序推进</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设施设备项目有序推进。</w:t>
      </w:r>
    </w:p>
    <w:p w14:paraId="0EBAE1B2">
      <w:pPr>
        <w:keepNext w:val="0"/>
        <w:keepLines w:val="0"/>
        <w:pageBreakBefore w:val="0"/>
        <w:kinsoku/>
        <w:overflowPunct/>
        <w:topLinePunct w:val="0"/>
        <w:autoSpaceDE/>
        <w:autoSpaceDN/>
        <w:bidi w:val="0"/>
        <w:spacing w:line="600" w:lineRule="exact"/>
        <w:ind w:firstLine="600" w:firstLineChars="200"/>
        <w:textAlignment w:val="auto"/>
        <w:rPr>
          <w:rFonts w:hint="default" w:ascii="楷体_GB2312" w:hAnsi="楷体_GB2312" w:eastAsia="楷体_GB2312" w:cs="楷体_GB2312"/>
          <w:i w:val="0"/>
          <w:iCs w:val="0"/>
          <w:kern w:val="0"/>
          <w:sz w:val="30"/>
          <w:szCs w:val="30"/>
          <w:highlight w:val="none"/>
          <w:lang w:eastAsia="zh-CN"/>
        </w:rPr>
      </w:pPr>
      <w:r>
        <w:rPr>
          <w:rFonts w:hint="default" w:ascii="楷体_GB2312" w:hAnsi="楷体_GB2312" w:eastAsia="楷体_GB2312" w:cs="楷体_GB2312"/>
          <w:i w:val="0"/>
          <w:iCs w:val="0"/>
          <w:kern w:val="0"/>
          <w:sz w:val="30"/>
          <w:szCs w:val="30"/>
          <w:highlight w:val="none"/>
          <w:lang w:eastAsia="zh-CN"/>
        </w:rPr>
        <w:t>（三）落实立德树人根本任务</w:t>
      </w:r>
      <w:bookmarkStart w:id="0" w:name="_GoBack"/>
      <w:bookmarkEnd w:id="0"/>
    </w:p>
    <w:p w14:paraId="2571EFE2">
      <w:pPr>
        <w:keepNext w:val="0"/>
        <w:keepLines w:val="0"/>
        <w:pageBreakBefore w:val="0"/>
        <w:kinsoku/>
        <w:overflowPunct/>
        <w:topLinePunct w:val="0"/>
        <w:autoSpaceDE/>
        <w:autoSpaceDN/>
        <w:bidi w:val="0"/>
        <w:spacing w:line="600" w:lineRule="exact"/>
        <w:ind w:firstLine="600" w:firstLineChars="200"/>
        <w:textAlignment w:val="auto"/>
        <w:rPr>
          <w:rFonts w:hint="default" w:ascii="仿宋_GB2312" w:hAnsi="宋体" w:eastAsia="仿宋_GB2312" w:cs="Arial"/>
          <w:i w:val="0"/>
          <w:iCs w:val="0"/>
          <w:kern w:val="0"/>
          <w:sz w:val="30"/>
          <w:szCs w:val="30"/>
          <w:highlight w:val="none"/>
          <w:lang w:eastAsia="zh"/>
        </w:rPr>
      </w:pPr>
      <w:r>
        <w:rPr>
          <w:rFonts w:hint="default" w:ascii="仿宋_GB2312" w:hAnsi="宋体" w:eastAsia="仿宋_GB2312" w:cs="Arial"/>
          <w:i w:val="0"/>
          <w:iCs w:val="0"/>
          <w:kern w:val="0"/>
          <w:sz w:val="30"/>
          <w:szCs w:val="30"/>
          <w:highlight w:val="none"/>
          <w:lang w:eastAsia="zh"/>
        </w:rPr>
        <w:t>思政课建设不断加强</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促进学生全面发展</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加强学生心理健康工作。</w:t>
      </w:r>
    </w:p>
    <w:p w14:paraId="11EB2B72">
      <w:pPr>
        <w:keepNext w:val="0"/>
        <w:keepLines w:val="0"/>
        <w:pageBreakBefore w:val="0"/>
        <w:kinsoku/>
        <w:overflowPunct/>
        <w:topLinePunct w:val="0"/>
        <w:autoSpaceDE/>
        <w:autoSpaceDN/>
        <w:bidi w:val="0"/>
        <w:spacing w:line="600" w:lineRule="exact"/>
        <w:ind w:firstLine="600" w:firstLineChars="200"/>
        <w:textAlignment w:val="auto"/>
        <w:rPr>
          <w:rFonts w:hint="default" w:ascii="楷体_GB2312" w:hAnsi="楷体_GB2312" w:eastAsia="楷体_GB2312" w:cs="楷体_GB2312"/>
          <w:i w:val="0"/>
          <w:iCs w:val="0"/>
          <w:kern w:val="0"/>
          <w:sz w:val="30"/>
          <w:szCs w:val="30"/>
          <w:highlight w:val="none"/>
          <w:lang w:eastAsia="zh-CN"/>
        </w:rPr>
      </w:pPr>
      <w:r>
        <w:rPr>
          <w:rFonts w:hint="default" w:ascii="楷体_GB2312" w:hAnsi="楷体_GB2312" w:eastAsia="楷体_GB2312" w:cs="楷体_GB2312"/>
          <w:i w:val="0"/>
          <w:iCs w:val="0"/>
          <w:kern w:val="0"/>
          <w:sz w:val="30"/>
          <w:szCs w:val="30"/>
          <w:highlight w:val="none"/>
          <w:lang w:eastAsia="zh-CN"/>
        </w:rPr>
        <w:t>（四）教师队伍力量不断增强</w:t>
      </w:r>
    </w:p>
    <w:p w14:paraId="31C52631">
      <w:pPr>
        <w:keepNext w:val="0"/>
        <w:keepLines w:val="0"/>
        <w:pageBreakBefore w:val="0"/>
        <w:kinsoku/>
        <w:overflowPunct/>
        <w:topLinePunct w:val="0"/>
        <w:autoSpaceDE/>
        <w:autoSpaceDN/>
        <w:bidi w:val="0"/>
        <w:spacing w:line="600" w:lineRule="exact"/>
        <w:ind w:firstLine="600" w:firstLineChars="200"/>
        <w:textAlignment w:val="auto"/>
        <w:rPr>
          <w:rFonts w:hint="eastAsia" w:ascii="仿宋_GB2312" w:hAnsi="宋体" w:eastAsia="仿宋_GB2312" w:cs="Arial"/>
          <w:i w:val="0"/>
          <w:iCs w:val="0"/>
          <w:kern w:val="0"/>
          <w:sz w:val="30"/>
          <w:szCs w:val="30"/>
          <w:highlight w:val="none"/>
          <w:lang w:eastAsia="zh-CN"/>
        </w:rPr>
      </w:pPr>
      <w:r>
        <w:rPr>
          <w:rFonts w:hint="default" w:ascii="仿宋_GB2312" w:hAnsi="宋体" w:eastAsia="仿宋_GB2312" w:cs="Arial"/>
          <w:i w:val="0"/>
          <w:iCs w:val="0"/>
          <w:kern w:val="0"/>
          <w:sz w:val="30"/>
          <w:szCs w:val="30"/>
          <w:highlight w:val="none"/>
          <w:lang w:eastAsia="zh-CN"/>
        </w:rPr>
        <w:t>深入推进“三名工程”</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加强师资管理</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加强教师培训</w:t>
      </w:r>
      <w:r>
        <w:rPr>
          <w:rFonts w:hint="eastAsia" w:ascii="仿宋_GB2312" w:hAnsi="宋体" w:eastAsia="仿宋_GB2312" w:cs="Arial"/>
          <w:i w:val="0"/>
          <w:iCs w:val="0"/>
          <w:kern w:val="0"/>
          <w:sz w:val="30"/>
          <w:szCs w:val="30"/>
          <w:highlight w:val="none"/>
          <w:lang w:eastAsia="zh-CN"/>
        </w:rPr>
        <w:t>。</w:t>
      </w:r>
    </w:p>
    <w:p w14:paraId="39BF9A5D">
      <w:pPr>
        <w:keepNext w:val="0"/>
        <w:keepLines w:val="0"/>
        <w:pageBreakBefore w:val="0"/>
        <w:kinsoku/>
        <w:overflowPunct/>
        <w:topLinePunct w:val="0"/>
        <w:autoSpaceDE/>
        <w:autoSpaceDN/>
        <w:bidi w:val="0"/>
        <w:spacing w:line="600" w:lineRule="exact"/>
        <w:ind w:firstLine="600" w:firstLineChars="200"/>
        <w:textAlignment w:val="auto"/>
        <w:rPr>
          <w:rFonts w:hint="default" w:ascii="楷体_GB2312" w:hAnsi="楷体_GB2312" w:eastAsia="楷体_GB2312" w:cs="楷体_GB2312"/>
          <w:i w:val="0"/>
          <w:iCs w:val="0"/>
          <w:kern w:val="0"/>
          <w:sz w:val="30"/>
          <w:szCs w:val="30"/>
          <w:highlight w:val="none"/>
          <w:lang w:eastAsia="zh-CN"/>
        </w:rPr>
      </w:pPr>
      <w:r>
        <w:rPr>
          <w:rFonts w:hint="default" w:ascii="楷体_GB2312" w:hAnsi="楷体_GB2312" w:eastAsia="楷体_GB2312" w:cs="楷体_GB2312"/>
          <w:i w:val="0"/>
          <w:iCs w:val="0"/>
          <w:kern w:val="0"/>
          <w:sz w:val="30"/>
          <w:szCs w:val="30"/>
          <w:highlight w:val="none"/>
          <w:lang w:eastAsia="zh-CN"/>
        </w:rPr>
        <w:t>（五）加强学校教育教学管理</w:t>
      </w:r>
    </w:p>
    <w:p w14:paraId="0A8A7D06">
      <w:pPr>
        <w:keepNext w:val="0"/>
        <w:keepLines w:val="0"/>
        <w:pageBreakBefore w:val="0"/>
        <w:kinsoku/>
        <w:overflowPunct/>
        <w:topLinePunct w:val="0"/>
        <w:autoSpaceDE/>
        <w:autoSpaceDN/>
        <w:bidi w:val="0"/>
        <w:spacing w:line="600" w:lineRule="exact"/>
        <w:ind w:firstLine="600" w:firstLineChars="200"/>
        <w:textAlignment w:val="auto"/>
        <w:rPr>
          <w:rFonts w:hint="default" w:ascii="仿宋_GB2312" w:hAnsi="宋体" w:eastAsia="仿宋_GB2312" w:cs="Arial"/>
          <w:i w:val="0"/>
          <w:iCs w:val="0"/>
          <w:kern w:val="0"/>
          <w:sz w:val="30"/>
          <w:szCs w:val="30"/>
          <w:highlight w:val="none"/>
          <w:lang w:eastAsia="zh-CN"/>
        </w:rPr>
      </w:pPr>
      <w:r>
        <w:rPr>
          <w:rFonts w:hint="default" w:ascii="仿宋_GB2312" w:hAnsi="宋体" w:eastAsia="仿宋_GB2312" w:cs="Arial"/>
          <w:i w:val="0"/>
          <w:iCs w:val="0"/>
          <w:kern w:val="0"/>
          <w:sz w:val="30"/>
          <w:szCs w:val="30"/>
          <w:highlight w:val="none"/>
          <w:lang w:eastAsia="zh"/>
        </w:rPr>
        <w:t>教育资源不断优化</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做好民生保障工作</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CN"/>
        </w:rPr>
        <w:t>筑牢</w:t>
      </w:r>
      <w:r>
        <w:rPr>
          <w:rFonts w:hint="default" w:ascii="仿宋_GB2312" w:hAnsi="宋体" w:eastAsia="仿宋_GB2312" w:cs="Arial"/>
          <w:i w:val="0"/>
          <w:iCs w:val="0"/>
          <w:kern w:val="0"/>
          <w:sz w:val="30"/>
          <w:szCs w:val="30"/>
          <w:highlight w:val="none"/>
          <w:lang w:eastAsia="zh"/>
        </w:rPr>
        <w:t>校园</w:t>
      </w:r>
      <w:r>
        <w:rPr>
          <w:rFonts w:hint="default" w:ascii="仿宋_GB2312" w:hAnsi="宋体" w:eastAsia="仿宋_GB2312" w:cs="Arial"/>
          <w:i w:val="0"/>
          <w:iCs w:val="0"/>
          <w:kern w:val="0"/>
          <w:sz w:val="30"/>
          <w:szCs w:val="30"/>
          <w:highlight w:val="none"/>
          <w:lang w:eastAsia="zh-CN"/>
        </w:rPr>
        <w:t>安全底线。</w:t>
      </w:r>
    </w:p>
    <w:p w14:paraId="19E486FF">
      <w:pPr>
        <w:keepNext w:val="0"/>
        <w:keepLines w:val="0"/>
        <w:pageBreakBefore w:val="0"/>
        <w:kinsoku/>
        <w:overflowPunct/>
        <w:topLinePunct w:val="0"/>
        <w:autoSpaceDE/>
        <w:autoSpaceDN/>
        <w:bidi w:val="0"/>
        <w:spacing w:line="600" w:lineRule="exact"/>
        <w:ind w:firstLine="600" w:firstLineChars="200"/>
        <w:textAlignment w:val="auto"/>
        <w:rPr>
          <w:rFonts w:hint="default" w:ascii="楷体_GB2312" w:hAnsi="楷体_GB2312" w:eastAsia="楷体_GB2312" w:cs="楷体_GB2312"/>
          <w:i w:val="0"/>
          <w:iCs w:val="0"/>
          <w:kern w:val="0"/>
          <w:sz w:val="30"/>
          <w:szCs w:val="30"/>
          <w:highlight w:val="none"/>
          <w:lang w:eastAsia="zh-CN"/>
        </w:rPr>
      </w:pPr>
      <w:r>
        <w:rPr>
          <w:rFonts w:hint="default" w:ascii="楷体_GB2312" w:hAnsi="楷体_GB2312" w:eastAsia="楷体_GB2312" w:cs="楷体_GB2312"/>
          <w:i w:val="0"/>
          <w:iCs w:val="0"/>
          <w:kern w:val="0"/>
          <w:sz w:val="30"/>
          <w:szCs w:val="30"/>
          <w:highlight w:val="none"/>
          <w:lang w:eastAsia="zh-CN"/>
        </w:rPr>
        <w:t>（六）教育教学质量不断提升</w:t>
      </w:r>
    </w:p>
    <w:p w14:paraId="45A6D896">
      <w:pPr>
        <w:keepNext w:val="0"/>
        <w:keepLines w:val="0"/>
        <w:pageBreakBefore w:val="0"/>
        <w:kinsoku/>
        <w:overflowPunct/>
        <w:topLinePunct w:val="0"/>
        <w:autoSpaceDE/>
        <w:autoSpaceDN/>
        <w:bidi w:val="0"/>
        <w:spacing w:line="600" w:lineRule="exact"/>
        <w:ind w:firstLine="600" w:firstLineChars="200"/>
        <w:textAlignment w:val="auto"/>
        <w:rPr>
          <w:rFonts w:hint="default" w:ascii="仿宋_GB2312" w:hAnsi="宋体" w:eastAsia="仿宋_GB2312" w:cs="Arial"/>
          <w:i w:val="0"/>
          <w:iCs w:val="0"/>
          <w:kern w:val="0"/>
          <w:sz w:val="30"/>
          <w:szCs w:val="30"/>
          <w:highlight w:val="none"/>
          <w:lang w:eastAsia="zh"/>
        </w:rPr>
      </w:pPr>
      <w:r>
        <w:rPr>
          <w:rFonts w:hint="default" w:ascii="仿宋_GB2312" w:hAnsi="宋体" w:eastAsia="仿宋_GB2312" w:cs="Arial"/>
          <w:i w:val="0"/>
          <w:iCs w:val="0"/>
          <w:kern w:val="0"/>
          <w:sz w:val="30"/>
          <w:szCs w:val="30"/>
          <w:highlight w:val="none"/>
          <w:lang w:eastAsia="zh"/>
        </w:rPr>
        <w:t>1.合作帮扶不断深化</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2.提升学校办学水平</w:t>
      </w:r>
      <w:r>
        <w:rPr>
          <w:rFonts w:hint="eastAsia" w:ascii="仿宋_GB2312" w:hAnsi="宋体" w:eastAsia="仿宋_GB2312" w:cs="Arial"/>
          <w:i w:val="0"/>
          <w:iCs w:val="0"/>
          <w:kern w:val="0"/>
          <w:sz w:val="30"/>
          <w:szCs w:val="30"/>
          <w:highlight w:val="none"/>
          <w:lang w:eastAsia="zh-CN"/>
        </w:rPr>
        <w:t>；</w:t>
      </w:r>
      <w:r>
        <w:rPr>
          <w:rFonts w:hint="eastAsia" w:ascii="仿宋_GB2312" w:hAnsi="宋体" w:eastAsia="仿宋_GB2312" w:cs="Arial"/>
          <w:i w:val="0"/>
          <w:iCs w:val="0"/>
          <w:kern w:val="0"/>
          <w:sz w:val="30"/>
          <w:szCs w:val="30"/>
          <w:highlight w:val="none"/>
          <w:lang w:val="en-US" w:eastAsia="zh-CN"/>
        </w:rPr>
        <w:t>3</w:t>
      </w:r>
      <w:r>
        <w:rPr>
          <w:rFonts w:hint="default" w:ascii="仿宋_GB2312" w:hAnsi="宋体" w:eastAsia="仿宋_GB2312" w:cs="Arial"/>
          <w:i w:val="0"/>
          <w:iCs w:val="0"/>
          <w:kern w:val="0"/>
          <w:sz w:val="30"/>
          <w:szCs w:val="30"/>
          <w:highlight w:val="none"/>
          <w:lang w:eastAsia="zh"/>
        </w:rPr>
        <w:t>.教学质量不断提升。</w:t>
      </w:r>
    </w:p>
    <w:p w14:paraId="77504E60">
      <w:pPr>
        <w:keepNext w:val="0"/>
        <w:keepLines w:val="0"/>
        <w:pageBreakBefore w:val="0"/>
        <w:kinsoku/>
        <w:overflowPunct/>
        <w:topLinePunct w:val="0"/>
        <w:autoSpaceDE/>
        <w:autoSpaceDN/>
        <w:bidi w:val="0"/>
        <w:spacing w:line="600" w:lineRule="exact"/>
        <w:ind w:firstLine="600" w:firstLineChars="200"/>
        <w:textAlignment w:val="auto"/>
        <w:rPr>
          <w:rFonts w:hint="default" w:ascii="楷体_GB2312" w:hAnsi="楷体_GB2312" w:eastAsia="楷体_GB2312" w:cs="楷体_GB2312"/>
          <w:i w:val="0"/>
          <w:iCs w:val="0"/>
          <w:kern w:val="0"/>
          <w:sz w:val="30"/>
          <w:szCs w:val="30"/>
          <w:highlight w:val="none"/>
          <w:lang w:eastAsia="zh-CN"/>
        </w:rPr>
      </w:pPr>
      <w:r>
        <w:rPr>
          <w:rFonts w:hint="default" w:ascii="楷体_GB2312" w:hAnsi="楷体_GB2312" w:eastAsia="楷体_GB2312" w:cs="楷体_GB2312"/>
          <w:i w:val="0"/>
          <w:iCs w:val="0"/>
          <w:kern w:val="0"/>
          <w:sz w:val="30"/>
          <w:szCs w:val="30"/>
          <w:highlight w:val="none"/>
          <w:lang w:eastAsia="zh-CN"/>
        </w:rPr>
        <w:t>（七）体育事业持续健康发展</w:t>
      </w:r>
    </w:p>
    <w:p w14:paraId="27401F6A">
      <w:pPr>
        <w:spacing w:line="600" w:lineRule="exact"/>
        <w:ind w:firstLine="600" w:firstLineChars="200"/>
        <w:jc w:val="left"/>
        <w:rPr>
          <w:rFonts w:hint="eastAsia" w:ascii="仿宋_GB2312" w:hAnsi="宋体" w:eastAsia="仿宋_GB2312" w:cs="Arial"/>
          <w:kern w:val="0"/>
          <w:sz w:val="30"/>
          <w:szCs w:val="30"/>
          <w:highlight w:val="none"/>
        </w:rPr>
      </w:pPr>
      <w:r>
        <w:rPr>
          <w:rFonts w:hint="default" w:ascii="仿宋_GB2312" w:hAnsi="宋体" w:eastAsia="仿宋_GB2312" w:cs="Arial"/>
          <w:i w:val="0"/>
          <w:iCs w:val="0"/>
          <w:kern w:val="0"/>
          <w:sz w:val="30"/>
          <w:szCs w:val="30"/>
          <w:highlight w:val="none"/>
          <w:lang w:eastAsia="zh"/>
        </w:rPr>
        <w:t>1.增加社会体育资源供给</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eastAsia="zh"/>
        </w:rPr>
        <w:t>2.群众体育不断丰富</w:t>
      </w:r>
      <w:r>
        <w:rPr>
          <w:rFonts w:hint="eastAsia" w:ascii="仿宋_GB2312" w:hAnsi="宋体" w:eastAsia="仿宋_GB2312" w:cs="Arial"/>
          <w:i w:val="0"/>
          <w:iCs w:val="0"/>
          <w:kern w:val="0"/>
          <w:sz w:val="30"/>
          <w:szCs w:val="30"/>
          <w:highlight w:val="none"/>
          <w:lang w:eastAsia="zh-CN"/>
        </w:rPr>
        <w:t>；</w:t>
      </w:r>
      <w:r>
        <w:rPr>
          <w:rFonts w:hint="default" w:ascii="仿宋_GB2312" w:hAnsi="宋体" w:eastAsia="仿宋_GB2312" w:cs="Arial"/>
          <w:i w:val="0"/>
          <w:iCs w:val="0"/>
          <w:kern w:val="0"/>
          <w:sz w:val="30"/>
          <w:szCs w:val="30"/>
          <w:highlight w:val="none"/>
          <w:lang w:val="en-US" w:eastAsia="zh"/>
        </w:rPr>
        <w:t>3.提升体育竞技水平。</w:t>
      </w:r>
    </w:p>
    <w:p w14:paraId="28FA3700">
      <w:pPr>
        <w:spacing w:line="600" w:lineRule="exact"/>
        <w:ind w:firstLine="600" w:firstLineChars="200"/>
        <w:jc w:val="left"/>
        <w:rPr>
          <w:rFonts w:hint="eastAsia" w:ascii="仿宋_GB2312" w:hAnsi="宋体" w:eastAsia="仿宋_GB2312" w:cs="Arial"/>
          <w:kern w:val="0"/>
          <w:sz w:val="30"/>
          <w:szCs w:val="30"/>
          <w:highlight w:val="none"/>
        </w:rPr>
      </w:pPr>
    </w:p>
    <w:p w14:paraId="3838CE1A">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4EBE3167">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47945EBA">
      <w:pPr>
        <w:keepNext w:val="0"/>
        <w:keepLines w:val="0"/>
        <w:pageBreakBefore w:val="0"/>
        <w:kinsoku/>
        <w:overflowPunct/>
        <w:topLinePunct w:val="0"/>
        <w:autoSpaceDE/>
        <w:autoSpaceDN/>
        <w:bidi w:val="0"/>
        <w:spacing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lang w:eastAsia="zh-CN"/>
        </w:rPr>
        <w:t>年度无国有资本经营预算财政拨款收入，《国有资本经营预算财政拨款收入支出决算表》为空表。</w:t>
      </w:r>
    </w:p>
    <w:p w14:paraId="2820A9D2">
      <w:pPr>
        <w:spacing w:line="600" w:lineRule="exact"/>
        <w:ind w:firstLine="600" w:firstLineChars="200"/>
        <w:jc w:val="left"/>
        <w:rPr>
          <w:rFonts w:hint="eastAsia" w:ascii="仿宋_GB2312" w:eastAsia="仿宋_GB2312"/>
          <w:sz w:val="30"/>
          <w:szCs w:val="30"/>
          <w:highlight w:val="none"/>
          <w:lang w:eastAsia="zh-CN"/>
        </w:rPr>
      </w:pPr>
    </w:p>
    <w:p w14:paraId="18BC1A27">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3878E261">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5789B4F5">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富民县教育体育局（本级）</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30962902.19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30765586.19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99.36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事业收入；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收入；其他收入</w:t>
      </w:r>
      <w:r>
        <w:rPr>
          <w:rFonts w:hint="eastAsia" w:ascii="仿宋_GB2312" w:hAnsi="仿宋_GB2312" w:eastAsia="仿宋_GB2312" w:cs="仿宋_GB2312"/>
          <w:color w:val="auto"/>
          <w:sz w:val="30"/>
          <w:lang w:val="zh-CN"/>
        </w:rPr>
        <w:t>197316.00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0.64</w:t>
      </w:r>
      <w:r>
        <w:rPr>
          <w:rFonts w:hint="eastAsia" w:ascii="仿宋_GB2312" w:eastAsia="仿宋_GB2312"/>
          <w:sz w:val="30"/>
          <w:szCs w:val="30"/>
          <w:highlight w:val="none"/>
        </w:rPr>
        <w:t>%。</w:t>
      </w:r>
    </w:p>
    <w:p w14:paraId="472D8DD2">
      <w:pPr>
        <w:widowControl/>
        <w:snapToGrid w:val="0"/>
        <w:spacing w:before="100" w:after="100" w:line="600" w:lineRule="exact"/>
        <w:ind w:firstLine="538"/>
        <w:jc w:val="left"/>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1394665.03</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4.72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1508189.03</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5.15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113524.00</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36.52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2025年进行工资标准调整，支付建设项目工程款，造成</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增加</w:t>
      </w:r>
      <w:r>
        <w:rPr>
          <w:rFonts w:hint="eastAsia" w:ascii="仿宋_GB2312" w:eastAsia="仿宋_GB2312"/>
          <w:color w:val="auto"/>
          <w:sz w:val="30"/>
          <w:szCs w:val="30"/>
          <w:highlight w:val="none"/>
        </w:rPr>
        <w:t>。</w:t>
      </w:r>
    </w:p>
    <w:p w14:paraId="143004DF">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19F207C9">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富民县教育体育局（本级）</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31037989.09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2688017.54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8.66</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28349971.55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91.34</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对附属单位补助支出。</w:t>
      </w:r>
    </w:p>
    <w:p w14:paraId="2E8A2781">
      <w:pPr>
        <w:spacing w:line="600" w:lineRule="exact"/>
        <w:ind w:firstLine="600" w:firstLineChars="200"/>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1471533.11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4.98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3090242.24</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53.48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lang w:val="zh-CN"/>
        </w:rPr>
        <w:t>4561775.35</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19.18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2025年进行工资标准调整，支付建设项目工程款，造成</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增加</w:t>
      </w:r>
      <w:r>
        <w:rPr>
          <w:rFonts w:hint="eastAsia" w:ascii="仿宋_GB2312" w:eastAsia="仿宋_GB2312"/>
          <w:color w:val="auto"/>
          <w:sz w:val="30"/>
          <w:szCs w:val="30"/>
          <w:highlight w:val="none"/>
        </w:rPr>
        <w:t>。</w:t>
      </w:r>
    </w:p>
    <w:p w14:paraId="28079ACA">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215C89FD">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富民县教育体育局（本级）</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2688017.54</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2533238.85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94.24</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154778.69</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5.76</w:t>
      </w:r>
      <w:r>
        <w:rPr>
          <w:rFonts w:hint="eastAsia" w:ascii="仿宋_GB2312" w:hAnsi="仿宋_GB2312" w:eastAsia="仿宋_GB2312" w:cs="仿宋_GB2312"/>
          <w:sz w:val="30"/>
          <w:szCs w:val="30"/>
          <w:highlight w:val="none"/>
        </w:rPr>
        <w:t>％。</w:t>
      </w:r>
    </w:p>
    <w:p w14:paraId="7080E346">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3322B983">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富民县教育体育局（本级）</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28349971.55</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0AE25B9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补充2018至2022年教育经费投入两个只增不减专项资金项目经费10748761.95元，主要用于购置教育设施设备，校舍、设施设备维修维护等，改善办学条件，促进教育教学质量不断提高。</w:t>
      </w:r>
    </w:p>
    <w:p w14:paraId="453A8531">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lang w:eastAsia="zh-CN"/>
        </w:rPr>
        <w:t>各级各类</w:t>
      </w:r>
      <w:r>
        <w:rPr>
          <w:rFonts w:hint="default" w:ascii="Times New Roman" w:hAnsi="Times New Roman" w:eastAsia="仿宋_GB2312" w:cs="Times New Roman"/>
          <w:color w:val="auto"/>
          <w:sz w:val="30"/>
          <w:szCs w:val="30"/>
          <w:highlight w:val="none"/>
        </w:rPr>
        <w:t>学生资助专项资金项目经费</w:t>
      </w:r>
      <w:r>
        <w:rPr>
          <w:rFonts w:hint="eastAsia" w:eastAsia="仿宋_GB2312" w:cs="Times New Roman"/>
          <w:color w:val="auto"/>
          <w:sz w:val="30"/>
          <w:szCs w:val="30"/>
          <w:highlight w:val="none"/>
          <w:lang w:val="en-US" w:eastAsia="zh-CN"/>
        </w:rPr>
        <w:t>764080</w:t>
      </w:r>
      <w:r>
        <w:rPr>
          <w:rFonts w:hint="default" w:ascii="Times New Roman" w:hAnsi="Times New Roman" w:eastAsia="仿宋_GB2312" w:cs="Times New Roman"/>
          <w:color w:val="auto"/>
          <w:sz w:val="30"/>
          <w:szCs w:val="30"/>
          <w:highlight w:val="none"/>
          <w:lang w:val="en-US" w:eastAsia="zh-CN"/>
        </w:rPr>
        <w:t>.00</w:t>
      </w:r>
      <w:r>
        <w:rPr>
          <w:rFonts w:hint="default" w:ascii="Times New Roman" w:hAnsi="Times New Roman" w:eastAsia="仿宋_GB2312" w:cs="Times New Roman"/>
          <w:color w:val="auto"/>
          <w:sz w:val="30"/>
          <w:szCs w:val="30"/>
          <w:highlight w:val="none"/>
        </w:rPr>
        <w:t>元，主要用于发放各学段学生资助资金，改善学生生活；</w:t>
      </w:r>
    </w:p>
    <w:p w14:paraId="5FEF469A">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公费师范生培养费县级配套资金</w:t>
      </w:r>
      <w:r>
        <w:rPr>
          <w:rFonts w:hint="default" w:ascii="Times New Roman" w:hAnsi="Times New Roman" w:eastAsia="仿宋_GB2312" w:cs="Times New Roman"/>
          <w:color w:val="auto"/>
          <w:sz w:val="30"/>
          <w:szCs w:val="30"/>
          <w:highlight w:val="none"/>
        </w:rPr>
        <w:t>项目经费</w:t>
      </w:r>
      <w:r>
        <w:rPr>
          <w:rFonts w:hint="eastAsia" w:eastAsia="仿宋_GB2312" w:cs="Times New Roman"/>
          <w:color w:val="auto"/>
          <w:sz w:val="30"/>
          <w:szCs w:val="30"/>
          <w:highlight w:val="none"/>
          <w:lang w:val="en-US" w:eastAsia="zh-CN"/>
        </w:rPr>
        <w:t>75300</w:t>
      </w:r>
      <w:r>
        <w:rPr>
          <w:rFonts w:hint="default" w:ascii="Times New Roman" w:hAnsi="Times New Roman" w:eastAsia="仿宋_GB2312" w:cs="Times New Roman"/>
          <w:color w:val="auto"/>
          <w:sz w:val="30"/>
          <w:szCs w:val="30"/>
          <w:highlight w:val="none"/>
          <w:lang w:val="en-US" w:eastAsia="zh-CN"/>
        </w:rPr>
        <w:t>.00</w:t>
      </w:r>
      <w:r>
        <w:rPr>
          <w:rFonts w:hint="default" w:ascii="Times New Roman" w:hAnsi="Times New Roman" w:eastAsia="仿宋_GB2312" w:cs="Times New Roman"/>
          <w:color w:val="auto"/>
          <w:sz w:val="30"/>
          <w:szCs w:val="30"/>
          <w:highlight w:val="none"/>
        </w:rPr>
        <w:t>元，主要用于公费师范生在校学习期间免除学费和住宿费，并给予生活补助</w:t>
      </w:r>
      <w:r>
        <w:rPr>
          <w:rFonts w:hint="eastAsia" w:eastAsia="仿宋_GB2312" w:cs="Times New Roman"/>
          <w:color w:val="auto"/>
          <w:sz w:val="30"/>
          <w:szCs w:val="30"/>
          <w:highlight w:val="none"/>
          <w:lang w:eastAsia="zh-CN"/>
        </w:rPr>
        <w:t>。</w:t>
      </w:r>
    </w:p>
    <w:p w14:paraId="133A594D">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53EE4717">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680D2794">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富民县教育体育局（本级）</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30587206.19</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98.55</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仿宋_GB2312" w:eastAsia="仿宋_GB2312" w:cs="仿宋_GB2312"/>
          <w:color w:val="auto"/>
          <w:kern w:val="0"/>
          <w:sz w:val="30"/>
          <w:lang w:val="zh-CN"/>
        </w:rPr>
        <w:t>1334750.21</w:t>
      </w:r>
      <w:r>
        <w:rPr>
          <w:rFonts w:hint="eastAsia" w:ascii="仿宋_GB2312" w:hAnsi="宋体" w:eastAsia="仿宋_GB2312" w:cs="Arial"/>
          <w:kern w:val="0"/>
          <w:sz w:val="30"/>
          <w:szCs w:val="30"/>
          <w:highlight w:val="none"/>
        </w:rPr>
        <w:t>元，增长</w:t>
      </w:r>
      <w:r>
        <w:rPr>
          <w:rFonts w:hint="eastAsia" w:ascii="仿宋_GB2312" w:hAnsi="仿宋_GB2312" w:eastAsia="仿宋_GB2312" w:cs="仿宋_GB2312"/>
          <w:color w:val="auto"/>
          <w:kern w:val="0"/>
          <w:sz w:val="30"/>
          <w:lang w:val="zh-CN"/>
        </w:rPr>
        <w:t>4.56</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27.27</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7627FB4E">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408D438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7E9C11B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6049643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339A0EB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656BFC1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29364063.84</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96.00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26.33</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主要用于保障富民县教育体育局</w:t>
      </w:r>
      <w:r>
        <w:rPr>
          <w:rFonts w:hint="eastAsia" w:ascii="仿宋_GB2312" w:hAnsi="宋体" w:eastAsia="仿宋_GB2312" w:cs="Arial"/>
          <w:kern w:val="0"/>
          <w:sz w:val="30"/>
          <w:szCs w:val="30"/>
          <w:highlight w:val="none"/>
          <w:lang w:eastAsia="zh-CN"/>
        </w:rPr>
        <w:t>（本级）</w:t>
      </w:r>
      <w:r>
        <w:rPr>
          <w:rFonts w:hint="eastAsia" w:ascii="仿宋_GB2312" w:hAnsi="宋体" w:eastAsia="仿宋_GB2312" w:cs="Arial"/>
          <w:kern w:val="0"/>
          <w:sz w:val="30"/>
          <w:szCs w:val="30"/>
          <w:highlight w:val="none"/>
        </w:rPr>
        <w:t>机关机构正常运转的日常支出和完成特定的行政工作任务或事业发展目标专项业务工作的经费支出。包含在职人员工资福利支出、各级各类学生资助、设施设备购置、教育部门公用经费等支出。造成预决算差异的主要原因是部分项目预算时纳入富民县教育体育局（本级）编制，执行过程中调整至富民县教育体育局下属其他预算单位执行；部分项目未达到支付条件，未实现支出。</w:t>
      </w:r>
    </w:p>
    <w:p w14:paraId="2ECBDA4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无支出</w:t>
      </w:r>
      <w:r>
        <w:rPr>
          <w:rFonts w:hint="eastAsia" w:ascii="仿宋_GB2312" w:hAnsi="宋体" w:eastAsia="仿宋_GB2312" w:cs="Arial"/>
          <w:kern w:val="0"/>
          <w:sz w:val="30"/>
          <w:szCs w:val="30"/>
          <w:highlight w:val="none"/>
          <w:lang w:eastAsia="zh-CN"/>
        </w:rPr>
        <w:t>。</w:t>
      </w:r>
    </w:p>
    <w:p w14:paraId="003F59A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无支出</w:t>
      </w:r>
      <w:r>
        <w:rPr>
          <w:rFonts w:hint="eastAsia" w:ascii="仿宋_GB2312" w:hAnsi="宋体" w:eastAsia="仿宋_GB2312" w:cs="Arial"/>
          <w:kern w:val="0"/>
          <w:sz w:val="30"/>
          <w:szCs w:val="30"/>
          <w:highlight w:val="none"/>
          <w:lang w:eastAsia="zh-CN"/>
        </w:rPr>
        <w:t>。</w:t>
      </w:r>
    </w:p>
    <w:p w14:paraId="329B306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878572.90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2.87</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380.41</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主要用于机关事业单位基本养老保险缴费、职业年金缴费、遗属补助、死亡抚恤等支出。造成预决算差异的主要原因是死亡抚恤金，未纳入年初预算，资金文件下达时增加预算</w:t>
      </w:r>
      <w:r>
        <w:rPr>
          <w:rFonts w:hint="eastAsia" w:ascii="仿宋_GB2312" w:hAnsi="宋体" w:eastAsia="仿宋_GB2312" w:cs="Arial"/>
          <w:kern w:val="0"/>
          <w:sz w:val="30"/>
          <w:szCs w:val="30"/>
          <w:highlight w:val="none"/>
          <w:lang w:eastAsia="zh-CN"/>
        </w:rPr>
        <w:t>。</w:t>
      </w:r>
    </w:p>
    <w:p w14:paraId="0D10662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205434.45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0.67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95.02</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主要用于行政事业单位医疗保险缴费、公务员医疗补助支出；</w:t>
      </w:r>
      <w:r>
        <w:rPr>
          <w:rFonts w:hint="eastAsia" w:ascii="仿宋_GB2312" w:hAnsi="宋体" w:eastAsia="仿宋_GB2312" w:cs="Arial"/>
          <w:kern w:val="0"/>
          <w:sz w:val="30"/>
          <w:szCs w:val="30"/>
          <w:highlight w:val="none"/>
          <w:lang w:eastAsia="zh-CN"/>
        </w:rPr>
        <w:t>造成预决算差异的主要原因是人员调动，导致实际支出与年初预算存在差异。</w:t>
      </w:r>
    </w:p>
    <w:p w14:paraId="13DE3D7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无支出。</w:t>
      </w:r>
    </w:p>
    <w:p w14:paraId="13C6AE3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24DE485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60E98F3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398F0A3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7D6DF2A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133986D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4C6001C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40B41C3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413C2DE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139135.00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0.45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102.93</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主要用于机关事业单位在职人员住房公积金支出；</w:t>
      </w:r>
      <w:r>
        <w:rPr>
          <w:rFonts w:hint="eastAsia" w:ascii="仿宋_GB2312" w:hAnsi="宋体" w:eastAsia="仿宋_GB2312" w:cs="Arial"/>
          <w:kern w:val="0"/>
          <w:sz w:val="30"/>
          <w:szCs w:val="30"/>
          <w:highlight w:val="none"/>
          <w:lang w:eastAsia="zh-CN"/>
        </w:rPr>
        <w:t>造成预决算差异的主要原因是人员调动，导致实际支出与年初预算存在差异。</w:t>
      </w:r>
    </w:p>
    <w:p w14:paraId="6EACD14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1408CF6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4D8BFE6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34D7B3C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5D6544E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743B0D1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0493B0E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无支出</w:t>
      </w:r>
      <w:r>
        <w:rPr>
          <w:rFonts w:hint="eastAsia" w:ascii="仿宋_GB2312" w:hAnsi="宋体" w:eastAsia="仿宋_GB2312" w:cs="Arial"/>
          <w:kern w:val="0"/>
          <w:sz w:val="30"/>
          <w:szCs w:val="30"/>
          <w:highlight w:val="none"/>
          <w:lang w:eastAsia="zh-CN"/>
        </w:rPr>
        <w:t>。</w:t>
      </w:r>
    </w:p>
    <w:p w14:paraId="24B41452">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78178E4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4D9C6D6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lang w:val="en-US" w:eastAsia="zh-CN"/>
        </w:rPr>
        <w:t>2025年度</w:t>
      </w:r>
      <w:r>
        <w:rPr>
          <w:rFonts w:hint="eastAsia" w:ascii="仿宋_GB2312" w:hAnsi="宋体" w:eastAsia="仿宋_GB2312" w:cs="Arial"/>
          <w:color w:val="auto"/>
          <w:kern w:val="0"/>
          <w:sz w:val="30"/>
          <w:szCs w:val="30"/>
          <w:highlight w:val="none"/>
        </w:rPr>
        <w:t>财政拨款“三公”经费支出决算中，财政拨款“三公”经费支出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kern w:val="0"/>
          <w:sz w:val="30"/>
          <w:lang w:val="en-US" w:eastAsia="zh-CN"/>
        </w:rPr>
        <w:t>16500.00</w:t>
      </w:r>
      <w:r>
        <w:rPr>
          <w:rFonts w:hint="eastAsia" w:ascii="仿宋_GB2312" w:hAnsi="宋体" w:eastAsia="仿宋_GB2312" w:cs="Arial"/>
          <w:color w:val="auto"/>
          <w:kern w:val="0"/>
          <w:sz w:val="30"/>
          <w:szCs w:val="30"/>
          <w:highlight w:val="none"/>
        </w:rPr>
        <w:t>元，决算为</w:t>
      </w:r>
      <w:r>
        <w:rPr>
          <w:rFonts w:hint="eastAsia" w:ascii="仿宋_GB2312" w:hAnsi="仿宋_GB2312" w:eastAsia="仿宋_GB2312" w:cs="仿宋_GB2312"/>
          <w:color w:val="auto"/>
          <w:sz w:val="30"/>
          <w:lang w:val="zh-CN"/>
        </w:rPr>
        <w:t>12000.00</w:t>
      </w:r>
      <w:r>
        <w:rPr>
          <w:rFonts w:hint="eastAsia" w:ascii="仿宋_GB2312" w:hAnsi="宋体" w:eastAsia="仿宋_GB2312" w:cs="Arial"/>
          <w:color w:val="auto"/>
          <w:kern w:val="0"/>
          <w:sz w:val="30"/>
          <w:szCs w:val="30"/>
          <w:highlight w:val="none"/>
        </w:rPr>
        <w:t>元，完成</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预算的</w:t>
      </w:r>
      <w:r>
        <w:rPr>
          <w:rFonts w:hint="eastAsia" w:ascii="仿宋_GB2312" w:hAnsi="仿宋_GB2312" w:eastAsia="仿宋_GB2312" w:cs="仿宋_GB2312"/>
          <w:color w:val="auto"/>
          <w:sz w:val="30"/>
          <w:lang w:val="zh-CN"/>
        </w:rPr>
        <w:t>72.73</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139.82</w:t>
      </w:r>
      <w:r>
        <w:rPr>
          <w:rFonts w:hint="eastAsia" w:ascii="仿宋_GB2312" w:hAnsi="宋体" w:eastAsia="仿宋_GB2312" w:cs="Arial"/>
          <w:color w:val="auto"/>
          <w:kern w:val="0"/>
          <w:sz w:val="30"/>
          <w:szCs w:val="30"/>
          <w:highlight w:val="none"/>
          <w:lang w:val="en-US" w:eastAsia="zh-CN"/>
        </w:rPr>
        <w:t>元，增长</w:t>
      </w:r>
      <w:r>
        <w:rPr>
          <w:rFonts w:hint="eastAsia" w:ascii="仿宋_GB2312" w:hAnsi="仿宋_GB2312" w:eastAsia="仿宋_GB2312" w:cs="仿宋_GB2312"/>
          <w:color w:val="auto"/>
          <w:sz w:val="30"/>
          <w:lang w:val="zh-CN"/>
        </w:rPr>
        <w:t>1.18</w:t>
      </w:r>
      <w:r>
        <w:rPr>
          <w:rFonts w:hint="eastAsia" w:ascii="仿宋_GB2312" w:hAnsi="宋体" w:eastAsia="仿宋_GB2312" w:cs="Arial"/>
          <w:color w:val="auto"/>
          <w:kern w:val="0"/>
          <w:sz w:val="30"/>
          <w:szCs w:val="30"/>
          <w:highlight w:val="none"/>
          <w:lang w:val="en-US" w:eastAsia="zh-CN"/>
        </w:rPr>
        <w:t>%</w:t>
      </w:r>
      <w:r>
        <w:rPr>
          <w:rFonts w:hint="eastAsia" w:ascii="仿宋_GB2312" w:eastAsia="仿宋_GB2312"/>
          <w:color w:val="auto"/>
          <w:sz w:val="30"/>
          <w:szCs w:val="30"/>
          <w:lang w:eastAsia="zh-CN"/>
        </w:rPr>
        <w:t>。</w:t>
      </w:r>
    </w:p>
    <w:p w14:paraId="75000FB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rPr>
        <w:t>因公出国（境）费</w:t>
      </w:r>
      <w:r>
        <w:rPr>
          <w:rFonts w:hint="eastAsia" w:ascii="仿宋_GB2312" w:hAnsi="宋体" w:eastAsia="仿宋_GB2312" w:cs="Arial"/>
          <w:color w:val="auto"/>
          <w:kern w:val="0"/>
          <w:sz w:val="30"/>
          <w:szCs w:val="30"/>
          <w:highlight w:val="none"/>
          <w:lang w:val="en-US" w:eastAsia="zh-CN"/>
        </w:rPr>
        <w:t>用用</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%；公务用车购置费支出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；公务用车</w:t>
      </w:r>
      <w:r>
        <w:rPr>
          <w:rFonts w:hint="eastAsia" w:ascii="仿宋_GB2312" w:hAnsi="宋体" w:eastAsia="仿宋_GB2312" w:cs="Arial"/>
          <w:color w:val="auto"/>
          <w:kern w:val="0"/>
          <w:sz w:val="30"/>
          <w:szCs w:val="30"/>
          <w:highlight w:val="none"/>
          <w:lang w:eastAsia="zh-CN"/>
        </w:rPr>
        <w:t>运行维护</w:t>
      </w:r>
      <w:r>
        <w:rPr>
          <w:rFonts w:hint="eastAsia" w:ascii="仿宋_GB2312" w:hAnsi="宋体" w:eastAsia="仿宋_GB2312" w:cs="Arial"/>
          <w:color w:val="auto"/>
          <w:kern w:val="0"/>
          <w:sz w:val="30"/>
          <w:szCs w:val="30"/>
          <w:highlight w:val="none"/>
        </w:rPr>
        <w:t>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12000.00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12000.00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100.00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，完成年初预算的</w:t>
      </w:r>
      <w:r>
        <w:rPr>
          <w:rFonts w:hint="eastAsia" w:ascii="仿宋_GB2312" w:hAnsi="仿宋_GB2312" w:eastAsia="仿宋_GB2312" w:cs="仿宋_GB2312"/>
          <w:color w:val="auto"/>
          <w:sz w:val="30"/>
          <w:lang w:val="zh-CN"/>
        </w:rPr>
        <w:t>100.00</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rPr>
        <w:t>公务接待费支出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4500.00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w:t>
      </w:r>
      <w:r>
        <w:rPr>
          <w:rFonts w:hint="eastAsia" w:ascii="仿宋_GB2312" w:hAnsi="宋体" w:eastAsia="仿宋_GB2312" w:cs="Arial"/>
          <w:color w:val="auto"/>
          <w:kern w:val="0"/>
          <w:sz w:val="30"/>
          <w:szCs w:val="30"/>
          <w:highlight w:val="none"/>
          <w:lang w:eastAsia="zh-CN"/>
        </w:rPr>
        <w:t>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，完成年初预算的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w:t>
      </w:r>
    </w:p>
    <w:p w14:paraId="01EBE27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公务用车购置费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139.82</w:t>
      </w:r>
      <w:r>
        <w:rPr>
          <w:rFonts w:hint="eastAsia" w:ascii="仿宋_GB2312" w:hAnsi="宋体" w:eastAsia="仿宋_GB2312" w:cs="Arial"/>
          <w:color w:val="auto"/>
          <w:kern w:val="0"/>
          <w:sz w:val="30"/>
          <w:szCs w:val="30"/>
          <w:highlight w:val="none"/>
          <w:lang w:val="en-US" w:eastAsia="zh-CN"/>
        </w:rPr>
        <w:t>元，增长</w:t>
      </w:r>
      <w:r>
        <w:rPr>
          <w:rFonts w:hint="eastAsia" w:ascii="仿宋_GB2312" w:hAnsi="仿宋_GB2312" w:eastAsia="仿宋_GB2312" w:cs="仿宋_GB2312"/>
          <w:color w:val="auto"/>
          <w:sz w:val="30"/>
          <w:lang w:val="zh-CN"/>
        </w:rPr>
        <w:t>1.18</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公务接待费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eastAsia="仿宋_GB2312"/>
          <w:color w:val="auto"/>
          <w:sz w:val="30"/>
          <w:szCs w:val="30"/>
          <w:lang w:eastAsia="zh-CN"/>
        </w:rPr>
        <w:t>；</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14:paraId="08D50A1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color w:val="auto"/>
          <w:kern w:val="0"/>
          <w:sz w:val="30"/>
          <w:szCs w:val="30"/>
          <w:highlight w:val="none"/>
          <w:lang w:val="en-US" w:eastAsia="zh-CN"/>
        </w:rPr>
        <w:t>（二）一般公共预算财政拨款“三公”经费支出决算情况说明</w:t>
      </w:r>
    </w:p>
    <w:p w14:paraId="7DC9E0B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一般公共预算财政拨款“三公”经费支出</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en-US" w:eastAsia="zh-CN"/>
        </w:rPr>
        <w:t>16500</w:t>
      </w:r>
      <w:r>
        <w:rPr>
          <w:rFonts w:hint="eastAsia" w:ascii="仿宋_GB2312" w:hAnsi="仿宋_GB2312" w:eastAsia="仿宋_GB2312" w:cs="仿宋_GB2312"/>
          <w:color w:val="auto"/>
          <w:sz w:val="30"/>
          <w:lang w:val="zh-CN"/>
        </w:rPr>
        <w:t>.00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，支出决算为</w:t>
      </w:r>
      <w:r>
        <w:rPr>
          <w:rFonts w:hint="eastAsia" w:ascii="仿宋_GB2312" w:hAnsi="仿宋_GB2312" w:eastAsia="仿宋_GB2312" w:cs="仿宋_GB2312"/>
          <w:color w:val="auto"/>
          <w:sz w:val="30"/>
          <w:lang w:val="zh-CN"/>
        </w:rPr>
        <w:t>12000.00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，完成</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预算的</w:t>
      </w:r>
      <w:r>
        <w:rPr>
          <w:rFonts w:hint="eastAsia" w:ascii="仿宋_GB2312" w:hAnsi="仿宋_GB2312" w:eastAsia="仿宋_GB2312" w:cs="仿宋_GB2312"/>
          <w:color w:val="auto"/>
          <w:sz w:val="30"/>
          <w:lang w:val="en-US" w:eastAsia="zh-CN"/>
        </w:rPr>
        <w:t>72.73</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139.82</w:t>
      </w:r>
      <w:r>
        <w:rPr>
          <w:rFonts w:hint="eastAsia" w:ascii="仿宋_GB2312" w:hAnsi="宋体" w:eastAsia="仿宋_GB2312" w:cs="Arial"/>
          <w:color w:val="auto"/>
          <w:kern w:val="0"/>
          <w:sz w:val="30"/>
          <w:szCs w:val="30"/>
          <w:highlight w:val="none"/>
          <w:lang w:val="en-US" w:eastAsia="zh-CN"/>
        </w:rPr>
        <w:t>元，增长</w:t>
      </w:r>
      <w:r>
        <w:rPr>
          <w:rFonts w:hint="eastAsia" w:ascii="仿宋_GB2312" w:hAnsi="仿宋_GB2312" w:eastAsia="仿宋_GB2312" w:cs="仿宋_GB2312"/>
          <w:color w:val="auto"/>
          <w:sz w:val="30"/>
          <w:lang w:val="zh-CN"/>
        </w:rPr>
        <w:t>1.18</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lang w:eastAsia="zh-CN"/>
        </w:rPr>
        <w:t>。</w:t>
      </w:r>
    </w:p>
    <w:p w14:paraId="3C1BC314">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eastAsia="仿宋_GB2312"/>
          <w:color w:val="auto"/>
          <w:sz w:val="30"/>
          <w:szCs w:val="30"/>
          <w:highlight w:val="none"/>
        </w:rPr>
        <w:t>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；公务用车购置费支出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12000.00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12000.00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，完成</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预算的</w:t>
      </w:r>
      <w:r>
        <w:rPr>
          <w:rFonts w:hint="eastAsia" w:ascii="仿宋_GB2312" w:hAnsi="仿宋_GB2312" w:eastAsia="仿宋_GB2312" w:cs="仿宋_GB2312"/>
          <w:color w:val="auto"/>
          <w:sz w:val="30"/>
          <w:lang w:val="zh-CN"/>
        </w:rPr>
        <w:t>100.00</w:t>
      </w:r>
      <w:r>
        <w:rPr>
          <w:rFonts w:hint="eastAsia" w:ascii="仿宋_GB2312" w:eastAsia="仿宋_GB2312"/>
          <w:color w:val="auto"/>
          <w:sz w:val="30"/>
          <w:szCs w:val="30"/>
          <w:highlight w:val="none"/>
        </w:rPr>
        <w:t>%；公务接待费支出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eastAsia="仿宋_GB2312"/>
          <w:color w:val="auto"/>
          <w:sz w:val="30"/>
          <w:szCs w:val="30"/>
          <w:highlight w:val="none"/>
          <w:lang w:val="en-US" w:eastAsia="zh-CN"/>
        </w:rPr>
        <w:t>450</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，完成</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预算的</w:t>
      </w:r>
      <w:r>
        <w:rPr>
          <w:rFonts w:hint="eastAsia" w:ascii="仿宋_GB2312" w:eastAsia="仿宋_GB2312"/>
          <w:color w:val="auto"/>
          <w:sz w:val="30"/>
          <w:szCs w:val="30"/>
          <w:highlight w:val="none"/>
          <w:lang w:val="en-US" w:eastAsia="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一般公共预算财政拨款“三公”经费支出决算数小于</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预算数的主要原因</w:t>
      </w:r>
      <w:r>
        <w:rPr>
          <w:rFonts w:hint="eastAsia" w:ascii="仿宋_GB2312" w:eastAsia="仿宋_GB2312"/>
          <w:color w:val="auto"/>
          <w:sz w:val="30"/>
          <w:szCs w:val="30"/>
          <w:highlight w:val="none"/>
          <w:lang w:eastAsia="zh-CN"/>
        </w:rPr>
        <w:t>是</w:t>
      </w:r>
      <w:r>
        <w:rPr>
          <w:rFonts w:hint="eastAsia" w:ascii="仿宋_GB2312" w:eastAsia="仿宋_GB2312"/>
          <w:color w:val="auto"/>
          <w:sz w:val="30"/>
          <w:szCs w:val="30"/>
          <w:highlight w:val="none"/>
          <w:lang w:val="en-US" w:eastAsia="zh-CN"/>
        </w:rPr>
        <w:t>2025年度我单位为发生公务接待费</w:t>
      </w:r>
      <w:r>
        <w:rPr>
          <w:rFonts w:hint="eastAsia" w:ascii="仿宋_GB2312" w:eastAsia="仿宋_GB2312"/>
          <w:color w:val="auto"/>
          <w:sz w:val="30"/>
          <w:szCs w:val="30"/>
          <w:highlight w:val="none"/>
        </w:rPr>
        <w:t>。</w:t>
      </w:r>
    </w:p>
    <w:p w14:paraId="4BF589A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eastAsia="仿宋_GB2312"/>
          <w:color w:val="auto"/>
          <w:sz w:val="30"/>
          <w:szCs w:val="30"/>
          <w:highlight w:val="none"/>
        </w:rPr>
        <w:t>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；公务用车购置费支出决算增加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支出决算增加</w:t>
      </w:r>
      <w:r>
        <w:rPr>
          <w:rFonts w:hint="eastAsia" w:ascii="仿宋_GB2312" w:hAnsi="仿宋_GB2312" w:eastAsia="仿宋_GB2312" w:cs="仿宋_GB2312"/>
          <w:color w:val="auto"/>
          <w:sz w:val="30"/>
          <w:lang w:val="zh-CN"/>
        </w:rPr>
        <w:t>139.82</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，增长</w:t>
      </w:r>
      <w:r>
        <w:rPr>
          <w:rFonts w:hint="eastAsia" w:ascii="仿宋_GB2312" w:hAnsi="仿宋_GB2312" w:eastAsia="仿宋_GB2312" w:cs="仿宋_GB2312"/>
          <w:color w:val="auto"/>
          <w:sz w:val="30"/>
          <w:lang w:val="zh-CN"/>
        </w:rPr>
        <w:t>1.18</w:t>
      </w:r>
      <w:r>
        <w:rPr>
          <w:rFonts w:hint="eastAsia" w:ascii="仿宋_GB2312" w:eastAsia="仿宋_GB2312"/>
          <w:color w:val="auto"/>
          <w:sz w:val="30"/>
          <w:szCs w:val="30"/>
          <w:highlight w:val="none"/>
        </w:rPr>
        <w:t>%；公务接待费支出决算增加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宋体" w:eastAsia="仿宋_GB2312" w:cs="Arial"/>
          <w:color w:val="auto"/>
          <w:kern w:val="0"/>
          <w:sz w:val="30"/>
          <w:szCs w:val="30"/>
          <w:highlight w:val="none"/>
          <w:lang w:val="en-US" w:eastAsia="zh-CN"/>
        </w:rPr>
        <w:t>0.00元，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宋体" w:eastAsia="仿宋_GB2312" w:cs="Arial"/>
          <w:color w:val="auto"/>
          <w:kern w:val="0"/>
          <w:sz w:val="30"/>
          <w:szCs w:val="30"/>
          <w:highlight w:val="none"/>
          <w:lang w:val="en-US" w:eastAsia="zh-CN"/>
        </w:rPr>
        <w:t>0.00元，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一般公共预算财政拨款“三公”经费支出决算增加的主要原因</w:t>
      </w:r>
      <w:r>
        <w:rPr>
          <w:rFonts w:hint="eastAsia" w:ascii="仿宋_GB2312" w:eastAsia="仿宋_GB2312"/>
          <w:color w:val="auto"/>
          <w:sz w:val="30"/>
          <w:szCs w:val="30"/>
          <w:highlight w:val="none"/>
          <w:lang w:eastAsia="zh-CN"/>
        </w:rPr>
        <w:t>是我单位公务车购置于2005年，车辆老化，油耗和维修维护费用增加。</w:t>
      </w:r>
    </w:p>
    <w:p w14:paraId="53A93DD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实物量的</w:t>
      </w:r>
      <w:r>
        <w:rPr>
          <w:rFonts w:hint="eastAsia" w:ascii="仿宋_GB2312" w:eastAsia="仿宋_GB2312"/>
          <w:color w:val="auto"/>
          <w:sz w:val="30"/>
          <w:szCs w:val="30"/>
          <w:highlight w:val="none"/>
        </w:rPr>
        <w:t>具体情况</w:t>
      </w:r>
      <w:r>
        <w:rPr>
          <w:rFonts w:hint="eastAsia" w:ascii="仿宋_GB2312" w:eastAsia="仿宋_GB2312"/>
          <w:color w:val="auto"/>
          <w:sz w:val="30"/>
          <w:szCs w:val="30"/>
          <w:highlight w:val="none"/>
          <w:lang w:eastAsia="zh-CN"/>
        </w:rPr>
        <w:t>：</w:t>
      </w:r>
    </w:p>
    <w:p w14:paraId="7D0A5579">
      <w:pPr>
        <w:widowControl/>
        <w:snapToGrid w:val="0"/>
        <w:spacing w:before="100" w:after="100" w:line="360" w:lineRule="auto"/>
        <w:ind w:firstLine="600" w:firstLineChars="200"/>
        <w:jc w:val="left"/>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rPr>
        <w:t>1.安排因公出国（境）团组</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个，累计</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人次。</w:t>
      </w:r>
    </w:p>
    <w:p w14:paraId="497D6A1E">
      <w:pPr>
        <w:widowControl/>
        <w:snapToGrid w:val="0"/>
        <w:spacing w:before="100" w:after="100" w:line="360" w:lineRule="auto"/>
        <w:ind w:firstLine="600" w:firstLineChars="200"/>
        <w:jc w:val="left"/>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rPr>
        <w:t>2.购置车辆</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辆。开支一般公共预算财政拨款的公务用车保有量为</w:t>
      </w:r>
      <w:r>
        <w:rPr>
          <w:rFonts w:hint="eastAsia" w:ascii="仿宋_GB2312" w:hAnsi="仿宋_GB2312" w:eastAsia="仿宋_GB2312" w:cs="仿宋_GB2312"/>
          <w:color w:val="auto"/>
          <w:sz w:val="30"/>
          <w:lang w:val="en-US" w:eastAsia="zh-CN"/>
        </w:rPr>
        <w:t>1</w:t>
      </w:r>
      <w:r>
        <w:rPr>
          <w:rFonts w:hint="eastAsia" w:ascii="仿宋_GB2312" w:eastAsia="仿宋_GB2312"/>
          <w:b w:val="0"/>
          <w:bCs/>
          <w:color w:val="auto"/>
          <w:sz w:val="30"/>
          <w:szCs w:val="30"/>
          <w:highlight w:val="none"/>
        </w:rPr>
        <w:t>辆。主要用于富民县教育体育局（本级）因公出行所需车辆燃料费、维修费、过路过桥费、保险费等。</w:t>
      </w:r>
    </w:p>
    <w:p w14:paraId="002CBC27">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14:paraId="236560A7">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2D2D4EC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lang w:eastAsia="zh-CN"/>
        </w:rPr>
        <w:t>不存在需要说明的事项。</w:t>
      </w:r>
    </w:p>
    <w:p w14:paraId="30CFAD04">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p>
    <w:p w14:paraId="42F10380">
      <w:pPr>
        <w:widowControl/>
        <w:snapToGrid w:val="0"/>
        <w:spacing w:before="100" w:after="100" w:line="360" w:lineRule="auto"/>
        <w:ind w:firstLine="640" w:firstLineChars="200"/>
        <w:jc w:val="center"/>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53A5D148">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3ED20892">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富民县教育体育局（本级）</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154778.69</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减少</w:t>
      </w:r>
      <w:r>
        <w:rPr>
          <w:rFonts w:hint="eastAsia" w:ascii="仿宋_GB2312" w:hAnsi="仿宋_GB2312" w:eastAsia="仿宋_GB2312" w:cs="仿宋_GB2312"/>
          <w:color w:val="auto"/>
          <w:sz w:val="30"/>
          <w:lang w:val="en-US" w:eastAsia="zh-CN"/>
        </w:rPr>
        <w:t>2456593.99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，下降</w:t>
      </w:r>
      <w:r>
        <w:rPr>
          <w:rFonts w:hint="eastAsia" w:ascii="仿宋_GB2312" w:hAnsi="仿宋_GB2312" w:eastAsia="仿宋_GB2312" w:cs="仿宋_GB2312"/>
          <w:color w:val="000000"/>
          <w:sz w:val="30"/>
          <w:lang w:val="zh-CN"/>
        </w:rPr>
        <w:t>94.07</w:t>
      </w:r>
      <w:r>
        <w:rPr>
          <w:rFonts w:hint="eastAsia" w:ascii="仿宋_GB2312" w:eastAsia="仿宋_GB2312"/>
          <w:sz w:val="30"/>
          <w:szCs w:val="30"/>
          <w:highlight w:val="none"/>
        </w:rPr>
        <w:t>%</w:t>
      </w:r>
      <w:r>
        <w:rPr>
          <w:rFonts w:hint="eastAsia" w:ascii="仿宋_GB2312" w:hAnsi="黑体" w:eastAsia="仿宋_GB2312" w:cs="方正小标宋简体"/>
          <w:sz w:val="30"/>
          <w:szCs w:val="30"/>
          <w:highlight w:val="none"/>
        </w:rPr>
        <w:t>,主要原因</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全县中小学食堂临时工劳务费，2024年计入基本支出的机关运行经费，2025年列入项目支出。</w:t>
      </w:r>
      <w:r>
        <w:rPr>
          <w:rFonts w:hint="eastAsia" w:ascii="仿宋_GB2312" w:hAnsi="黑体" w:eastAsia="仿宋_GB2312" w:cs="方正小标宋简体"/>
          <w:sz w:val="30"/>
          <w:szCs w:val="30"/>
          <w:highlight w:val="none"/>
          <w:lang w:eastAsia="zh-CN"/>
        </w:rPr>
        <w:t>单位</w:t>
      </w:r>
      <w:r>
        <w:rPr>
          <w:rFonts w:hint="eastAsia" w:ascii="仿宋_GB2312" w:hAnsi="黑体" w:eastAsia="仿宋_GB2312" w:cs="方正小标宋简体"/>
          <w:sz w:val="30"/>
          <w:szCs w:val="30"/>
          <w:highlight w:val="none"/>
        </w:rPr>
        <w:t>机关运行经费主要用于维持富民县教育体育局（本级）正常运转产生的费用（其中：办公费2984.80元，邮电费7514.24元，差旅费7483.00元，工会经费12000.00元，公务用车运行维护费12000.00元，其他交通费96630.00元，其他商品服务支出（残疾人就业保障金）16166.65元）。</w:t>
      </w:r>
    </w:p>
    <w:p w14:paraId="427CA5F6">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258E21A8">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富民县教育体育局（本级）</w:t>
      </w:r>
      <w:r>
        <w:rPr>
          <w:rFonts w:hint="eastAsia" w:ascii="仿宋_GB2312" w:hAnsi="仿宋_GB2312" w:eastAsia="仿宋_GB2312" w:cs="仿宋_GB2312"/>
          <w:sz w:val="30"/>
          <w:szCs w:val="30"/>
          <w:highlight w:val="none"/>
          <w:lang w:eastAsia="zh-CN"/>
        </w:rPr>
        <w:t>资产总额13,225,288.03元，其中，流动资产12,682,279.04元，固定资产535,489.60元（净值），对外投资及有价证券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元，无形资产7519.39元（净值），其他资产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黑体" w:eastAsia="仿宋_GB2312" w:cs="方正小标宋简体"/>
          <w:color w:val="000000"/>
          <w:kern w:val="0"/>
          <w:sz w:val="30"/>
          <w:szCs w:val="30"/>
          <w:highlight w:val="none"/>
          <w:lang w:val="en-US" w:eastAsia="zh-CN"/>
        </w:rPr>
        <w:t>326416.33</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w:t>
      </w:r>
      <w:r>
        <w:rPr>
          <w:rFonts w:hint="eastAsia" w:ascii="仿宋_GB2312" w:hAnsi="黑体" w:eastAsia="仿宋_GB2312" w:cs="方正小标宋简体"/>
          <w:color w:val="000000"/>
          <w:kern w:val="0"/>
          <w:sz w:val="30"/>
          <w:szCs w:val="30"/>
          <w:highlight w:val="none"/>
          <w:lang w:eastAsia="zh-CN"/>
        </w:rPr>
        <w:t>（净值）</w:t>
      </w:r>
      <w:r>
        <w:rPr>
          <w:rFonts w:hint="eastAsia" w:ascii="仿宋_GB2312" w:hAnsi="黑体" w:eastAsia="仿宋_GB2312" w:cs="方正小标宋简体"/>
          <w:color w:val="000000"/>
          <w:kern w:val="0"/>
          <w:sz w:val="30"/>
          <w:szCs w:val="30"/>
          <w:highlight w:val="none"/>
        </w:rPr>
        <w:t>减少</w:t>
      </w:r>
      <w:r>
        <w:rPr>
          <w:rFonts w:hint="eastAsia" w:ascii="仿宋_GB2312" w:hAnsi="黑体" w:eastAsia="仿宋_GB2312" w:cs="方正小标宋简体"/>
          <w:color w:val="000000"/>
          <w:kern w:val="0"/>
          <w:sz w:val="30"/>
          <w:szCs w:val="30"/>
          <w:highlight w:val="none"/>
          <w:lang w:val="en-US" w:eastAsia="zh-CN"/>
        </w:rPr>
        <w:t>6092.89</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6553C1BF">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14:paraId="10B67C39">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134CC963">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9028921.31</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90847.80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3335617.61</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5602455.90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670C090F">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4DBF6FF5">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02F0DB5C">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4D7E6415">
      <w:pPr>
        <w:ind w:firstLine="600" w:firstLineChars="200"/>
        <w:jc w:val="left"/>
        <w:rPr>
          <w:rFonts w:hint="eastAsia" w:ascii="仿宋_GB2312" w:hAnsi="黑体" w:eastAsia="仿宋_GB2312" w:cs="方正小标宋简体"/>
          <w:color w:val="FF0000"/>
          <w:sz w:val="30"/>
          <w:szCs w:val="30"/>
          <w:highlight w:val="none"/>
        </w:rPr>
      </w:pPr>
      <w:r>
        <w:rPr>
          <w:rFonts w:hint="eastAsia" w:ascii="仿宋_GB2312" w:hAnsi="黑体" w:eastAsia="仿宋_GB2312" w:cs="方正小标宋简体"/>
          <w:sz w:val="30"/>
          <w:szCs w:val="30"/>
          <w:highlight w:val="none"/>
        </w:rPr>
        <w:t>本单位本年度无其他重要事项情况说明。</w:t>
      </w:r>
    </w:p>
    <w:p w14:paraId="6BB3BA63">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7F5E95D5">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6A9C2DC7">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7E0A21A7">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78299414">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7383B030">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39D229E2">
      <w:pPr>
        <w:ind w:firstLine="600" w:firstLineChars="200"/>
        <w:jc w:val="left"/>
        <w:rPr>
          <w:highlight w:val="none"/>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0C19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0DE590C">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70DE590C">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79149">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13A48C9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D7BD5">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A058C"/>
    <w:rsid w:val="00F9432B"/>
    <w:rsid w:val="01D45911"/>
    <w:rsid w:val="02510197"/>
    <w:rsid w:val="02816CCE"/>
    <w:rsid w:val="02EB4148"/>
    <w:rsid w:val="03822CFE"/>
    <w:rsid w:val="03B933C5"/>
    <w:rsid w:val="03D03ADB"/>
    <w:rsid w:val="04651CD8"/>
    <w:rsid w:val="05161452"/>
    <w:rsid w:val="05B60A3D"/>
    <w:rsid w:val="064F7E3A"/>
    <w:rsid w:val="08122176"/>
    <w:rsid w:val="0854453D"/>
    <w:rsid w:val="09903C9B"/>
    <w:rsid w:val="099948FD"/>
    <w:rsid w:val="0A07231E"/>
    <w:rsid w:val="0A9926DB"/>
    <w:rsid w:val="0AEC6CAF"/>
    <w:rsid w:val="0B214B2D"/>
    <w:rsid w:val="0CB35CD6"/>
    <w:rsid w:val="0D444B80"/>
    <w:rsid w:val="0F072309"/>
    <w:rsid w:val="10947A13"/>
    <w:rsid w:val="110F1949"/>
    <w:rsid w:val="11AA3420"/>
    <w:rsid w:val="12525F91"/>
    <w:rsid w:val="12BE3627"/>
    <w:rsid w:val="139A199E"/>
    <w:rsid w:val="17F83137"/>
    <w:rsid w:val="1DB01DBE"/>
    <w:rsid w:val="20541126"/>
    <w:rsid w:val="21CE6CB6"/>
    <w:rsid w:val="221E19EC"/>
    <w:rsid w:val="237815D0"/>
    <w:rsid w:val="240B41F2"/>
    <w:rsid w:val="261A696E"/>
    <w:rsid w:val="26A1499A"/>
    <w:rsid w:val="274912B9"/>
    <w:rsid w:val="277F117F"/>
    <w:rsid w:val="2846765D"/>
    <w:rsid w:val="28B704A4"/>
    <w:rsid w:val="29864B95"/>
    <w:rsid w:val="29BB5D72"/>
    <w:rsid w:val="29BF4DCB"/>
    <w:rsid w:val="29C15A7E"/>
    <w:rsid w:val="2A7725E1"/>
    <w:rsid w:val="2D99286E"/>
    <w:rsid w:val="2ED22DBE"/>
    <w:rsid w:val="2FC736C3"/>
    <w:rsid w:val="2FCF2577"/>
    <w:rsid w:val="311A1F18"/>
    <w:rsid w:val="314F3970"/>
    <w:rsid w:val="331A1D5C"/>
    <w:rsid w:val="3328091C"/>
    <w:rsid w:val="35675000"/>
    <w:rsid w:val="3583008C"/>
    <w:rsid w:val="360D204B"/>
    <w:rsid w:val="37B207B5"/>
    <w:rsid w:val="37B502A5"/>
    <w:rsid w:val="3A1A0893"/>
    <w:rsid w:val="3A604729"/>
    <w:rsid w:val="3AC56A51"/>
    <w:rsid w:val="3B31058A"/>
    <w:rsid w:val="3B4200A1"/>
    <w:rsid w:val="3CB925E5"/>
    <w:rsid w:val="3D52414F"/>
    <w:rsid w:val="3E815385"/>
    <w:rsid w:val="3E840A1E"/>
    <w:rsid w:val="3EFD0EAF"/>
    <w:rsid w:val="41FB71FC"/>
    <w:rsid w:val="432B1D63"/>
    <w:rsid w:val="45153254"/>
    <w:rsid w:val="466B2BA2"/>
    <w:rsid w:val="46827EEC"/>
    <w:rsid w:val="46C2653A"/>
    <w:rsid w:val="479A3013"/>
    <w:rsid w:val="48335942"/>
    <w:rsid w:val="489D2DBB"/>
    <w:rsid w:val="49351245"/>
    <w:rsid w:val="49DC7913"/>
    <w:rsid w:val="4BED22AB"/>
    <w:rsid w:val="4C39729F"/>
    <w:rsid w:val="4D16313C"/>
    <w:rsid w:val="4D951248"/>
    <w:rsid w:val="4DA42E3E"/>
    <w:rsid w:val="4EF676C9"/>
    <w:rsid w:val="4F813436"/>
    <w:rsid w:val="4FF9121F"/>
    <w:rsid w:val="50753279"/>
    <w:rsid w:val="50E7376D"/>
    <w:rsid w:val="51D6733E"/>
    <w:rsid w:val="52F45CCD"/>
    <w:rsid w:val="536F35A6"/>
    <w:rsid w:val="53B13BBE"/>
    <w:rsid w:val="5444625D"/>
    <w:rsid w:val="5455279C"/>
    <w:rsid w:val="55943798"/>
    <w:rsid w:val="56352885"/>
    <w:rsid w:val="579B1608"/>
    <w:rsid w:val="580E7831"/>
    <w:rsid w:val="58354DBE"/>
    <w:rsid w:val="58D565A1"/>
    <w:rsid w:val="59605E6B"/>
    <w:rsid w:val="59F760A3"/>
    <w:rsid w:val="5B58092E"/>
    <w:rsid w:val="5CC93D27"/>
    <w:rsid w:val="624A3B5C"/>
    <w:rsid w:val="62CE653B"/>
    <w:rsid w:val="64AA6B34"/>
    <w:rsid w:val="66911D59"/>
    <w:rsid w:val="671F55B7"/>
    <w:rsid w:val="674943E2"/>
    <w:rsid w:val="677B0314"/>
    <w:rsid w:val="689618A9"/>
    <w:rsid w:val="68BB30BE"/>
    <w:rsid w:val="6A2C3B47"/>
    <w:rsid w:val="6A6B0B13"/>
    <w:rsid w:val="6B621F16"/>
    <w:rsid w:val="6B721A2E"/>
    <w:rsid w:val="6E6C6C08"/>
    <w:rsid w:val="6E810905"/>
    <w:rsid w:val="6EB133FE"/>
    <w:rsid w:val="6F0D3F47"/>
    <w:rsid w:val="70AD3C34"/>
    <w:rsid w:val="70F80C27"/>
    <w:rsid w:val="72750781"/>
    <w:rsid w:val="733F2B3D"/>
    <w:rsid w:val="7370719A"/>
    <w:rsid w:val="744A1799"/>
    <w:rsid w:val="74980757"/>
    <w:rsid w:val="754C32EF"/>
    <w:rsid w:val="758D5DE2"/>
    <w:rsid w:val="77420E4E"/>
    <w:rsid w:val="796055BB"/>
    <w:rsid w:val="796706F8"/>
    <w:rsid w:val="796926C2"/>
    <w:rsid w:val="7A187C44"/>
    <w:rsid w:val="7A230AC3"/>
    <w:rsid w:val="7A374EF3"/>
    <w:rsid w:val="7BDC476E"/>
    <w:rsid w:val="7C8141C6"/>
    <w:rsid w:val="7CCD11BA"/>
    <w:rsid w:val="7DB01666"/>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9"/>
    <w:pPr>
      <w:spacing w:beforeAutospacing="1" w:afterAutospacing="1"/>
      <w:jc w:val="left"/>
      <w:outlineLvl w:val="1"/>
    </w:pPr>
    <w:rPr>
      <w:rFonts w:ascii="宋体" w:hAnsi="宋体" w:eastAsia="宋体"/>
      <w:b/>
      <w:kern w:val="0"/>
      <w:sz w:val="36"/>
      <w:szCs w:val="36"/>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4e7ece-6745-4e2a-a290-512212208d79}">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6355</Words>
  <Characters>7159</Characters>
  <Lines>0</Lines>
  <Paragraphs>0</Paragraphs>
  <TotalTime>57</TotalTime>
  <ScaleCrop>false</ScaleCrop>
  <LinksUpToDate>false</LinksUpToDate>
  <CharactersWithSpaces>7181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@L@</cp:lastModifiedBy>
  <cp:lastPrinted>2024-07-30T06:24:00Z</cp:lastPrinted>
  <dcterms:modified xsi:type="dcterms:W3CDTF">2026-10-26T03:51:03Z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297191590D9E4FCA91747B4BC1D83E44_13</vt:lpwstr>
  </property>
  <property fmtid="{D5CDD505-2E9C-101B-9397-08002B2CF9AE}" pid="4" name="KSOTemplateDocerSaveRecord">
    <vt:lpwstr>eyJoZGlkIjoiZjgyZjBlMDg1Njk1ZWU1MjcwNTYyNzJkZWM3OTc1ZmQiLCJ1c2VySWQiOiI0NTYyNDYyNTIifQ==</vt:lpwstr>
  </property>
</Properties>
</file>