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8E3BB">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富民县赤鹫中学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588BC809">
      <w:pPr>
        <w:jc w:val="center"/>
        <w:rPr>
          <w:rFonts w:hint="eastAsia" w:ascii="方正小标宋简体" w:hAnsi="方正小标宋简体" w:eastAsia="方正小标宋简体" w:cs="方正小标宋简体"/>
          <w:sz w:val="36"/>
          <w:szCs w:val="36"/>
          <w:highlight w:val="none"/>
        </w:rPr>
      </w:pPr>
    </w:p>
    <w:p w14:paraId="6364A995">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7280FF0">
      <w:pPr>
        <w:jc w:val="left"/>
        <w:rPr>
          <w:rFonts w:hint="eastAsia" w:ascii="黑体" w:hAnsi="黑体" w:eastAsia="黑体"/>
          <w:sz w:val="30"/>
          <w:szCs w:val="30"/>
          <w:highlight w:val="none"/>
        </w:rPr>
      </w:pPr>
    </w:p>
    <w:p w14:paraId="3297BFD0">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3FA3ECF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451383E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39D02E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21A276F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3316109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61E0063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75060A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174F35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4FEE453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266F4E6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380FC4F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06FA29C6">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5CA70C0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83E961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07F8B09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4FB627F6">
      <w:pPr>
        <w:pStyle w:val="3"/>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2AE5E4B4">
      <w:pPr>
        <w:pStyle w:val="4"/>
        <w:ind w:left="0" w:leftChars="0" w:firstLine="0" w:firstLineChars="0"/>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十三、整体支出绩效自评情况</w:t>
      </w:r>
    </w:p>
    <w:p w14:paraId="2F9CD37E">
      <w:pPr>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2B6B6F13">
      <w:pPr>
        <w:pStyle w:val="3"/>
        <w:rPr>
          <w:rFonts w:hint="eastAsia" w:ascii="楷体" w:hAnsi="楷体" w:eastAsia="楷体" w:cs="Times New Roman"/>
          <w:kern w:val="2"/>
          <w:sz w:val="30"/>
          <w:szCs w:val="30"/>
          <w:highlight w:val="none"/>
          <w:lang w:val="en-US" w:eastAsia="zh-CN" w:bidi="ar-SA"/>
        </w:rPr>
      </w:pPr>
      <w:r>
        <w:rPr>
          <w:rFonts w:hint="eastAsia" w:ascii="楷体" w:hAnsi="楷体" w:eastAsia="楷体" w:cs="Times New Roman"/>
          <w:kern w:val="2"/>
          <w:sz w:val="30"/>
          <w:szCs w:val="30"/>
          <w:highlight w:val="none"/>
          <w:lang w:val="en-US" w:eastAsia="zh-CN" w:bidi="ar-SA"/>
        </w:rPr>
        <w:t>十五、项目支出绩效自评表</w:t>
      </w:r>
    </w:p>
    <w:p w14:paraId="4B2BBBB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451E38F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5B83D1E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4DA2A29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3FF73C7">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E56191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FB2E85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5710DB1">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287D57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C60744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EB47DB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288639A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268CFC6">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AE9328A">
      <w:pPr>
        <w:jc w:val="center"/>
        <w:rPr>
          <w:rFonts w:hint="eastAsia" w:ascii="黑体" w:hAnsi="黑体" w:eastAsia="黑体"/>
          <w:sz w:val="32"/>
          <w:szCs w:val="32"/>
          <w:highlight w:val="none"/>
        </w:rPr>
      </w:pPr>
    </w:p>
    <w:p w14:paraId="3BE6A306">
      <w:pPr>
        <w:jc w:val="center"/>
        <w:rPr>
          <w:rFonts w:hint="eastAsia" w:ascii="黑体" w:hAnsi="黑体" w:eastAsia="黑体"/>
          <w:sz w:val="32"/>
          <w:szCs w:val="32"/>
          <w:highlight w:val="none"/>
        </w:rPr>
      </w:pPr>
    </w:p>
    <w:p w14:paraId="204B6FCB">
      <w:pPr>
        <w:jc w:val="center"/>
        <w:rPr>
          <w:rFonts w:hint="eastAsia" w:ascii="黑体" w:hAnsi="黑体" w:eastAsia="黑体"/>
          <w:sz w:val="32"/>
          <w:szCs w:val="32"/>
          <w:highlight w:val="none"/>
        </w:rPr>
      </w:pPr>
    </w:p>
    <w:p w14:paraId="2844705B">
      <w:pPr>
        <w:jc w:val="center"/>
        <w:rPr>
          <w:rFonts w:hint="eastAsia" w:ascii="黑体" w:hAnsi="黑体" w:eastAsia="黑体"/>
          <w:sz w:val="32"/>
          <w:szCs w:val="32"/>
          <w:highlight w:val="none"/>
        </w:rPr>
      </w:pPr>
    </w:p>
    <w:p w14:paraId="16A70A65">
      <w:pPr>
        <w:jc w:val="center"/>
        <w:rPr>
          <w:rFonts w:hint="eastAsia" w:ascii="黑体" w:hAnsi="黑体" w:eastAsia="黑体"/>
          <w:sz w:val="32"/>
          <w:szCs w:val="32"/>
          <w:highlight w:val="none"/>
        </w:rPr>
      </w:pPr>
    </w:p>
    <w:p w14:paraId="66EA34B9">
      <w:pPr>
        <w:jc w:val="center"/>
        <w:rPr>
          <w:rFonts w:hint="eastAsia" w:ascii="黑体" w:hAnsi="黑体" w:eastAsia="黑体"/>
          <w:sz w:val="32"/>
          <w:szCs w:val="32"/>
          <w:highlight w:val="none"/>
        </w:rPr>
      </w:pPr>
    </w:p>
    <w:p w14:paraId="37B6D384">
      <w:pPr>
        <w:jc w:val="center"/>
        <w:rPr>
          <w:rFonts w:hint="eastAsia" w:ascii="黑体" w:hAnsi="黑体" w:eastAsia="黑体"/>
          <w:sz w:val="32"/>
          <w:szCs w:val="32"/>
          <w:highlight w:val="none"/>
        </w:rPr>
      </w:pPr>
    </w:p>
    <w:p w14:paraId="606986DB">
      <w:pPr>
        <w:jc w:val="both"/>
        <w:rPr>
          <w:rFonts w:hint="eastAsia" w:ascii="黑体" w:hAnsi="黑体" w:eastAsia="黑体"/>
          <w:sz w:val="32"/>
          <w:szCs w:val="32"/>
          <w:highlight w:val="none"/>
        </w:rPr>
      </w:pPr>
    </w:p>
    <w:p w14:paraId="7842BF9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0AEE0B6A">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253B44F">
      <w:pPr>
        <w:ind w:firstLine="600" w:firstLineChars="200"/>
        <w:rPr>
          <w:rFonts w:hint="eastAsia"/>
          <w:bCs/>
          <w:szCs w:val="30"/>
          <w:highlight w:val="none"/>
        </w:rPr>
      </w:pPr>
      <w:r>
        <w:rPr>
          <w:rFonts w:hint="eastAsia" w:ascii="仿宋_GB2312" w:eastAsia="仿宋_GB2312"/>
          <w:color w:val="000000"/>
          <w:sz w:val="30"/>
          <w:szCs w:val="30"/>
        </w:rPr>
        <w:t>实施初中义务教育，促进基础教育发展。初中学历教育（相关社会服务）。</w:t>
      </w:r>
    </w:p>
    <w:p w14:paraId="32BC41B0">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66686549">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002596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600" w:firstLineChars="200"/>
        <w:textAlignment w:val="auto"/>
        <w:rPr>
          <w:rFonts w:hint="eastAsia" w:ascii="仿宋_GB2312" w:eastAsia="仿宋_GB2312"/>
          <w:color w:val="000000"/>
          <w:sz w:val="30"/>
          <w:szCs w:val="30"/>
        </w:rPr>
      </w:pPr>
      <w:r>
        <w:rPr>
          <w:rFonts w:hint="eastAsia" w:ascii="仿宋_GB2312" w:eastAsia="仿宋_GB2312"/>
          <w:color w:val="000000"/>
          <w:sz w:val="30"/>
          <w:szCs w:val="30"/>
        </w:rPr>
        <w:t>我单位共设置6个内设机构，包括：党政办、总务处、教务处、教科室、德育室、校安办。</w:t>
      </w:r>
    </w:p>
    <w:p w14:paraId="4FC045FE">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color w:val="000000"/>
          <w:sz w:val="30"/>
          <w:szCs w:val="30"/>
        </w:rPr>
        <w:t>我单位为基层预算单位，无下属单位。</w:t>
      </w:r>
    </w:p>
    <w:p w14:paraId="659E485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7E9C8E29">
      <w:pPr>
        <w:keepNext w:val="0"/>
        <w:keepLines w:val="0"/>
        <w:pageBreakBefore w:val="0"/>
        <w:widowControl/>
        <w:kinsoku/>
        <w:wordWrap/>
        <w:overflowPunct/>
        <w:topLinePunct w:val="0"/>
        <w:autoSpaceDE/>
        <w:autoSpaceDN/>
        <w:bidi w:val="0"/>
        <w:adjustRightInd/>
        <w:snapToGrid w:val="0"/>
        <w:spacing w:before="100" w:after="100" w:line="555" w:lineRule="atLeast"/>
        <w:ind w:firstLine="612" w:firstLineChars="204"/>
        <w:jc w:val="left"/>
        <w:textAlignment w:val="auto"/>
        <w:rPr>
          <w:rFonts w:hint="default" w:ascii="仿宋_GB2312" w:hAnsi="宋体" w:eastAsia="仿宋_GB2312" w:cs="仿宋_GB2312"/>
          <w:b w:val="0"/>
          <w:bCs w:val="0"/>
          <w:color w:val="000000"/>
          <w:sz w:val="30"/>
          <w:szCs w:val="30"/>
        </w:rPr>
      </w:pPr>
      <w:r>
        <w:rPr>
          <w:rFonts w:ascii="仿宋_GB2312" w:hAnsi="宋体" w:eastAsia="仿宋_GB2312" w:cs="仿宋_GB2312"/>
          <w:b w:val="0"/>
          <w:bCs w:val="0"/>
          <w:color w:val="000000"/>
          <w:sz w:val="30"/>
          <w:szCs w:val="30"/>
        </w:rPr>
        <w:t>我单位作为</w:t>
      </w:r>
      <w:r>
        <w:rPr>
          <w:rFonts w:hint="eastAsia" w:ascii="仿宋_GB2312" w:hAnsi="宋体" w:eastAsia="仿宋_GB2312" w:cs="仿宋_GB2312"/>
          <w:b w:val="0"/>
          <w:bCs w:val="0"/>
          <w:color w:val="000000"/>
          <w:sz w:val="30"/>
          <w:szCs w:val="30"/>
          <w:lang w:eastAsia="zh-CN"/>
        </w:rPr>
        <w:t>富民县教育体育局的</w:t>
      </w:r>
      <w:r>
        <w:rPr>
          <w:rFonts w:hint="default" w:ascii="仿宋_GB2312" w:hAnsi="宋体" w:eastAsia="仿宋_GB2312" w:cs="仿宋_GB2312"/>
          <w:b w:val="0"/>
          <w:bCs w:val="0"/>
          <w:color w:val="000000"/>
          <w:sz w:val="30"/>
          <w:szCs w:val="30"/>
        </w:rPr>
        <w:t>的二级预算单位纳入 202</w:t>
      </w:r>
      <w:r>
        <w:rPr>
          <w:rFonts w:hint="eastAsia" w:ascii="仿宋_GB2312" w:hAnsi="宋体" w:eastAsia="仿宋_GB2312" w:cs="仿宋_GB2312"/>
          <w:b w:val="0"/>
          <w:bCs w:val="0"/>
          <w:color w:val="000000"/>
          <w:sz w:val="30"/>
          <w:szCs w:val="30"/>
          <w:lang w:val="en-US" w:eastAsia="zh-CN"/>
        </w:rPr>
        <w:t>5</w:t>
      </w:r>
      <w:r>
        <w:rPr>
          <w:rFonts w:hint="default" w:ascii="仿宋_GB2312" w:hAnsi="宋体" w:eastAsia="仿宋_GB2312" w:cs="仿宋_GB2312"/>
          <w:b w:val="0"/>
          <w:bCs w:val="0"/>
          <w:color w:val="000000"/>
          <w:sz w:val="30"/>
          <w:szCs w:val="30"/>
        </w:rPr>
        <w:t>年度部门决算编报范围。</w:t>
      </w:r>
    </w:p>
    <w:p w14:paraId="5A2D196D">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44DB24F4">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26</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26</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7DCD6F57">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1D4F374A">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7</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7</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133</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w:t>
      </w:r>
    </w:p>
    <w:p w14:paraId="1AA9BECA">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50C9D213">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150BDF47">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1.全面落实党组织领导的校长负责制。</w:t>
      </w:r>
    </w:p>
    <w:p w14:paraId="0AAA9AC6">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明确职责分工、健全决策与运行机制、强化党建引领与业务融合以及优化治理体系与能力提升等方面入手，确保学校工作的高效运行和持续发展。</w:t>
      </w:r>
    </w:p>
    <w:p w14:paraId="18E906A8">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2.巩固、拓展规范建设成果。认真落实《富民县教体系统党支部规范化建设达标创建工作实施方案》，进一步规范党支部的组织建设、队伍建设、活动建设、制度建设、保障建设，有效夯实党的基层基础，逐步形成“晋级升等”长效机制和创先争优、比学赶超浓厚氛围，持续推动党建工作标准化、科学化水平提升。</w:t>
      </w:r>
    </w:p>
    <w:p w14:paraId="33323910">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3.抓实目标管理工作。一是落实工作要求，于3月1日完成《党员目标管理责任书》的签订工作，签订率达100%。二是按照责任书督促目标任务完成情况，要求把目标责任落实到具体的教育教学工作中。</w:t>
      </w:r>
    </w:p>
    <w:p w14:paraId="1B734933">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4.严格党组织生活，认真落实“三会一课”制度。一是认真开展“学雷锋”志愿活动。二是认真落实“三会一课”制度，召开支部委员会12次、支部党员大会5次、上党课4次、开展主题党日活动12次。三是使用好“云岭先锋”APP，全面推进“智慧党建”工作。根据全面推进“智慧党建”工作，“云岭先锋”网上各项党支部信息录入100%。</w:t>
      </w:r>
    </w:p>
    <w:p w14:paraId="1A7F5EB4">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5.抓好党员发展和管理工作。一是积极吸纳年轻优秀教师申请入党，二是规范党费管理使用，以每年2月份工资收入测算党费，于每季度月末最后一周完成党费上交；三是重视对退休党员教师的管理，鼓励退休党员征订《云岭先锋》，加强学习，每年至少参加党支部活动2次。</w:t>
      </w:r>
    </w:p>
    <w:p w14:paraId="3CDF6117">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6.服务型党组织建设。主要做好抓实党员联系服务群众“七个一”工作：一是制定工作计划，明确目标任务和工作方法；二是落到实处，每个党员联系班级、联系教师、联系学生、联系家长，把工作融合到教育教学工作中去做。三是建立工作台账，保留工作痕迹、形成工作经验。</w:t>
      </w:r>
    </w:p>
    <w:p w14:paraId="02ACC43D">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7.增强组织凝聚力。一是计划开展建党节系列庆祝活动活动，7月2日，开展党带团“我为群众办实事”建党节清洁校园环境卫生活动。二是坚持重大事项集体决策制度，学校重大人事安排、资金使用等均通过集体决策，科学处理。</w:t>
      </w:r>
    </w:p>
    <w:p w14:paraId="170BE137">
      <w:pPr>
        <w:spacing w:line="600" w:lineRule="exact"/>
        <w:ind w:firstLine="600" w:firstLineChars="200"/>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8.扎实开展“三大”主题党建活动。一是学校在</w:t>
      </w:r>
      <w:r>
        <w:rPr>
          <w:rFonts w:hint="eastAsia" w:ascii="仿宋_GB2312" w:hAnsi="宋体" w:eastAsia="仿宋_GB2312" w:cs="Arial"/>
          <w:kern w:val="0"/>
          <w:sz w:val="30"/>
          <w:szCs w:val="30"/>
          <w:highlight w:val="none"/>
          <w:lang w:val="zh-CN" w:eastAsia="zh-CN"/>
        </w:rPr>
        <w:t>“立德树人，以人育人，共同发展”的办学理念</w:t>
      </w:r>
      <w:r>
        <w:rPr>
          <w:rFonts w:hint="eastAsia" w:ascii="仿宋_GB2312" w:hAnsi="宋体" w:eastAsia="仿宋_GB2312" w:cs="Arial"/>
          <w:kern w:val="0"/>
          <w:sz w:val="30"/>
          <w:szCs w:val="30"/>
          <w:highlight w:val="none"/>
          <w:lang w:val="en-US" w:eastAsia="zh-CN"/>
        </w:rPr>
        <w:t>的引领下孕育出：“书法立志 墨韵飘香”的书法学校办学特色。以“书”立志、以“书”振气、以“书”促学。二是“三培养”模式工作，今年新增吴芝华同志参加一中张川“名校长工作室评选”、朱志伟同志参加昆明市“名校长”工作室人员推荐、何燕同志参加张显丽“心理健康”教育名师工作室申请。三是持续开展好“一旗一岗一承诺”活动，签订党员目标责任书，监督并公示党员的履职承诺。</w:t>
      </w:r>
    </w:p>
    <w:p w14:paraId="6DDE1F46">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9.发挥先锋模范作用。一是4月11日、12月份组织党员上示范课和思政课活动，全体党员参加上课、听课活动，把党员上示范课落到实处。二是以期中考和期末质量分析会为契机，党员教师参与教育教学经验分享交流，开展2次，促进教学质量不断提高。</w:t>
      </w:r>
    </w:p>
    <w:p w14:paraId="611F8DA8">
      <w:pPr>
        <w:spacing w:line="600" w:lineRule="exact"/>
        <w:ind w:firstLine="600" w:firstLineChars="200"/>
        <w:jc w:val="left"/>
        <w:rPr>
          <w:rFonts w:hint="eastAsia" w:ascii="仿宋_GB2312" w:hAnsi="宋体" w:eastAsia="仿宋_GB2312" w:cs="Arial"/>
          <w:kern w:val="0"/>
          <w:sz w:val="30"/>
          <w:szCs w:val="30"/>
          <w:highlight w:val="none"/>
        </w:rPr>
      </w:pPr>
    </w:p>
    <w:p w14:paraId="331B60B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3A57C7B">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162D358">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38D2B7C1">
      <w:pPr>
        <w:spacing w:line="600" w:lineRule="exact"/>
        <w:ind w:firstLine="600" w:firstLineChars="200"/>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本单位2025年度无政府性基金预算财政拨款收入，《政府性基金预算财政拨款收入支出决算表》为空表。</w:t>
      </w:r>
    </w:p>
    <w:p w14:paraId="6199645C">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本单位2025年无财政拨款“三公”经费、行政参公单位机关运行经费，《财政拨款“三公”经费、行政参公单位机关运行经费情况表》为空表。</w:t>
      </w:r>
    </w:p>
    <w:p w14:paraId="53482DFB">
      <w:pPr>
        <w:spacing w:line="600" w:lineRule="exact"/>
        <w:ind w:firstLine="600" w:firstLineChars="200"/>
        <w:jc w:val="left"/>
        <w:rPr>
          <w:rFonts w:hint="eastAsia" w:ascii="仿宋_GB2312" w:hAnsi="仿宋_GB2312" w:eastAsia="仿宋_GB2312" w:cs="仿宋_GB2312"/>
          <w:b w:val="0"/>
          <w:bCs w:val="0"/>
          <w:color w:val="auto"/>
          <w:sz w:val="30"/>
          <w:szCs w:val="30"/>
          <w:highlight w:val="none"/>
          <w:u w:val="none"/>
          <w:lang w:val="en-US" w:eastAsia="zh-CN"/>
        </w:rPr>
      </w:pPr>
      <w:r>
        <w:rPr>
          <w:rFonts w:hint="eastAsia" w:ascii="仿宋_GB2312" w:hAnsi="仿宋_GB2312" w:eastAsia="仿宋_GB2312" w:cs="仿宋_GB2312"/>
          <w:b w:val="0"/>
          <w:bCs w:val="0"/>
          <w:color w:val="auto"/>
          <w:sz w:val="30"/>
          <w:szCs w:val="30"/>
          <w:highlight w:val="none"/>
          <w:u w:val="none"/>
          <w:lang w:val="en-US" w:eastAsia="zh-CN"/>
        </w:rPr>
        <w:t>本单位2025年无一般公共预算财政拨款“三公”经费，《一般公共预算财政拨款“三公”经费情况表》为空表。</w:t>
      </w:r>
    </w:p>
    <w:p w14:paraId="10689A1F">
      <w:pPr>
        <w:jc w:val="center"/>
        <w:outlineLvl w:val="0"/>
        <w:rPr>
          <w:rFonts w:hint="eastAsia" w:ascii="黑体" w:hAnsi="黑体" w:eastAsia="黑体"/>
          <w:sz w:val="32"/>
          <w:szCs w:val="32"/>
          <w:highlight w:val="none"/>
        </w:rPr>
      </w:pPr>
    </w:p>
    <w:p w14:paraId="3FFD63D0">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68F6CEA0">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9A55A0E">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富民县赤鹫中学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6219037.60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5999975.73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96.48</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161594.69</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2.60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57467.18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0.92</w:t>
      </w:r>
      <w:r>
        <w:rPr>
          <w:rFonts w:hint="eastAsia" w:ascii="仿宋_GB2312" w:eastAsia="仿宋_GB2312"/>
          <w:sz w:val="30"/>
          <w:szCs w:val="30"/>
          <w:highlight w:val="none"/>
        </w:rPr>
        <w:t>%。</w:t>
      </w:r>
    </w:p>
    <w:p w14:paraId="15BCE4AB">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44782.66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0.73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173803.15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2.82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161594.69</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；无经营收入；无附属单位上缴收入；其他收入增加</w:t>
      </w:r>
      <w:r>
        <w:rPr>
          <w:rFonts w:hint="eastAsia" w:ascii="仿宋_GB2312" w:hAnsi="仿宋_GB2312" w:eastAsia="仿宋_GB2312" w:cs="仿宋_GB2312"/>
          <w:color w:val="auto"/>
          <w:sz w:val="30"/>
          <w:lang w:val="zh-CN"/>
        </w:rPr>
        <w:t>56991.12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11971.42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rPr>
        <w:t>是</w:t>
      </w:r>
      <w:r>
        <w:rPr>
          <w:rFonts w:hint="eastAsia" w:ascii="仿宋_GB2312" w:hAnsi="仿宋" w:eastAsia="仿宋_GB2312"/>
          <w:color w:val="000000"/>
          <w:sz w:val="32"/>
          <w:szCs w:val="32"/>
        </w:rPr>
        <w:t>在年内调出</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人，调入1人，新分配</w:t>
      </w:r>
      <w:r>
        <w:rPr>
          <w:rFonts w:hint="eastAsia" w:ascii="仿宋_GB2312" w:hAnsi="仿宋" w:eastAsia="仿宋_GB2312"/>
          <w:color w:val="000000"/>
          <w:sz w:val="32"/>
          <w:szCs w:val="32"/>
          <w:lang w:val="en-US" w:eastAsia="zh-CN"/>
        </w:rPr>
        <w:t>2</w:t>
      </w:r>
      <w:r>
        <w:rPr>
          <w:rFonts w:hint="eastAsia" w:ascii="仿宋_GB2312" w:hAnsi="仿宋" w:eastAsia="仿宋_GB2312"/>
          <w:color w:val="000000"/>
          <w:sz w:val="32"/>
          <w:szCs w:val="32"/>
        </w:rPr>
        <w:t>人，在职人员减少</w:t>
      </w:r>
      <w:r>
        <w:rPr>
          <w:rFonts w:hint="eastAsia" w:ascii="仿宋_GB2312" w:hAnsi="仿宋" w:eastAsia="仿宋_GB2312"/>
          <w:color w:val="000000"/>
          <w:sz w:val="32"/>
          <w:szCs w:val="32"/>
          <w:lang w:val="en-US" w:eastAsia="zh-CN"/>
        </w:rPr>
        <w:t>2</w:t>
      </w:r>
      <w:r>
        <w:rPr>
          <w:rFonts w:hint="eastAsia" w:ascii="仿宋_GB2312" w:hAnsi="仿宋" w:eastAsia="仿宋_GB2312"/>
          <w:color w:val="000000"/>
          <w:sz w:val="32"/>
          <w:szCs w:val="32"/>
        </w:rPr>
        <w:t>人；在校学生人数减少</w:t>
      </w:r>
      <w:r>
        <w:rPr>
          <w:rFonts w:hint="eastAsia" w:ascii="仿宋_GB2312" w:hAnsi="仿宋" w:eastAsia="仿宋_GB2312"/>
          <w:color w:val="000000"/>
          <w:sz w:val="32"/>
          <w:szCs w:val="32"/>
          <w:lang w:eastAsia="zh-CN"/>
        </w:rPr>
        <w:t>；其他收入增加主要原因是</w:t>
      </w:r>
      <w:r>
        <w:rPr>
          <w:rFonts w:hint="eastAsia" w:ascii="仿宋_GB2312" w:hAnsi="仿宋" w:eastAsia="仿宋_GB2312"/>
          <w:color w:val="000000"/>
          <w:sz w:val="32"/>
          <w:szCs w:val="32"/>
        </w:rPr>
        <w:t>本年度将学校食堂食材采购资金转入基本账户进行核算。</w:t>
      </w:r>
    </w:p>
    <w:p w14:paraId="7CE72D73">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E7B085B">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富民县赤鹫中学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6219037.60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5637508.51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90.65</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581529.09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9.35</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00694F53">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78815.14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1.25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22136.62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0.39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100951.76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14.79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lang w:eastAsia="zh-CN"/>
        </w:rPr>
        <w:t>对附属单位补助支出。</w:t>
      </w:r>
      <w:r>
        <w:rPr>
          <w:rFonts w:hint="eastAsia" w:ascii="仿宋_GB2312" w:eastAsia="仿宋_GB2312"/>
          <w:sz w:val="30"/>
          <w:szCs w:val="30"/>
          <w:highlight w:val="none"/>
        </w:rPr>
        <w:t>主要原因</w:t>
      </w:r>
      <w:r>
        <w:rPr>
          <w:rFonts w:hint="eastAsia" w:ascii="仿宋_GB2312" w:hAnsi="仿宋" w:eastAsia="仿宋_GB2312"/>
          <w:color w:val="000000"/>
          <w:sz w:val="32"/>
          <w:szCs w:val="32"/>
          <w:lang w:eastAsia="zh-CN"/>
        </w:rPr>
        <w:t>是</w:t>
      </w:r>
      <w:r>
        <w:rPr>
          <w:rFonts w:hint="eastAsia" w:ascii="仿宋_GB2312" w:hAnsi="仿宋" w:eastAsia="仿宋_GB2312"/>
          <w:color w:val="000000"/>
          <w:sz w:val="32"/>
          <w:szCs w:val="32"/>
        </w:rPr>
        <w:t>本年</w:t>
      </w:r>
      <w:r>
        <w:rPr>
          <w:rFonts w:hint="eastAsia" w:ascii="仿宋_GB2312" w:hAnsi="仿宋" w:eastAsia="仿宋_GB2312"/>
          <w:color w:val="000000"/>
          <w:sz w:val="32"/>
          <w:szCs w:val="32"/>
          <w:lang w:eastAsia="zh-CN"/>
        </w:rPr>
        <w:t>度</w:t>
      </w:r>
      <w:r>
        <w:rPr>
          <w:rFonts w:hint="eastAsia" w:ascii="仿宋_GB2312" w:hAnsi="仿宋" w:eastAsia="仿宋_GB2312"/>
          <w:color w:val="000000"/>
          <w:sz w:val="32"/>
          <w:szCs w:val="32"/>
        </w:rPr>
        <w:t>在职人员减少</w:t>
      </w:r>
      <w:r>
        <w:rPr>
          <w:rFonts w:hint="eastAsia" w:ascii="仿宋_GB2312" w:hAnsi="仿宋" w:eastAsia="仿宋_GB2312"/>
          <w:color w:val="000000"/>
          <w:sz w:val="32"/>
          <w:szCs w:val="32"/>
          <w:lang w:eastAsia="zh-CN"/>
        </w:rPr>
        <w:t>，工资福利支出减少</w:t>
      </w:r>
      <w:r>
        <w:rPr>
          <w:rFonts w:hint="eastAsia" w:ascii="仿宋_GB2312" w:eastAsia="仿宋_GB2312"/>
          <w:sz w:val="30"/>
          <w:szCs w:val="30"/>
          <w:lang w:eastAsia="zh-CN"/>
        </w:rPr>
        <w:t>；学生人数减少，家庭经济困难学生补助、营养改善计划补助支出减少，</w:t>
      </w:r>
      <w:r>
        <w:rPr>
          <w:rFonts w:hint="eastAsia" w:ascii="仿宋_GB2312" w:hAnsi="仿宋" w:eastAsia="仿宋_GB2312"/>
          <w:color w:val="000000"/>
          <w:sz w:val="32"/>
          <w:szCs w:val="32"/>
        </w:rPr>
        <w:t>加之本年度公用经费未列支完</w:t>
      </w:r>
      <w:r>
        <w:rPr>
          <w:rFonts w:hint="eastAsia" w:ascii="仿宋_GB2312" w:hAnsi="仿宋" w:eastAsia="仿宋_GB2312"/>
          <w:color w:val="000000"/>
          <w:sz w:val="32"/>
          <w:szCs w:val="32"/>
          <w:lang w:eastAsia="zh-CN"/>
        </w:rPr>
        <w:t>成</w:t>
      </w:r>
      <w:r>
        <w:rPr>
          <w:rFonts w:hint="eastAsia" w:ascii="仿宋_GB2312" w:hAnsi="仿宋" w:eastAsia="仿宋_GB2312"/>
          <w:color w:val="000000"/>
          <w:sz w:val="32"/>
          <w:szCs w:val="32"/>
        </w:rPr>
        <w:t>。本年度将学校食堂食材采购资金转入基本账户进行核算。</w:t>
      </w:r>
    </w:p>
    <w:p w14:paraId="102A9A4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6A3261C">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富民县赤鹫中学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5637508.51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5544517.86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98.35</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92990.65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1.65</w:t>
      </w:r>
      <w:r>
        <w:rPr>
          <w:rFonts w:hint="eastAsia" w:ascii="仿宋_GB2312" w:hAnsi="仿宋_GB2312" w:eastAsia="仿宋_GB2312" w:cs="仿宋_GB2312"/>
          <w:sz w:val="30"/>
          <w:szCs w:val="30"/>
          <w:highlight w:val="none"/>
        </w:rPr>
        <w:t>％。</w:t>
      </w:r>
    </w:p>
    <w:p w14:paraId="742A89E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4F3A7B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富民县赤鹫中学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581529.09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1FEC7E8">
      <w:pPr>
        <w:keepNext w:val="0"/>
        <w:keepLines w:val="0"/>
        <w:pageBreakBefore w:val="0"/>
        <w:widowControl/>
        <w:numPr>
          <w:ilvl w:val="0"/>
          <w:numId w:val="1"/>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color w:val="auto"/>
          <w:sz w:val="30"/>
          <w:szCs w:val="30"/>
          <w:highlight w:val="none"/>
          <w:lang w:eastAsia="zh-CN"/>
        </w:rPr>
        <w:t>公用</w:t>
      </w:r>
      <w:r>
        <w:rPr>
          <w:rFonts w:hint="eastAsia" w:ascii="仿宋_GB2312" w:eastAsia="仿宋_GB2312"/>
          <w:color w:val="auto"/>
          <w:sz w:val="30"/>
          <w:szCs w:val="30"/>
          <w:highlight w:val="none"/>
        </w:rPr>
        <w:t>经费</w:t>
      </w:r>
      <w:r>
        <w:rPr>
          <w:rFonts w:hint="eastAsia" w:ascii="仿宋" w:hAnsi="仿宋" w:eastAsia="仿宋"/>
          <w:color w:val="auto"/>
          <w:sz w:val="30"/>
          <w:lang w:val="en-US" w:eastAsia="zh-CN"/>
        </w:rPr>
        <w:t>81709.4</w:t>
      </w:r>
      <w:r>
        <w:rPr>
          <w:rFonts w:hint="eastAsia" w:ascii="仿宋_GB2312" w:eastAsia="仿宋_GB2312"/>
          <w:color w:val="auto"/>
          <w:sz w:val="30"/>
          <w:szCs w:val="30"/>
          <w:highlight w:val="none"/>
        </w:rPr>
        <w:t>元，</w:t>
      </w:r>
      <w:r>
        <w:rPr>
          <w:rFonts w:hint="eastAsia" w:ascii="仿宋_GB2312" w:hAnsi="宋体" w:eastAsia="仿宋_GB2312"/>
          <w:color w:val="auto"/>
          <w:sz w:val="32"/>
          <w:szCs w:val="32"/>
        </w:rPr>
        <w:t>其中：水费29568</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元，电费22707.4</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元，邮电费1106</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元，差旅费857</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元，培训费4532</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w:t>
      </w:r>
      <w:r>
        <w:rPr>
          <w:rFonts w:hint="eastAsia" w:ascii="仿宋_GB2312" w:hAnsi="宋体" w:eastAsia="仿宋_GB2312"/>
          <w:color w:val="auto"/>
          <w:sz w:val="32"/>
          <w:szCs w:val="32"/>
          <w:lang w:eastAsia="zh-CN"/>
        </w:rPr>
        <w:t>印刷费</w:t>
      </w:r>
      <w:r>
        <w:rPr>
          <w:rFonts w:hint="eastAsia" w:ascii="仿宋_GB2312" w:hAnsi="宋体" w:eastAsia="仿宋_GB2312"/>
          <w:color w:val="auto"/>
          <w:sz w:val="32"/>
          <w:szCs w:val="32"/>
        </w:rPr>
        <w:t>1689</w:t>
      </w:r>
      <w:r>
        <w:rPr>
          <w:rFonts w:hint="eastAsia" w:ascii="仿宋_GB2312" w:hAnsi="宋体" w:eastAsia="仿宋_GB2312"/>
          <w:color w:val="auto"/>
          <w:sz w:val="32"/>
          <w:szCs w:val="32"/>
          <w:lang w:val="en-US" w:eastAsia="zh-CN"/>
        </w:rPr>
        <w:t>.00</w:t>
      </w:r>
      <w:r>
        <w:rPr>
          <w:rFonts w:hint="eastAsia" w:ascii="仿宋_GB2312" w:hAnsi="宋体" w:eastAsia="仿宋_GB2312"/>
          <w:color w:val="auto"/>
          <w:sz w:val="32"/>
          <w:szCs w:val="32"/>
        </w:rPr>
        <w:t>元，</w:t>
      </w:r>
      <w:r>
        <w:rPr>
          <w:rFonts w:hint="eastAsia" w:ascii="仿宋_GB2312" w:hAnsi="宋体" w:eastAsia="仿宋_GB2312"/>
          <w:color w:val="auto"/>
          <w:sz w:val="32"/>
          <w:szCs w:val="32"/>
          <w:lang w:eastAsia="zh-CN"/>
        </w:rPr>
        <w:t>维修（维护）费</w:t>
      </w:r>
      <w:r>
        <w:rPr>
          <w:rFonts w:hint="eastAsia" w:ascii="仿宋_GB2312" w:hAnsi="宋体" w:eastAsia="仿宋_GB2312"/>
          <w:color w:val="auto"/>
          <w:sz w:val="32"/>
          <w:szCs w:val="32"/>
        </w:rPr>
        <w:t>1800</w:t>
      </w:r>
      <w:r>
        <w:rPr>
          <w:rFonts w:hint="eastAsia" w:ascii="仿宋_GB2312" w:hAnsi="宋体" w:eastAsia="仿宋_GB2312"/>
          <w:color w:val="auto"/>
          <w:sz w:val="32"/>
          <w:szCs w:val="32"/>
          <w:lang w:val="en-US" w:eastAsia="zh-CN"/>
        </w:rPr>
        <w:t>.00元，委托业务费19450，</w:t>
      </w:r>
      <w:r>
        <w:rPr>
          <w:rFonts w:hint="eastAsia" w:ascii="仿宋_GB2312" w:eastAsia="仿宋_GB2312"/>
          <w:color w:val="auto"/>
          <w:sz w:val="30"/>
          <w:szCs w:val="30"/>
          <w:highlight w:val="none"/>
        </w:rPr>
        <w:t>主</w:t>
      </w:r>
      <w:r>
        <w:rPr>
          <w:rFonts w:hint="eastAsia" w:ascii="仿宋_GB2312" w:eastAsia="仿宋_GB2312"/>
          <w:sz w:val="30"/>
          <w:szCs w:val="30"/>
          <w:highlight w:val="none"/>
        </w:rPr>
        <w:t>要用于</w:t>
      </w:r>
      <w:r>
        <w:rPr>
          <w:rFonts w:hint="eastAsia" w:ascii="仿宋_GB2312" w:eastAsia="仿宋_GB2312"/>
          <w:sz w:val="30"/>
          <w:szCs w:val="30"/>
          <w:highlight w:val="none"/>
          <w:lang w:eastAsia="zh-CN"/>
        </w:rPr>
        <w:t>支付学校日常办公费用，维持学校正常运转。</w:t>
      </w:r>
    </w:p>
    <w:p w14:paraId="20E7AC4B">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lang w:eastAsia="zh-CN"/>
        </w:rPr>
        <w:t>）家庭经济困难学生生活补助</w:t>
      </w:r>
      <w:r>
        <w:rPr>
          <w:rFonts w:hint="eastAsia" w:ascii="仿宋_GB2312" w:eastAsia="仿宋_GB2312"/>
          <w:sz w:val="30"/>
          <w:szCs w:val="30"/>
          <w:highlight w:val="none"/>
          <w:lang w:val="en-US" w:eastAsia="zh-CN"/>
        </w:rPr>
        <w:t>139875元，主要用于支付家庭经济困难学生生活补助。</w:t>
      </w:r>
    </w:p>
    <w:p w14:paraId="1BADFFBC">
      <w:pPr>
        <w:keepNext w:val="0"/>
        <w:keepLines w:val="0"/>
        <w:pageBreakBefore w:val="0"/>
        <w:widowControl/>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（3）学生营养改善计划项目140882.82元，主要用于支付学生营养餐费用。</w:t>
      </w:r>
    </w:p>
    <w:p w14:paraId="63E50DAC">
      <w:pPr>
        <w:keepNext w:val="0"/>
        <w:keepLines w:val="0"/>
        <w:pageBreakBefore w:val="0"/>
        <w:widowControl/>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olor w:val="auto"/>
          <w:sz w:val="30"/>
          <w:lang w:val="en-US"/>
        </w:rPr>
      </w:pPr>
      <w:r>
        <w:rPr>
          <w:rFonts w:hint="eastAsia" w:ascii="仿宋" w:hAnsi="仿宋" w:eastAsia="仿宋"/>
          <w:sz w:val="30"/>
        </w:rPr>
        <w:t>（</w:t>
      </w:r>
      <w:r>
        <w:rPr>
          <w:rFonts w:hint="eastAsia" w:ascii="仿宋" w:hAnsi="仿宋" w:eastAsia="仿宋"/>
          <w:sz w:val="30"/>
          <w:lang w:val="en-US" w:eastAsia="zh-CN"/>
        </w:rPr>
        <w:t>4</w:t>
      </w:r>
      <w:r>
        <w:rPr>
          <w:rFonts w:hint="eastAsia" w:ascii="仿宋" w:hAnsi="仿宋" w:eastAsia="仿宋"/>
          <w:sz w:val="30"/>
        </w:rPr>
        <w:t>）</w:t>
      </w:r>
      <w:r>
        <w:rPr>
          <w:rFonts w:hint="eastAsia" w:ascii="仿宋_GB2312" w:eastAsia="仿宋_GB2312"/>
          <w:sz w:val="30"/>
          <w:szCs w:val="30"/>
          <w:highlight w:val="none"/>
          <w:lang w:val="en-US" w:eastAsia="zh-CN"/>
        </w:rPr>
        <w:t>学生教师普通餐费219061.87元，主要用于支付学生教师普通餐费用。</w:t>
      </w:r>
    </w:p>
    <w:p w14:paraId="2E7237C4">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5AD593C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5D0166D">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富民县赤鹫中学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5999975.73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96.48</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247531.06</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3.96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105.10</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4D153BB8">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1CB48D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kern w:val="0"/>
          <w:sz w:val="30"/>
          <w:szCs w:val="30"/>
          <w:highlight w:val="none"/>
        </w:rPr>
        <w:t>1.一</w:t>
      </w:r>
      <w:r>
        <w:rPr>
          <w:rFonts w:hint="eastAsia" w:ascii="仿宋_GB2312" w:hAnsi="宋体" w:eastAsia="仿宋_GB2312" w:cs="Arial"/>
          <w:color w:val="auto"/>
          <w:kern w:val="0"/>
          <w:sz w:val="30"/>
          <w:szCs w:val="30"/>
          <w:highlight w:val="none"/>
        </w:rPr>
        <w:t>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12B75D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E7E256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20FEDE7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439229D">
      <w:pPr>
        <w:widowControl/>
        <w:snapToGrid w:val="0"/>
        <w:spacing w:before="100" w:after="100" w:line="600" w:lineRule="exact"/>
        <w:ind w:firstLine="600" w:firstLineChars="200"/>
        <w:jc w:val="left"/>
        <w:rPr>
          <w:rFonts w:hint="eastAsia" w:ascii="仿宋_GB2312" w:hAnsi="宋体" w:eastAsia="仿宋_GB2312" w:cs="宋体"/>
          <w:color w:val="000000"/>
          <w:kern w:val="0"/>
          <w:sz w:val="30"/>
          <w:szCs w:val="30"/>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4626085.96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77.10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112.20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宋体"/>
          <w:color w:val="000000"/>
          <w:kern w:val="0"/>
          <w:sz w:val="30"/>
          <w:szCs w:val="30"/>
        </w:rPr>
        <w:t>主要用于工资福利支出</w:t>
      </w:r>
      <w:r>
        <w:rPr>
          <w:rFonts w:hint="eastAsia" w:ascii="仿宋_GB2312" w:hAnsi="宋体" w:eastAsia="仿宋_GB2312" w:cs="宋体"/>
          <w:color w:val="000000"/>
          <w:kern w:val="0"/>
          <w:sz w:val="30"/>
          <w:szCs w:val="30"/>
          <w:lang w:val="en-US" w:eastAsia="zh-CN"/>
        </w:rPr>
        <w:t>4148473</w:t>
      </w:r>
      <w:r>
        <w:rPr>
          <w:rFonts w:hint="eastAsia" w:ascii="仿宋_GB2312" w:hAnsi="宋体" w:eastAsia="仿宋_GB2312" w:cs="宋体"/>
          <w:color w:val="000000"/>
          <w:kern w:val="0"/>
          <w:sz w:val="30"/>
          <w:szCs w:val="30"/>
        </w:rPr>
        <w:t>元，占总支出比重的</w:t>
      </w:r>
      <w:r>
        <w:rPr>
          <w:rFonts w:hint="eastAsia" w:ascii="仿宋_GB2312" w:hAnsi="宋体" w:eastAsia="仿宋_GB2312" w:cs="宋体"/>
          <w:color w:val="000000"/>
          <w:kern w:val="0"/>
          <w:sz w:val="30"/>
          <w:szCs w:val="30"/>
          <w:lang w:val="en-US" w:eastAsia="zh-CN"/>
        </w:rPr>
        <w:t>66.7</w:t>
      </w:r>
      <w:r>
        <w:rPr>
          <w:rFonts w:hint="eastAsia" w:ascii="仿宋_GB2312" w:hAnsi="宋体" w:eastAsia="仿宋_GB2312" w:cs="宋体"/>
          <w:color w:val="000000"/>
          <w:kern w:val="0"/>
          <w:sz w:val="30"/>
          <w:szCs w:val="30"/>
        </w:rPr>
        <w:t>%；商品服务支出</w:t>
      </w:r>
      <w:r>
        <w:rPr>
          <w:rFonts w:hint="eastAsia" w:ascii="仿宋_GB2312" w:hAnsi="宋体" w:eastAsia="仿宋_GB2312" w:cs="宋体"/>
          <w:color w:val="000000"/>
          <w:kern w:val="0"/>
          <w:sz w:val="30"/>
          <w:szCs w:val="30"/>
          <w:lang w:val="en-US" w:eastAsia="zh-CN"/>
        </w:rPr>
        <w:t>92990.65</w:t>
      </w:r>
      <w:r>
        <w:rPr>
          <w:rFonts w:hint="eastAsia" w:ascii="仿宋_GB2312" w:hAnsi="宋体" w:eastAsia="仿宋_GB2312" w:cs="宋体"/>
          <w:color w:val="000000"/>
          <w:kern w:val="0"/>
          <w:sz w:val="30"/>
          <w:szCs w:val="30"/>
        </w:rPr>
        <w:t>元，占总支出比重</w:t>
      </w:r>
      <w:r>
        <w:rPr>
          <w:rFonts w:hint="eastAsia" w:ascii="仿宋_GB2312" w:hAnsi="宋体" w:eastAsia="仿宋_GB2312" w:cs="宋体"/>
          <w:color w:val="000000"/>
          <w:kern w:val="0"/>
          <w:sz w:val="30"/>
          <w:szCs w:val="30"/>
          <w:lang w:val="en-US" w:eastAsia="zh-CN"/>
        </w:rPr>
        <w:t>1.5</w:t>
      </w:r>
      <w:r>
        <w:rPr>
          <w:rFonts w:hint="eastAsia" w:ascii="仿宋_GB2312" w:hAnsi="宋体" w:eastAsia="仿宋_GB2312" w:cs="宋体"/>
          <w:color w:val="000000"/>
          <w:kern w:val="0"/>
          <w:sz w:val="30"/>
          <w:szCs w:val="30"/>
        </w:rPr>
        <w:t>%，主要用于学校日常办公及正常运转的支出；对个人和家庭补助支出</w:t>
      </w:r>
      <w:r>
        <w:rPr>
          <w:rFonts w:hint="eastAsia" w:ascii="仿宋_GB2312" w:hAnsi="宋体" w:eastAsia="仿宋_GB2312" w:cs="宋体"/>
          <w:color w:val="000000"/>
          <w:kern w:val="0"/>
          <w:sz w:val="30"/>
          <w:szCs w:val="30"/>
          <w:lang w:val="en-US" w:eastAsia="zh-CN"/>
        </w:rPr>
        <w:t>280757.82</w:t>
      </w:r>
      <w:r>
        <w:rPr>
          <w:rFonts w:hint="eastAsia" w:ascii="仿宋_GB2312" w:hAnsi="宋体" w:eastAsia="仿宋_GB2312" w:cs="宋体"/>
          <w:color w:val="000000"/>
          <w:kern w:val="0"/>
          <w:sz w:val="30"/>
          <w:szCs w:val="30"/>
        </w:rPr>
        <w:t>元，占总支出比重</w:t>
      </w:r>
      <w:r>
        <w:rPr>
          <w:rFonts w:hint="eastAsia" w:ascii="仿宋_GB2312" w:hAnsi="宋体" w:eastAsia="仿宋_GB2312" w:cs="宋体"/>
          <w:color w:val="000000"/>
          <w:kern w:val="0"/>
          <w:sz w:val="30"/>
          <w:szCs w:val="30"/>
          <w:lang w:val="en-US" w:eastAsia="zh-CN"/>
        </w:rPr>
        <w:t>4.5</w:t>
      </w:r>
      <w:r>
        <w:rPr>
          <w:rFonts w:hint="eastAsia" w:ascii="仿宋_GB2312" w:hAnsi="宋体" w:eastAsia="仿宋_GB2312" w:cs="宋体"/>
          <w:color w:val="000000"/>
          <w:kern w:val="0"/>
          <w:sz w:val="30"/>
          <w:szCs w:val="30"/>
        </w:rPr>
        <w:t xml:space="preserve">%，主要用于家庭经济困难学生生活补助、学生营养改善计划补助；造成预决算差异的主要原因：一是因年内在职人员调出、退休，工资福利支出减少；二是项目支出的义务教育公用经费、营养改善计划补助和家庭经济困难学生补助未纳入年初预算。 </w:t>
      </w:r>
    </w:p>
    <w:p w14:paraId="772AE7A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05CAE7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16332B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513316.67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8.56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76.95</w:t>
      </w:r>
      <w:r>
        <w:rPr>
          <w:rFonts w:hint="eastAsia" w:ascii="仿宋_GB2312" w:eastAsia="仿宋_GB2312"/>
          <w:sz w:val="30"/>
          <w:szCs w:val="30"/>
          <w:highlight w:val="none"/>
          <w:lang w:val="en-US" w:eastAsia="zh-CN"/>
        </w:rPr>
        <w:t>%，</w:t>
      </w:r>
      <w:r>
        <w:rPr>
          <w:rFonts w:hint="eastAsia" w:ascii="仿宋_GB2312" w:hAnsi="宋体" w:eastAsia="仿宋_GB2312" w:cs="宋体"/>
          <w:color w:val="000000"/>
          <w:kern w:val="0"/>
          <w:sz w:val="30"/>
          <w:szCs w:val="30"/>
        </w:rPr>
        <w:t>主要用于</w:t>
      </w:r>
      <w:r>
        <w:rPr>
          <w:rFonts w:hint="eastAsia" w:ascii="仿宋_GB2312" w:hAnsi="宋体" w:eastAsia="仿宋_GB2312" w:cs="宋体"/>
          <w:color w:val="000000"/>
          <w:kern w:val="0"/>
          <w:sz w:val="30"/>
          <w:szCs w:val="30"/>
          <w:lang w:val="zh-CN"/>
        </w:rPr>
        <w:t>基本养老保险缴费</w:t>
      </w:r>
      <w:r>
        <w:rPr>
          <w:rFonts w:hint="eastAsia" w:ascii="仿宋_GB2312" w:hAnsi="宋体" w:eastAsia="仿宋_GB2312" w:cs="宋体"/>
          <w:color w:val="auto"/>
          <w:kern w:val="0"/>
          <w:sz w:val="30"/>
          <w:szCs w:val="30"/>
          <w:lang w:val="zh-CN"/>
        </w:rPr>
        <w:t>、职业年金支出</w:t>
      </w:r>
      <w:r>
        <w:rPr>
          <w:rFonts w:hint="eastAsia" w:ascii="仿宋_GB2312" w:hAnsi="宋体" w:eastAsia="仿宋_GB2312" w:cs="宋体"/>
          <w:color w:val="auto"/>
          <w:kern w:val="0"/>
          <w:sz w:val="30"/>
          <w:szCs w:val="30"/>
        </w:rPr>
        <w:t>；造成预决算差异的主要原因是因年内在职人员调出，养老保险缴费支出减少。</w:t>
      </w:r>
    </w:p>
    <w:p w14:paraId="7FE670F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471129.10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7.85</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96.60</w:t>
      </w:r>
      <w:r>
        <w:rPr>
          <w:rFonts w:hint="eastAsia" w:ascii="仿宋_GB2312" w:eastAsia="仿宋_GB2312"/>
          <w:color w:val="auto"/>
          <w:sz w:val="30"/>
          <w:szCs w:val="30"/>
          <w:highlight w:val="none"/>
          <w:lang w:val="en-US" w:eastAsia="zh-CN"/>
        </w:rPr>
        <w:t>%，</w:t>
      </w:r>
      <w:r>
        <w:rPr>
          <w:rFonts w:hint="eastAsia" w:ascii="仿宋_GB2312" w:hAnsi="宋体" w:eastAsia="仿宋_GB2312" w:cs="宋体"/>
          <w:color w:val="auto"/>
          <w:kern w:val="0"/>
          <w:sz w:val="30"/>
          <w:szCs w:val="30"/>
        </w:rPr>
        <w:t>主要用于本单位职工医疗保险、公务员补助缴费支出；造成预决算差异的主要原因是：年内在职人员调出，医疗保险缴费减少。</w:t>
      </w:r>
    </w:p>
    <w:p w14:paraId="029C148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F46D06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3D3481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D7FB13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820900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36D23B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017659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51B2655">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1C42A7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F901FBA">
      <w:pPr>
        <w:widowControl/>
        <w:snapToGrid w:val="0"/>
        <w:spacing w:before="100" w:after="100" w:line="360" w:lineRule="auto"/>
        <w:ind w:firstLine="600" w:firstLineChars="200"/>
        <w:jc w:val="left"/>
        <w:rPr>
          <w:rFonts w:hint="eastAsia" w:ascii="仿宋_GB2312" w:eastAsia="仿宋_GB2312"/>
          <w:color w:val="auto"/>
          <w:sz w:val="30"/>
          <w:szCs w:val="30"/>
          <w:highlight w:val="none"/>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389444.00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6.49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90.29</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en-US" w:eastAsia="zh-CN" w:bidi="ar-SA"/>
        </w:rPr>
        <w:t>教职工公积金缴费</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w:t>
      </w:r>
      <w:r>
        <w:rPr>
          <w:rFonts w:hint="eastAsia" w:ascii="仿宋_GB2312" w:hAnsi="宋体" w:eastAsia="仿宋_GB2312" w:cs="宋体"/>
          <w:color w:val="auto"/>
          <w:kern w:val="0"/>
          <w:sz w:val="30"/>
          <w:szCs w:val="30"/>
        </w:rPr>
        <w:t>年内在职人员调出，</w:t>
      </w:r>
      <w:r>
        <w:rPr>
          <w:rFonts w:hint="eastAsia" w:ascii="仿宋_GB2312" w:hAnsi="宋体" w:eastAsia="仿宋_GB2312" w:cs="宋体"/>
          <w:color w:val="auto"/>
          <w:kern w:val="0"/>
          <w:sz w:val="30"/>
          <w:szCs w:val="30"/>
          <w:lang w:eastAsia="zh-CN"/>
        </w:rPr>
        <w:t>住房公积金</w:t>
      </w:r>
      <w:r>
        <w:rPr>
          <w:rFonts w:hint="eastAsia" w:ascii="仿宋_GB2312" w:hAnsi="宋体" w:eastAsia="仿宋_GB2312" w:cs="宋体"/>
          <w:color w:val="auto"/>
          <w:kern w:val="0"/>
          <w:sz w:val="30"/>
          <w:szCs w:val="30"/>
        </w:rPr>
        <w:t>缴费减少。</w:t>
      </w:r>
    </w:p>
    <w:p w14:paraId="569AB90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AFF4621">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CCA4E0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99F672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5547205">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4D0DF5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36E793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96C89C3">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38A6CA0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246BEB1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仿宋_GB2312" w:eastAsia="仿宋_GB2312" w:cs="仿宋_GB2312"/>
          <w:color w:val="000000"/>
          <w:kern w:val="0"/>
          <w:sz w:val="30"/>
          <w:lang w:val="en-US" w:eastAsia="zh-CN"/>
        </w:rPr>
        <w:t>上年无此项支出</w:t>
      </w:r>
      <w:r>
        <w:rPr>
          <w:rFonts w:hint="eastAsia" w:ascii="仿宋_GB2312" w:eastAsia="仿宋_GB2312"/>
          <w:color w:val="auto"/>
          <w:sz w:val="30"/>
          <w:szCs w:val="30"/>
          <w:lang w:eastAsia="zh-CN"/>
        </w:rPr>
        <w:t>。</w:t>
      </w:r>
    </w:p>
    <w:p w14:paraId="48B79FC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bookmarkStart w:id="0" w:name="_GoBack"/>
      <w:bookmarkEnd w:id="0"/>
    </w:p>
    <w:p w14:paraId="46B8B94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lang w:val="zh-CN"/>
        </w:rPr>
        <w:t>.00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6338A42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6F1C4D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rPr>
        <w:t>预算为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支出决算较上年增加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p>
    <w:p w14:paraId="1EC2B651">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val="en-US" w:eastAsia="zh-CN"/>
        </w:rPr>
        <w:t>等于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w:t>
      </w:r>
      <w:r>
        <w:rPr>
          <w:rFonts w:hint="eastAsia" w:ascii="仿宋_GB2312" w:eastAsia="仿宋_GB2312"/>
          <w:sz w:val="30"/>
          <w:szCs w:val="30"/>
          <w:highlight w:val="none"/>
          <w:lang w:eastAsia="zh-CN"/>
        </w:rPr>
        <w:t>。</w:t>
      </w:r>
    </w:p>
    <w:p w14:paraId="2E89A93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lang w:val="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en-US" w:eastAsia="zh-CN"/>
        </w:rPr>
        <w:t>0.00元，</w:t>
      </w:r>
      <w:r>
        <w:rPr>
          <w:rFonts w:hint="eastAsia" w:ascii="仿宋_GB2312" w:eastAsia="仿宋_GB2312"/>
          <w:sz w:val="30"/>
          <w:szCs w:val="30"/>
          <w:highlight w:val="none"/>
          <w:lang w:eastAsia="zh-CN"/>
        </w:rPr>
        <w:t>上年无此项支出。</w:t>
      </w:r>
    </w:p>
    <w:p w14:paraId="3BA0F97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B54CB72">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337E39DF">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679EE122">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3B242FBE">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1D1CF215">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2BA63431">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62EA7FB5">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63932F68">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富民县赤鹫中学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eastAsia="仿宋_GB2312"/>
          <w:color w:val="auto"/>
          <w:sz w:val="30"/>
          <w:szCs w:val="30"/>
          <w:highlight w:val="none"/>
          <w:lang w:val="en-US" w:eastAsia="zh-CN"/>
        </w:rPr>
        <w:t>我部门为事业单位，无机关运行经费</w:t>
      </w:r>
      <w:r>
        <w:rPr>
          <w:rFonts w:hint="eastAsia" w:ascii="仿宋_GB2312" w:hAnsi="黑体" w:eastAsia="仿宋_GB2312" w:cs="方正小标宋简体"/>
          <w:sz w:val="30"/>
          <w:szCs w:val="30"/>
          <w:highlight w:val="none"/>
        </w:rPr>
        <w:t>。</w:t>
      </w:r>
    </w:p>
    <w:p w14:paraId="66BBC740">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3F919CE6">
      <w:pPr>
        <w:widowControl/>
        <w:ind w:firstLine="600" w:firstLineChars="200"/>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富民县赤鹫中学</w:t>
      </w:r>
      <w:r>
        <w:rPr>
          <w:rFonts w:hint="eastAsia" w:ascii="仿宋_GB2312" w:hAnsi="仿宋_GB2312" w:eastAsia="仿宋_GB2312" w:cs="仿宋_GB2312"/>
          <w:color w:val="auto"/>
          <w:sz w:val="30"/>
          <w:szCs w:val="30"/>
          <w:highlight w:val="none"/>
          <w:lang w:eastAsia="zh-CN"/>
        </w:rPr>
        <w:t>资产总额</w:t>
      </w:r>
      <w:r>
        <w:rPr>
          <w:rFonts w:hint="eastAsia" w:ascii="仿宋_GB2312" w:hAnsi="仿宋_GB2312" w:eastAsia="仿宋_GB2312" w:cs="仿宋_GB2312"/>
          <w:color w:val="auto"/>
          <w:sz w:val="30"/>
          <w:szCs w:val="30"/>
          <w:highlight w:val="none"/>
          <w:lang w:val="en-US" w:eastAsia="zh-CN"/>
        </w:rPr>
        <w:t>4301894.27</w:t>
      </w:r>
      <w:r>
        <w:rPr>
          <w:rFonts w:hint="eastAsia" w:ascii="仿宋_GB2312" w:hAnsi="仿宋_GB2312" w:eastAsia="仿宋_GB2312" w:cs="仿宋_GB2312"/>
          <w:color w:val="auto"/>
          <w:sz w:val="30"/>
          <w:szCs w:val="30"/>
          <w:highlight w:val="none"/>
          <w:lang w:eastAsia="zh-CN"/>
        </w:rPr>
        <w:t>元，其中，流动资产</w:t>
      </w:r>
      <w:r>
        <w:rPr>
          <w:rFonts w:hint="eastAsia" w:ascii="仿宋_GB2312" w:hAnsi="仿宋_GB2312" w:eastAsia="仿宋_GB2312" w:cs="仿宋_GB2312"/>
          <w:color w:val="auto"/>
          <w:sz w:val="30"/>
          <w:szCs w:val="30"/>
          <w:highlight w:val="none"/>
          <w:lang w:val="en-US" w:eastAsia="zh-CN"/>
        </w:rPr>
        <w:t>52276.88</w:t>
      </w:r>
      <w:r>
        <w:rPr>
          <w:rFonts w:hint="eastAsia" w:ascii="仿宋_GB2312" w:hAnsi="仿宋_GB2312" w:eastAsia="仿宋_GB2312" w:cs="仿宋_GB2312"/>
          <w:color w:val="auto"/>
          <w:sz w:val="30"/>
          <w:szCs w:val="30"/>
          <w:highlight w:val="none"/>
          <w:lang w:eastAsia="zh-CN"/>
        </w:rPr>
        <w:t>元，固定资产</w:t>
      </w:r>
      <w:r>
        <w:rPr>
          <w:rFonts w:hint="eastAsia" w:ascii="仿宋_GB2312" w:hAnsi="仿宋_GB2312" w:eastAsia="仿宋_GB2312" w:cs="仿宋_GB2312"/>
          <w:color w:val="auto"/>
          <w:sz w:val="30"/>
          <w:szCs w:val="30"/>
          <w:highlight w:val="none"/>
          <w:lang w:val="en-US" w:eastAsia="zh-CN"/>
        </w:rPr>
        <w:t>4249617.39</w:t>
      </w:r>
      <w:r>
        <w:rPr>
          <w:rFonts w:hint="eastAsia" w:ascii="仿宋_GB2312" w:hAnsi="仿宋_GB2312" w:eastAsia="仿宋_GB2312" w:cs="仿宋_GB2312"/>
          <w:color w:val="auto"/>
          <w:sz w:val="30"/>
          <w:szCs w:val="30"/>
          <w:highlight w:val="none"/>
          <w:lang w:eastAsia="zh-CN"/>
        </w:rPr>
        <w:t>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元，无形资产</w:t>
      </w:r>
      <w:r>
        <w:rPr>
          <w:rFonts w:hint="eastAsia" w:ascii="仿宋_GB2312" w:hAnsi="仿宋_GB2312" w:eastAsia="仿宋_GB2312" w:cs="仿宋_GB2312"/>
          <w:color w:val="auto"/>
          <w:sz w:val="30"/>
          <w:szCs w:val="30"/>
          <w:highlight w:val="none"/>
          <w:lang w:val="en-US" w:eastAsia="zh-CN"/>
        </w:rPr>
        <w:t>0</w:t>
      </w:r>
      <w:r>
        <w:rPr>
          <w:rFonts w:hint="eastAsia" w:ascii="仿宋_GB2312" w:hAnsi="仿宋_GB2312" w:eastAsia="仿宋_GB2312" w:cs="仿宋_GB2312"/>
          <w:color w:val="auto"/>
          <w:sz w:val="30"/>
          <w:szCs w:val="30"/>
          <w:highlight w:val="none"/>
          <w:lang w:eastAsia="zh-CN"/>
        </w:rPr>
        <w:t>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。与上年相比，本年资产总额减少</w:t>
      </w:r>
      <w:r>
        <w:rPr>
          <w:rFonts w:hint="eastAsia" w:ascii="仿宋_GB2312" w:hAnsi="黑体" w:eastAsia="仿宋_GB2312" w:cs="方正小标宋简体"/>
          <w:color w:val="auto"/>
          <w:kern w:val="0"/>
          <w:sz w:val="30"/>
          <w:szCs w:val="30"/>
          <w:highlight w:val="none"/>
          <w:lang w:val="en-US" w:eastAsia="zh-CN"/>
        </w:rPr>
        <w:t>360058.17</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，其中固定资产减少</w:t>
      </w:r>
      <w:r>
        <w:rPr>
          <w:rFonts w:hint="eastAsia" w:ascii="仿宋_GB2312" w:hAnsi="黑体" w:eastAsia="仿宋_GB2312" w:cs="方正小标宋简体"/>
          <w:color w:val="auto"/>
          <w:kern w:val="0"/>
          <w:sz w:val="30"/>
          <w:szCs w:val="30"/>
          <w:highlight w:val="none"/>
          <w:lang w:val="en-US" w:eastAsia="zh-CN"/>
        </w:rPr>
        <w:t>306333.58</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18B4A529">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6F1737D1">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3C45360D">
            <w:pPr>
              <w:widowControl/>
              <w:jc w:val="left"/>
              <w:rPr>
                <w:rFonts w:ascii="宋体" w:hAnsi="宋体" w:cs="宋体"/>
                <w:color w:val="000000"/>
                <w:kern w:val="0"/>
                <w:sz w:val="17"/>
                <w:szCs w:val="17"/>
                <w:highlight w:val="none"/>
              </w:rPr>
            </w:pPr>
          </w:p>
        </w:tc>
      </w:tr>
      <w:tr w14:paraId="365B9DC2">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3E56B9A">
            <w:pPr>
              <w:widowControl/>
              <w:jc w:val="left"/>
              <w:rPr>
                <w:rFonts w:ascii="宋体" w:hAnsi="宋体" w:cs="宋体"/>
                <w:color w:val="000000"/>
                <w:kern w:val="0"/>
                <w:sz w:val="17"/>
                <w:szCs w:val="17"/>
                <w:highlight w:val="none"/>
              </w:rPr>
            </w:pPr>
          </w:p>
        </w:tc>
      </w:tr>
      <w:tr w14:paraId="1ABEF5AC">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29309258">
            <w:pPr>
              <w:widowControl/>
              <w:jc w:val="left"/>
              <w:rPr>
                <w:rFonts w:ascii="宋体" w:hAnsi="宋体" w:cs="宋体"/>
                <w:color w:val="000000"/>
                <w:kern w:val="0"/>
                <w:sz w:val="17"/>
                <w:szCs w:val="17"/>
                <w:highlight w:val="none"/>
              </w:rPr>
            </w:pPr>
          </w:p>
        </w:tc>
      </w:tr>
      <w:tr w14:paraId="36EBA130">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2C8374A7">
            <w:pPr>
              <w:widowControl/>
              <w:jc w:val="left"/>
              <w:rPr>
                <w:rFonts w:ascii="宋体" w:hAnsi="宋体" w:cs="宋体"/>
                <w:color w:val="000000"/>
                <w:kern w:val="0"/>
                <w:sz w:val="17"/>
                <w:szCs w:val="17"/>
                <w:highlight w:val="none"/>
              </w:rPr>
            </w:pPr>
          </w:p>
        </w:tc>
      </w:tr>
      <w:tr w14:paraId="438D315E">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5D33EBE">
            <w:pPr>
              <w:widowControl/>
              <w:jc w:val="left"/>
              <w:rPr>
                <w:rFonts w:ascii="宋体" w:hAnsi="宋体" w:cs="宋体"/>
                <w:color w:val="000000"/>
                <w:kern w:val="0"/>
                <w:sz w:val="17"/>
                <w:szCs w:val="17"/>
                <w:highlight w:val="none"/>
              </w:rPr>
            </w:pPr>
          </w:p>
        </w:tc>
      </w:tr>
      <w:tr w14:paraId="7B85C1A4">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3FCC7065">
            <w:pPr>
              <w:widowControl/>
              <w:jc w:val="left"/>
              <w:rPr>
                <w:rFonts w:ascii="宋体" w:hAnsi="宋体" w:cs="宋体"/>
                <w:color w:val="000000"/>
                <w:kern w:val="0"/>
                <w:sz w:val="17"/>
                <w:szCs w:val="17"/>
                <w:highlight w:val="none"/>
              </w:rPr>
            </w:pPr>
          </w:p>
        </w:tc>
      </w:tr>
      <w:tr w14:paraId="2C3A36F5">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92B0409">
            <w:pPr>
              <w:widowControl/>
              <w:jc w:val="left"/>
              <w:rPr>
                <w:rFonts w:ascii="宋体" w:hAnsi="宋体" w:cs="宋体"/>
                <w:color w:val="000000"/>
                <w:kern w:val="0"/>
                <w:sz w:val="17"/>
                <w:szCs w:val="17"/>
                <w:highlight w:val="none"/>
              </w:rPr>
            </w:pPr>
          </w:p>
        </w:tc>
      </w:tr>
      <w:tr w14:paraId="0BD4D628">
        <w:tblPrEx>
          <w:tblCellMar>
            <w:top w:w="0" w:type="dxa"/>
            <w:left w:w="0" w:type="dxa"/>
            <w:bottom w:w="0" w:type="dxa"/>
            <w:right w:w="0" w:type="dxa"/>
          </w:tblCellMar>
        </w:tblPrEx>
        <w:trPr>
          <w:trHeight w:val="495" w:hRule="atLeast"/>
        </w:trPr>
        <w:tc>
          <w:tcPr>
            <w:tcW w:w="142" w:type="dxa"/>
            <w:noWrap w:val="0"/>
            <w:vAlign w:val="center"/>
          </w:tcPr>
          <w:p w14:paraId="15732CB0">
            <w:pPr>
              <w:widowControl/>
              <w:jc w:val="left"/>
              <w:rPr>
                <w:rFonts w:ascii="Times New Roman" w:hAnsi="Times New Roman" w:eastAsia="Times New Roman"/>
                <w:kern w:val="0"/>
                <w:sz w:val="20"/>
                <w:szCs w:val="20"/>
                <w:highlight w:val="none"/>
              </w:rPr>
            </w:pPr>
          </w:p>
        </w:tc>
      </w:tr>
    </w:tbl>
    <w:p w14:paraId="7AE3F98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6A0C4741">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468000.00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468000.00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468000.00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6FCE6315">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531B14DA">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344C31ED">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D574591">
      <w:pPr>
        <w:ind w:firstLine="600" w:firstLineChars="200"/>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富民县赤鹫中学2025年无其他重要事项情况说明。</w:t>
      </w:r>
    </w:p>
    <w:p w14:paraId="695C791B">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89EC71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4FBBA010">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03BBF2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E945C6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72BC9CB5">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7820CE2F">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A6C62CE">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6D1FFFF2">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B83D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9E5EDC">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199E5EDC">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19B41">
    <w:pPr>
      <w:pStyle w:val="5"/>
      <w:framePr w:wrap="around" w:vAnchor="text" w:hAnchor="margin" w:xAlign="center" w:y="1"/>
      <w:rPr>
        <w:rStyle w:val="11"/>
      </w:rPr>
    </w:pPr>
    <w:r>
      <w:rPr>
        <w:rStyle w:val="11"/>
      </w:rPr>
      <w:fldChar w:fldCharType="begin"/>
    </w:r>
    <w:r>
      <w:rPr>
        <w:rStyle w:val="11"/>
      </w:rPr>
      <w:instrText xml:space="preserve">PAGE  </w:instrText>
    </w:r>
    <w:r>
      <w:fldChar w:fldCharType="separate"/>
    </w:r>
    <w:r>
      <w:fldChar w:fldCharType="end"/>
    </w:r>
  </w:p>
  <w:p w14:paraId="49E18869">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D0C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212E4E73"/>
    <w:multiLevelType w:val="singleLevel"/>
    <w:tmpl w:val="212E4E7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5D772F"/>
    <w:rsid w:val="1BDB37F6"/>
    <w:rsid w:val="1E1E57D5"/>
    <w:rsid w:val="38FF5D8C"/>
    <w:rsid w:val="6D31379A"/>
    <w:rsid w:val="6E8977B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toc 5"/>
    <w:next w:val="1"/>
    <w:qFormat/>
    <w:uiPriority w:val="0"/>
    <w:pPr>
      <w:widowControl w:val="0"/>
      <w:spacing w:before="100" w:beforeAutospacing="1" w:after="100" w:afterAutospacing="1"/>
      <w:ind w:left="1680"/>
      <w:jc w:val="both"/>
    </w:pPr>
    <w:rPr>
      <w:rFonts w:ascii="Calibri" w:hAnsi="Calibri" w:eastAsia="宋体" w:cs="Times New Roman"/>
      <w:kern w:val="2"/>
      <w:sz w:val="32"/>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jc w:val="left"/>
    </w:pPr>
    <w:rPr>
      <w:rFonts w:ascii="宋体" w:hAnsi="宋体" w:cs="宋体"/>
      <w:kern w:val="0"/>
      <w:sz w:val="24"/>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2052-11.8.2.12309</vt:lpwstr>
  </property>
  <property xmlns="http://schemas.openxmlformats.org/officeDocument/2006/custom-properties" name="ICV" fmtid="{D5CDD505-2E9C-101B-9397-08002B2CF9AE}" pid="3">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cd8182-caa7-4156-a888-d97343cf27e5}">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6837</Words>
  <Characters>7843</Characters>
  <Lines>0</Lines>
  <Paragraphs>0</Paragraphs>
  <TotalTime>32</TotalTime>
  <ScaleCrop>false</ScaleCrop>
  <LinksUpToDate>false</LinksUpToDate>
  <CharactersWithSpaces>7868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李伟</cp:lastModifiedBy>
  <cp:lastPrinted>2024-07-30T14:24:00Z</cp:lastPrinted>
  <dcterms:modified xsi:type="dcterms:W3CDTF">2026-10-27T17:20:46Z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D704A7CC10954281AD813C657CDED95C_13</vt:lpwstr>
  </property>
  <property fmtid="{D5CDD505-2E9C-101B-9397-08002B2CF9AE}" pid="4" name="KSOTemplateDocerSaveRecord">
    <vt:lpwstr>eyJoZGlkIjoiNTdiNmVlY2JhZjhiNTNjZjk4YzVhNjM2YWY5NmE3M2QiLCJ1c2VySWQiOiIxNzYzNzQ3ODI2In0=</vt:lpwstr>
  </property>
</Properties>
</file>