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富民县东村中学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pPr>
        <w:jc w:val="center"/>
        <w:rPr>
          <w:rFonts w:hint="eastAsia" w:ascii="方正小标宋简体" w:hAnsi="方正小标宋简体" w:eastAsia="方正小标宋简体" w:cs="方正小标宋简体"/>
          <w:sz w:val="36"/>
          <w:szCs w:val="36"/>
          <w:highlight w:val="none"/>
        </w:rPr>
      </w:pPr>
    </w:p>
    <w:p>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jc w:val="left"/>
        <w:rPr>
          <w:rFonts w:hint="eastAsia" w:ascii="黑体" w:hAnsi="黑体" w:eastAsia="黑体"/>
          <w:sz w:val="30"/>
          <w:szCs w:val="30"/>
          <w:highlight w:val="none"/>
        </w:rPr>
      </w:pP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both"/>
        <w:rPr>
          <w:rFonts w:hint="eastAsia" w:ascii="黑体" w:hAnsi="黑体" w:eastAsia="黑体"/>
          <w:sz w:val="32"/>
          <w:szCs w:val="32"/>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pPr>
        <w:pStyle w:val="2"/>
        <w:adjustRightInd w:val="0"/>
        <w:snapToGrid w:val="0"/>
        <w:spacing w:line="600" w:lineRule="exact"/>
        <w:ind w:firstLine="630" w:firstLineChars="210"/>
        <w:rPr>
          <w:rFonts w:hint="eastAsia"/>
          <w:bCs/>
          <w:color w:val="FF0000"/>
          <w:szCs w:val="30"/>
          <w:highlight w:val="none"/>
        </w:rPr>
      </w:pPr>
      <w:r>
        <w:rPr>
          <w:rFonts w:hint="eastAsia"/>
          <w:bCs/>
          <w:szCs w:val="30"/>
          <w:highlight w:val="none"/>
        </w:rPr>
        <w:t>实施初中义务教育及相关社会服务，促进基础教育发展，宣传贯彻党和国家的教育方针政策及相关法律法规。依法执教、依法治教、严格做好控辍保学，组织开展校本教研及相关培训学习活动，全面推进素质教育。</w:t>
      </w:r>
    </w:p>
    <w:p>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pPr>
        <w:keepNext w:val="0"/>
        <w:keepLines w:val="0"/>
        <w:pageBreakBefore w:val="0"/>
        <w:widowControl/>
        <w:kinsoku/>
        <w:wordWrap/>
        <w:overflowPunct/>
        <w:topLinePunct w:val="0"/>
        <w:autoSpaceDE/>
        <w:autoSpaceDN/>
        <w:bidi w:val="0"/>
        <w:adjustRightInd/>
        <w:spacing w:line="560" w:lineRule="exact"/>
        <w:ind w:firstLine="600"/>
        <w:jc w:val="left"/>
        <w:textAlignment w:val="auto"/>
        <w:rPr>
          <w:rFonts w:hint="eastAsia" w:ascii="Times New Roman" w:hAnsi="Times New Roman" w:eastAsia="仿宋_GB2312" w:cs="Times New Roman"/>
          <w:kern w:val="2"/>
          <w:sz w:val="30"/>
          <w:szCs w:val="30"/>
          <w:highlight w:val="none"/>
          <w:lang w:val="en-US" w:eastAsia="zh-CN" w:bidi="ar-SA"/>
        </w:rPr>
      </w:pPr>
      <w:r>
        <w:rPr>
          <w:rFonts w:hint="eastAsia" w:eastAsia="仿宋_GB2312" w:cs="Times New Roman"/>
          <w:kern w:val="2"/>
          <w:sz w:val="30"/>
          <w:szCs w:val="30"/>
          <w:highlight w:val="none"/>
          <w:lang w:val="en-US" w:eastAsia="zh-CN" w:bidi="ar-SA"/>
        </w:rPr>
        <w:t>富民县东村中学</w:t>
      </w:r>
      <w:r>
        <w:rPr>
          <w:rFonts w:hint="eastAsia" w:ascii="Times New Roman" w:hAnsi="Times New Roman" w:eastAsia="仿宋_GB2312" w:cs="Times New Roman"/>
          <w:kern w:val="2"/>
          <w:sz w:val="30"/>
          <w:szCs w:val="30"/>
          <w:highlight w:val="none"/>
          <w:lang w:val="en-US" w:eastAsia="zh-CN" w:bidi="ar-SA"/>
        </w:rPr>
        <w:t>共</w:t>
      </w:r>
      <w:r>
        <w:rPr>
          <w:rFonts w:hint="eastAsia" w:eastAsia="仿宋_GB2312" w:cs="Times New Roman"/>
          <w:kern w:val="2"/>
          <w:sz w:val="30"/>
          <w:szCs w:val="30"/>
          <w:highlight w:val="none"/>
          <w:lang w:val="en-US" w:eastAsia="zh-CN" w:bidi="ar-SA"/>
        </w:rPr>
        <w:t>设置</w:t>
      </w:r>
      <w:r>
        <w:rPr>
          <w:rFonts w:hint="eastAsia" w:ascii="Times New Roman" w:hAnsi="Times New Roman" w:eastAsia="仿宋_GB2312" w:cs="Times New Roman"/>
          <w:kern w:val="2"/>
          <w:sz w:val="30"/>
          <w:szCs w:val="30"/>
          <w:highlight w:val="none"/>
          <w:lang w:val="en-US" w:eastAsia="zh-CN" w:bidi="ar-SA"/>
        </w:rPr>
        <w:t>3个内设机构，包括：教导处、总务处、安全科。</w:t>
      </w:r>
    </w:p>
    <w:p>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我单位作为富民县教育体育局</w:t>
      </w:r>
      <w:r>
        <w:rPr>
          <w:rFonts w:hint="eastAsia" w:ascii="仿宋_GB2312" w:eastAsia="仿宋_GB2312"/>
          <w:sz w:val="30"/>
          <w:szCs w:val="30"/>
          <w:highlight w:val="none"/>
          <w:lang w:val="en-US" w:eastAsia="zh-CN"/>
        </w:rPr>
        <w:t>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28</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28</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17</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17</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244</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lang w:val="en-US" w:eastAsia="zh-CN"/>
        </w:rPr>
        <w:t>人。</w:t>
      </w:r>
    </w:p>
    <w:p>
      <w:pPr>
        <w:spacing w:line="600" w:lineRule="exact"/>
        <w:ind w:firstLine="600" w:firstLineChars="200"/>
        <w:jc w:val="left"/>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pPr>
        <w:spacing w:line="600" w:lineRule="exact"/>
        <w:ind w:firstLine="600" w:firstLineChars="200"/>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（一）坚持立德树人，抓实教育教学工作</w:t>
      </w:r>
    </w:p>
    <w:p>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学校全面贯彻党的教育方针，严格落实义务教育办学要求，常态化抓好教育教学常规管理，扎实推进课堂教学改革与校本教研工作。持续做好控辍保学、学生综合素质评价、培优辅差等工作，落实各项学生资助、营养改善计划政策，稳步提升教育教学质量，保障义务教育均衡发展落地见效。</w:t>
      </w:r>
      <w:r>
        <w:rPr>
          <w:rFonts w:hint="eastAsia" w:ascii="仿宋_GB2312" w:eastAsia="仿宋_GB2312"/>
          <w:sz w:val="30"/>
          <w:szCs w:val="30"/>
          <w:highlight w:val="none"/>
          <w:lang w:eastAsia="zh-CN"/>
        </w:rPr>
        <w:br w:type="textWrapping"/>
      </w:r>
      <w:r>
        <w:rPr>
          <w:rFonts w:hint="eastAsia" w:ascii="仿宋_GB2312" w:eastAsia="仿宋_GB2312"/>
          <w:sz w:val="30"/>
          <w:szCs w:val="30"/>
          <w:highlight w:val="none"/>
          <w:lang w:val="en-US" w:eastAsia="zh-CN"/>
        </w:rPr>
        <w:t xml:space="preserve">  </w:t>
      </w:r>
      <w:r>
        <w:rPr>
          <w:rFonts w:hint="eastAsia" w:ascii="楷体" w:hAnsi="楷体" w:eastAsia="楷体"/>
          <w:sz w:val="30"/>
          <w:szCs w:val="30"/>
          <w:highlight w:val="none"/>
          <w:lang w:val="en-US" w:eastAsia="zh-CN"/>
        </w:rPr>
        <w:t xml:space="preserve">  （二）强化队伍建设，提升教师履职能力</w:t>
      </w:r>
    </w:p>
    <w:p>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常态化开展师德师风建设，严格规范教师从教行为。积极组织教师参与各级各类教研培训、课赛交流、继续教育学习，不断夯实教师专业素养和教学业务能力，持续优化师资队伍结构，为学校教育高质量发展提供保障。</w:t>
      </w:r>
      <w:r>
        <w:rPr>
          <w:rFonts w:hint="eastAsia" w:ascii="仿宋_GB2312" w:eastAsia="仿宋_GB2312"/>
          <w:sz w:val="30"/>
          <w:szCs w:val="30"/>
          <w:highlight w:val="none"/>
          <w:lang w:eastAsia="zh-CN"/>
        </w:rPr>
        <w:br w:type="textWrapping"/>
      </w:r>
      <w:r>
        <w:rPr>
          <w:rFonts w:hint="eastAsia" w:ascii="仿宋_GB2312" w:eastAsia="仿宋_GB2312"/>
          <w:sz w:val="30"/>
          <w:szCs w:val="30"/>
          <w:highlight w:val="none"/>
          <w:lang w:val="en-US" w:eastAsia="zh-CN"/>
        </w:rPr>
        <w:t xml:space="preserve">    </w:t>
      </w:r>
      <w:r>
        <w:rPr>
          <w:rFonts w:hint="eastAsia" w:ascii="楷体" w:hAnsi="楷体" w:eastAsia="楷体"/>
          <w:sz w:val="30"/>
          <w:szCs w:val="30"/>
          <w:highlight w:val="none"/>
          <w:lang w:val="en-US" w:eastAsia="zh-CN"/>
        </w:rPr>
        <w:t>（三）筑牢安全防线，建设平安和谐校园</w:t>
      </w:r>
    </w:p>
    <w:p>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严格落实校园安全主体责任，常态化开展消防安全、食品安全、防溺水、防校园欺凌、交通安全等安全教育及隐患排查整治。完善校园安全管理制度与应急处置预案，常态化开展应急演练，全力守护师生生命安全，维护校园安全稳定局面。</w:t>
      </w:r>
      <w:r>
        <w:rPr>
          <w:rFonts w:hint="eastAsia" w:ascii="仿宋_GB2312" w:eastAsia="仿宋_GB2312"/>
          <w:sz w:val="30"/>
          <w:szCs w:val="30"/>
          <w:highlight w:val="none"/>
          <w:lang w:eastAsia="zh-CN"/>
        </w:rPr>
        <w:br w:type="textWrapping"/>
      </w:r>
      <w:r>
        <w:rPr>
          <w:rFonts w:hint="eastAsia" w:ascii="仿宋_GB2312" w:eastAsia="仿宋_GB2312"/>
          <w:sz w:val="30"/>
          <w:szCs w:val="30"/>
          <w:highlight w:val="none"/>
          <w:lang w:val="en-US" w:eastAsia="zh-CN"/>
        </w:rPr>
        <w:t xml:space="preserve">    </w:t>
      </w:r>
      <w:r>
        <w:rPr>
          <w:rFonts w:hint="eastAsia" w:ascii="楷体" w:hAnsi="楷体" w:eastAsia="楷体"/>
          <w:sz w:val="30"/>
          <w:szCs w:val="30"/>
          <w:highlight w:val="none"/>
          <w:lang w:val="en-US" w:eastAsia="zh-CN"/>
        </w:rPr>
        <w:t>（四）规范后勤财务，提高资金使用效益</w:t>
      </w:r>
    </w:p>
    <w:p>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严格执行财政预算、决算及政府采购相关制度，规范学校收支管理、食堂大宗物资采购、固定资产管理等工作。坚持厉行节约、专款专用，强化预算绩效管理，规范账务核算，全力保障学校教育教学、后勤保障等各项工作平稳有序运行。</w:t>
      </w:r>
    </w:p>
    <w:p>
      <w:pPr>
        <w:spacing w:line="600" w:lineRule="exact"/>
        <w:ind w:firstLine="600" w:firstLineChars="200"/>
        <w:rPr>
          <w:rFonts w:hint="eastAsia" w:ascii="仿宋_GB2312" w:eastAsia="仿宋_GB2312"/>
          <w:sz w:val="30"/>
          <w:szCs w:val="30"/>
          <w:highlight w:val="none"/>
          <w:lang w:eastAsia="zh-CN"/>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pPr>
        <w:spacing w:line="600" w:lineRule="exact"/>
        <w:ind w:firstLine="600" w:firstLineChars="200"/>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本单位2025年度无政府性基金预算财政拨款收入，《政府性基金预算财政拨款收入支出决算表》为空表。</w:t>
      </w:r>
    </w:p>
    <w:p>
      <w:pPr>
        <w:spacing w:line="600" w:lineRule="exact"/>
        <w:ind w:firstLine="600" w:firstLineChars="200"/>
        <w:jc w:val="left"/>
        <w:rPr>
          <w:rFonts w:hint="eastAsia" w:ascii="仿宋_GB2312" w:hAnsi="仿宋_GB2312" w:eastAsia="仿宋_GB2312" w:cs="仿宋_GB2312"/>
          <w:b w:val="0"/>
          <w:bCs w:val="0"/>
          <w:color w:val="auto"/>
          <w:sz w:val="30"/>
          <w:szCs w:val="30"/>
          <w:highlight w:val="none"/>
          <w:u w:val="none"/>
          <w:lang w:val="en-US" w:eastAsia="zh-CN"/>
        </w:rPr>
      </w:pPr>
    </w:p>
    <w:p>
      <w:pPr>
        <w:spacing w:line="600" w:lineRule="exact"/>
        <w:ind w:firstLine="600" w:firstLineChars="200"/>
        <w:jc w:val="left"/>
        <w:rPr>
          <w:rFonts w:hint="eastAsia" w:ascii="仿宋_GB2312" w:hAnsi="仿宋_GB2312" w:eastAsia="仿宋_GB2312" w:cs="仿宋_GB2312"/>
          <w:b w:val="0"/>
          <w:bCs w:val="0"/>
          <w:color w:val="auto"/>
          <w:sz w:val="30"/>
          <w:szCs w:val="30"/>
          <w:highlight w:val="none"/>
          <w:u w:val="none"/>
          <w:lang w:val="en-US" w:eastAsia="zh-CN"/>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富民县东村中学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7254489.77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6972369.57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96.11</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282120.20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3.89</w:t>
      </w:r>
      <w:r>
        <w:rPr>
          <w:rFonts w:hint="eastAsia" w:ascii="仿宋_GB2312" w:eastAsia="仿宋_GB2312"/>
          <w:sz w:val="30"/>
          <w:szCs w:val="30"/>
          <w:highlight w:val="none"/>
        </w:rPr>
        <w:t>%。</w:t>
      </w:r>
    </w:p>
    <w:p>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416624.25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5.43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698744.45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9.11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；附属单位上缴收入增加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282120.20</w:t>
      </w:r>
      <w:r>
        <w:rPr>
          <w:rFonts w:hint="eastAsia" w:ascii="仿宋_GB2312" w:eastAsia="仿宋_GB2312"/>
          <w:sz w:val="30"/>
          <w:szCs w:val="30"/>
          <w:highlight w:val="none"/>
          <w:lang w:eastAsia="zh-CN"/>
        </w:rPr>
        <w:t>元，上年无此项收入，为本年新增收入。</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是我单位学生人数减少，</w:t>
      </w:r>
      <w:r>
        <w:rPr>
          <w:rFonts w:hint="eastAsia" w:ascii="仿宋_GB2312" w:eastAsia="仿宋_GB2312"/>
          <w:sz w:val="30"/>
          <w:szCs w:val="30"/>
          <w:highlight w:val="none"/>
          <w:lang w:val="en-US" w:eastAsia="zh-CN"/>
        </w:rPr>
        <w:t>支出</w:t>
      </w:r>
      <w:r>
        <w:rPr>
          <w:rFonts w:hint="eastAsia" w:ascii="仿宋_GB2312" w:eastAsia="仿宋_GB2312"/>
          <w:sz w:val="30"/>
          <w:szCs w:val="30"/>
          <w:highlight w:val="none"/>
          <w:lang w:eastAsia="zh-CN"/>
        </w:rPr>
        <w:t>减少</w:t>
      </w:r>
      <w:r>
        <w:rPr>
          <w:rFonts w:hint="eastAsia" w:ascii="仿宋_GB2312" w:eastAsia="仿宋_GB2312"/>
          <w:color w:val="auto"/>
          <w:sz w:val="30"/>
          <w:szCs w:val="30"/>
          <w:highlight w:val="none"/>
        </w:rPr>
        <w:t>。</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富民县东村中学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7253049.77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6459035.52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89.05</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794014.25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10.95</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是我单位学生人数减少，基本支出和项目支出减少</w:t>
      </w:r>
      <w:r>
        <w:rPr>
          <w:rFonts w:hint="eastAsia" w:ascii="仿宋_GB2312" w:eastAsia="仿宋_GB2312"/>
          <w:sz w:val="30"/>
          <w:szCs w:val="30"/>
          <w:highlight w:val="none"/>
        </w:rPr>
        <w:t>。</w:t>
      </w:r>
    </w:p>
    <w:p>
      <w:pPr>
        <w:spacing w:line="600" w:lineRule="exact"/>
        <w:ind w:firstLine="600" w:firstLineChars="200"/>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富民县东村中学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6459035.52</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6349307.84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98.30</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109727.68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1.70</w:t>
      </w:r>
      <w:r>
        <w:rPr>
          <w:rFonts w:hint="eastAsia" w:ascii="仿宋_GB2312" w:hAnsi="仿宋_GB2312" w:eastAsia="仿宋_GB2312" w:cs="仿宋_GB2312"/>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富民县东村中学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794014.25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1.</w:t>
      </w:r>
      <w:r>
        <w:rPr>
          <w:rFonts w:hint="eastAsia" w:ascii="仿宋_GB2312" w:eastAsia="仿宋_GB2312"/>
          <w:sz w:val="30"/>
          <w:szCs w:val="30"/>
          <w:highlight w:val="none"/>
        </w:rPr>
        <w:t>城乡义务教育营养改善补助资金项目经费</w:t>
      </w:r>
      <w:r>
        <w:rPr>
          <w:rFonts w:hint="eastAsia" w:ascii="仿宋_GB2312" w:eastAsia="仿宋_GB2312"/>
          <w:sz w:val="30"/>
          <w:szCs w:val="30"/>
          <w:highlight w:val="none"/>
          <w:lang w:val="en-US" w:eastAsia="zh-CN"/>
        </w:rPr>
        <w:t>219777.01</w:t>
      </w:r>
      <w:r>
        <w:rPr>
          <w:rFonts w:hint="eastAsia" w:ascii="仿宋_GB2312" w:eastAsia="仿宋_GB2312"/>
          <w:sz w:val="30"/>
          <w:szCs w:val="30"/>
          <w:highlight w:val="none"/>
        </w:rPr>
        <w:t>元，主要用于</w:t>
      </w:r>
      <w:r>
        <w:rPr>
          <w:rFonts w:hint="eastAsia" w:ascii="Times New Roman" w:hAnsi="Times New Roman" w:eastAsia="仿宋_GB2312" w:cs="Times New Roman"/>
          <w:kern w:val="2"/>
          <w:sz w:val="30"/>
          <w:szCs w:val="30"/>
          <w:highlight w:val="none"/>
          <w:lang w:val="en-US" w:eastAsia="zh-CN" w:bidi="ar-SA"/>
        </w:rPr>
        <w:t>学生营养改善计划，改善学生营养情况，提高学生健康水平</w:t>
      </w:r>
      <w:r>
        <w:rPr>
          <w:rFonts w:hint="eastAsia" w:eastAsia="仿宋_GB2312" w:cs="Times New Roman"/>
          <w:kern w:val="2"/>
          <w:sz w:val="30"/>
          <w:szCs w:val="30"/>
          <w:highlight w:val="none"/>
          <w:lang w:val="en-US" w:eastAsia="zh-CN" w:bidi="ar-SA"/>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w:t>
      </w:r>
      <w:r>
        <w:rPr>
          <w:rFonts w:hint="eastAsia" w:ascii="仿宋_GB2312" w:eastAsia="仿宋_GB2312"/>
          <w:sz w:val="30"/>
          <w:szCs w:val="30"/>
          <w:highlight w:val="none"/>
        </w:rPr>
        <w:t>城</w:t>
      </w:r>
      <w:r>
        <w:rPr>
          <w:rFonts w:hint="eastAsia" w:ascii="仿宋_GB2312" w:eastAsia="仿宋_GB2312"/>
          <w:sz w:val="30"/>
          <w:szCs w:val="30"/>
          <w:highlight w:val="none"/>
          <w:lang w:eastAsia="zh-CN"/>
        </w:rPr>
        <w:t>乡义务教育家庭经济困难学生生活补助资金项目经费</w:t>
      </w:r>
      <w:r>
        <w:rPr>
          <w:rFonts w:hint="eastAsia" w:ascii="仿宋_GB2312" w:eastAsia="仿宋_GB2312"/>
          <w:sz w:val="30"/>
          <w:szCs w:val="30"/>
          <w:highlight w:val="none"/>
          <w:lang w:val="en-US" w:eastAsia="zh-CN"/>
        </w:rPr>
        <w:t>224856.77</w:t>
      </w:r>
      <w:r>
        <w:rPr>
          <w:rFonts w:hint="eastAsia" w:ascii="仿宋_GB2312" w:eastAsia="仿宋_GB2312"/>
          <w:sz w:val="30"/>
          <w:szCs w:val="30"/>
          <w:highlight w:val="none"/>
          <w:lang w:eastAsia="zh-CN"/>
        </w:rPr>
        <w:t>元，主要用于</w:t>
      </w:r>
      <w:r>
        <w:rPr>
          <w:rFonts w:hint="eastAsia" w:ascii="仿宋_GB2312" w:eastAsia="仿宋_GB2312"/>
          <w:sz w:val="30"/>
          <w:szCs w:val="30"/>
          <w:highlight w:val="none"/>
          <w:lang w:val="en-US" w:eastAsia="zh-CN"/>
        </w:rPr>
        <w:t>家庭经济困难学生的生活补助，帮助家庭经济困难学生顺利就学，提升义务教育巩固率。</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3.富民县</w:t>
      </w:r>
      <w:r>
        <w:rPr>
          <w:rFonts w:hint="eastAsia" w:ascii="仿宋_GB2312" w:eastAsia="仿宋_GB2312"/>
          <w:sz w:val="30"/>
          <w:szCs w:val="30"/>
          <w:highlight w:val="none"/>
        </w:rPr>
        <w:t>公办学校食堂大宗物资采购专项资金</w:t>
      </w:r>
      <w:r>
        <w:rPr>
          <w:rFonts w:hint="eastAsia" w:ascii="仿宋_GB2312" w:eastAsia="仿宋_GB2312"/>
          <w:sz w:val="30"/>
          <w:szCs w:val="30"/>
          <w:highlight w:val="none"/>
          <w:lang w:val="en-US" w:eastAsia="zh-CN"/>
        </w:rPr>
        <w:t>90755.00元，主要用于学校食堂食材采购，保障在校学生就餐，落实学生营养改善计划，保障校园食品安全。</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4.</w:t>
      </w:r>
      <w:r>
        <w:rPr>
          <w:rFonts w:hint="eastAsia" w:ascii="仿宋_GB2312" w:eastAsia="仿宋_GB2312"/>
          <w:sz w:val="30"/>
          <w:szCs w:val="30"/>
          <w:highlight w:val="none"/>
          <w:lang w:eastAsia="zh-CN"/>
        </w:rPr>
        <w:t>城乡义务教育公用经费</w:t>
      </w:r>
      <w:r>
        <w:rPr>
          <w:rFonts w:hint="eastAsia" w:ascii="仿宋_GB2312" w:eastAsia="仿宋_GB2312"/>
          <w:sz w:val="30"/>
          <w:szCs w:val="30"/>
          <w:highlight w:val="none"/>
          <w:lang w:val="en-US" w:eastAsia="zh-CN"/>
        </w:rPr>
        <w:t>各级</w:t>
      </w:r>
      <w:r>
        <w:rPr>
          <w:rFonts w:hint="eastAsia" w:ascii="仿宋_GB2312" w:eastAsia="仿宋_GB2312"/>
          <w:sz w:val="30"/>
          <w:szCs w:val="30"/>
          <w:highlight w:val="none"/>
          <w:lang w:eastAsia="zh-CN"/>
        </w:rPr>
        <w:t>专项资金</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258625.47元，主要用于保障学校基础运行工作有序开展，为</w:t>
      </w:r>
      <w:r>
        <w:rPr>
          <w:rFonts w:hint="eastAsia" w:ascii="仿宋_GB2312" w:eastAsia="仿宋_GB2312"/>
          <w:sz w:val="30"/>
          <w:szCs w:val="30"/>
          <w:highlight w:val="none"/>
          <w:lang w:eastAsia="zh-CN"/>
        </w:rPr>
        <w:t>义务教育</w:t>
      </w:r>
      <w:r>
        <w:rPr>
          <w:rFonts w:hint="eastAsia" w:ascii="仿宋_GB2312" w:eastAsia="仿宋_GB2312"/>
          <w:sz w:val="30"/>
          <w:szCs w:val="30"/>
          <w:highlight w:val="none"/>
          <w:lang w:val="en-US" w:eastAsia="zh-CN"/>
        </w:rPr>
        <w:t>阶段的教学活动提供坚实的后勤保障与资源支撑。</w:t>
      </w:r>
    </w:p>
    <w:p>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富民县东村中学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6970929.57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96.11</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700184.45</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9.13</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105.21</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5212350.08</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74.77</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107.27</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主要用于</w:t>
      </w:r>
      <w:r>
        <w:rPr>
          <w:rFonts w:hint="eastAsia" w:ascii="Times New Roman" w:hAnsi="Times New Roman" w:eastAsia="仿宋_GB2312" w:cs="Times New Roman"/>
          <w:kern w:val="2"/>
          <w:sz w:val="30"/>
          <w:szCs w:val="30"/>
          <w:highlight w:val="none"/>
          <w:lang w:val="zh-CN" w:eastAsia="zh-CN" w:bidi="ar-SA"/>
        </w:rPr>
        <w:t>工资福利支出、商品和服务支出、对个人和家庭的补助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本单位人员流动，</w:t>
      </w:r>
      <w:r>
        <w:rPr>
          <w:rFonts w:hint="eastAsia" w:ascii="Times New Roman" w:hAnsi="Times New Roman" w:eastAsia="仿宋_GB2312" w:cs="Times New Roman"/>
          <w:kern w:val="2"/>
          <w:sz w:val="30"/>
          <w:szCs w:val="30"/>
          <w:highlight w:val="none"/>
          <w:lang w:val="zh-CN" w:eastAsia="zh-CN" w:bidi="ar-SA"/>
        </w:rPr>
        <w:t>工资福利支出</w:t>
      </w:r>
      <w:r>
        <w:rPr>
          <w:rFonts w:hint="eastAsia" w:ascii="仿宋_GB2312" w:hAnsi="宋体" w:eastAsia="仿宋_GB2312" w:cs="Arial"/>
          <w:kern w:val="0"/>
          <w:sz w:val="30"/>
          <w:szCs w:val="30"/>
          <w:highlight w:val="none"/>
          <w:lang w:eastAsia="zh-CN"/>
        </w:rPr>
        <w:t>、商品服务及个人家庭补助等支出受政策调整，实际需求增加等因素影响，与年初预算测算存在合理差异。</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756048.01</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10.85</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109.04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Times New Roman" w:hAnsi="Times New Roman" w:eastAsia="仿宋_GB2312" w:cs="Times New Roman"/>
          <w:kern w:val="2"/>
          <w:sz w:val="30"/>
          <w:szCs w:val="30"/>
          <w:highlight w:val="none"/>
          <w:lang w:val="en-US" w:eastAsia="zh-CN" w:bidi="ar-SA"/>
        </w:rPr>
        <w:t>主要用于支付教师社会保障福利费用</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本单位</w:t>
      </w:r>
      <w:r>
        <w:rPr>
          <w:rFonts w:hint="eastAsia" w:ascii="仿宋_GB2312" w:hAnsi="宋体" w:eastAsia="仿宋_GB2312" w:cs="Arial"/>
          <w:kern w:val="0"/>
          <w:sz w:val="30"/>
          <w:szCs w:val="30"/>
          <w:highlight w:val="none"/>
          <w:lang w:eastAsia="zh-CN"/>
        </w:rPr>
        <w:t>社会保障福利费用支出受人员</w:t>
      </w:r>
      <w:r>
        <w:rPr>
          <w:rFonts w:hint="eastAsia" w:ascii="仿宋_GB2312" w:hAnsi="宋体" w:eastAsia="仿宋_GB2312" w:cs="Arial"/>
          <w:kern w:val="0"/>
          <w:sz w:val="30"/>
          <w:szCs w:val="30"/>
          <w:highlight w:val="none"/>
          <w:lang w:val="en-US" w:eastAsia="zh-CN"/>
        </w:rPr>
        <w:t>调</w:t>
      </w:r>
      <w:r>
        <w:rPr>
          <w:rFonts w:hint="eastAsia" w:ascii="仿宋_GB2312" w:hAnsi="宋体" w:eastAsia="仿宋_GB2312" w:cs="Arial"/>
          <w:kern w:val="0"/>
          <w:sz w:val="30"/>
          <w:szCs w:val="30"/>
          <w:highlight w:val="none"/>
          <w:lang w:eastAsia="zh-CN"/>
        </w:rPr>
        <w:t>动、基数调整等因素影响，与年初预算测算存在合理差异。</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571504.48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8.20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96.64</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主要用于</w:t>
      </w:r>
      <w:r>
        <w:rPr>
          <w:rFonts w:hint="eastAsia" w:ascii="Times New Roman" w:hAnsi="Times New Roman" w:eastAsia="仿宋_GB2312" w:cs="Times New Roman"/>
          <w:kern w:val="2"/>
          <w:sz w:val="30"/>
          <w:szCs w:val="30"/>
          <w:highlight w:val="none"/>
          <w:lang w:val="en-US" w:eastAsia="zh-CN" w:bidi="ar-SA"/>
        </w:rPr>
        <w:t>本单位职工医疗保险公务员补助缴费支出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造成预决算差异的主要原因是本单位职工医疗保险公务员补助缴费受人员</w:t>
      </w:r>
      <w:r>
        <w:rPr>
          <w:rFonts w:hint="eastAsia" w:ascii="仿宋_GB2312" w:hAnsi="宋体" w:eastAsia="仿宋_GB2312" w:cs="Arial"/>
          <w:kern w:val="0"/>
          <w:sz w:val="30"/>
          <w:szCs w:val="30"/>
          <w:highlight w:val="none"/>
          <w:lang w:val="en-US" w:eastAsia="zh-CN"/>
        </w:rPr>
        <w:t>调</w:t>
      </w:r>
      <w:r>
        <w:rPr>
          <w:rFonts w:hint="eastAsia" w:ascii="仿宋_GB2312" w:hAnsi="宋体" w:eastAsia="仿宋_GB2312" w:cs="Arial"/>
          <w:kern w:val="0"/>
          <w:sz w:val="30"/>
          <w:szCs w:val="30"/>
          <w:highlight w:val="none"/>
          <w:lang w:eastAsia="zh-CN"/>
        </w:rPr>
        <w:t>动、实际参保情况等因素影响，与年初预算测算产生合理偏差。</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431027.00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6.18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89.45</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主要用于</w:t>
      </w:r>
      <w:r>
        <w:rPr>
          <w:rFonts w:hint="eastAsia" w:ascii="Times New Roman" w:hAnsi="Times New Roman" w:eastAsia="仿宋_GB2312" w:cs="Times New Roman"/>
          <w:kern w:val="2"/>
          <w:sz w:val="30"/>
          <w:szCs w:val="30"/>
          <w:highlight w:val="none"/>
          <w:lang w:val="en-US" w:eastAsia="zh-CN" w:bidi="ar-SA"/>
        </w:rPr>
        <w:t>本单位职工住房公积金缴费支出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造成预决算差异的主要原因是本单位职工住房公积金缴费受人员</w:t>
      </w:r>
      <w:r>
        <w:rPr>
          <w:rFonts w:hint="eastAsia" w:ascii="仿宋_GB2312" w:hAnsi="宋体" w:eastAsia="仿宋_GB2312" w:cs="Arial"/>
          <w:kern w:val="0"/>
          <w:sz w:val="30"/>
          <w:szCs w:val="30"/>
          <w:highlight w:val="none"/>
          <w:lang w:val="en-US" w:eastAsia="zh-CN"/>
        </w:rPr>
        <w:t>调</w:t>
      </w:r>
      <w:r>
        <w:rPr>
          <w:rFonts w:hint="eastAsia" w:ascii="仿宋_GB2312" w:hAnsi="宋体" w:eastAsia="仿宋_GB2312" w:cs="Arial"/>
          <w:kern w:val="0"/>
          <w:sz w:val="30"/>
          <w:szCs w:val="30"/>
          <w:highlight w:val="none"/>
          <w:lang w:eastAsia="zh-CN"/>
        </w:rPr>
        <w:t>动、基数调整等因素影响，与年初预算测算产生合理偏差。</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5822.52</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2033.83</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25.89</w:t>
      </w:r>
      <w:r>
        <w:rPr>
          <w:rFonts w:hint="eastAsia" w:ascii="仿宋_GB2312" w:hAnsi="宋体" w:eastAsia="仿宋_GB2312" w:cs="Arial"/>
          <w:kern w:val="0"/>
          <w:sz w:val="30"/>
          <w:szCs w:val="30"/>
          <w:highlight w:val="none"/>
          <w:lang w:val="en-US" w:eastAsia="zh-CN"/>
        </w:rPr>
        <w:t>%</w:t>
      </w:r>
      <w:r>
        <w:rPr>
          <w:rFonts w:hint="eastAsia" w:ascii="仿宋_GB2312" w:eastAsia="仿宋_GB2312"/>
          <w:color w:val="auto"/>
          <w:sz w:val="30"/>
          <w:szCs w:val="30"/>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5822.52</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宋体" w:eastAsia="仿宋_GB2312" w:cs="Arial"/>
          <w:kern w:val="0"/>
          <w:sz w:val="30"/>
          <w:szCs w:val="30"/>
          <w:highlight w:val="none"/>
          <w:lang w:val="en-US" w:eastAsia="zh-CN"/>
        </w:rPr>
        <w:t>100.00%；</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eastAsia="zh-CN"/>
        </w:rPr>
        <w:t>上年无此项支出；</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2033.83</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25.89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eastAsia="zh-CN"/>
        </w:rPr>
        <w:t>上年无此项支出；具体是国内接待费支出决算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eastAsia="zh-CN"/>
        </w:rPr>
        <w:t>上年无此项支出</w:t>
      </w:r>
      <w:r>
        <w:rPr>
          <w:rFonts w:hint="eastAsia" w:ascii="仿宋_GB2312" w:eastAsia="仿宋_GB2312"/>
          <w:color w:val="000000" w:themeColor="text1"/>
          <w:sz w:val="30"/>
          <w:szCs w:val="30"/>
          <w:lang w:eastAsia="zh-CN"/>
          <w14:textFill>
            <w14:solidFill>
              <w14:schemeClr w14:val="tx1"/>
            </w14:solidFill>
          </w14:textFill>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eastAsia="zh-CN"/>
        </w:rPr>
        <w:t>上年无此项支出。</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5822.52</w:t>
      </w:r>
      <w:r>
        <w:rPr>
          <w:rFonts w:hint="eastAsia" w:ascii="仿宋_GB2312" w:eastAsia="仿宋_GB2312"/>
          <w:sz w:val="30"/>
          <w:szCs w:val="30"/>
          <w:highlight w:val="none"/>
          <w:lang w:eastAsia="zh-CN"/>
        </w:rPr>
        <w:t>元，</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2033.83</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25.89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5822.52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一般公共预算财政拨款“三公”经费支出决算数大于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是我单位属于二级预算单位不做三公经费年初预算安排。</w:t>
      </w:r>
      <w:r>
        <w:rPr>
          <w:rFonts w:hint="eastAsia" w:ascii="仿宋_GB2312" w:eastAsia="仿宋_GB2312"/>
          <w:sz w:val="30"/>
          <w:szCs w:val="30"/>
          <w:highlight w:val="none"/>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上年无此项支出</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支出决算减少</w:t>
      </w:r>
      <w:r>
        <w:rPr>
          <w:rFonts w:hint="eastAsia" w:ascii="仿宋_GB2312" w:hAnsi="仿宋_GB2312" w:eastAsia="仿宋_GB2312" w:cs="仿宋_GB2312"/>
          <w:color w:val="000000"/>
          <w:sz w:val="30"/>
          <w:lang w:val="zh-CN"/>
        </w:rPr>
        <w:t>2033.83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，下降</w:t>
      </w:r>
      <w:r>
        <w:rPr>
          <w:rFonts w:hint="eastAsia" w:ascii="仿宋_GB2312" w:hAnsi="仿宋_GB2312" w:eastAsia="仿宋_GB2312" w:cs="仿宋_GB2312"/>
          <w:color w:val="000000"/>
          <w:sz w:val="30"/>
          <w:lang w:val="zh-CN"/>
        </w:rPr>
        <w:t>25.89</w:t>
      </w:r>
      <w:r>
        <w:rPr>
          <w:rFonts w:hint="eastAsia" w:ascii="仿宋_GB2312" w:eastAsia="仿宋_GB2312"/>
          <w:sz w:val="30"/>
          <w:szCs w:val="30"/>
          <w:highlight w:val="none"/>
        </w:rPr>
        <w:t>%；公务接待费支出决算增加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上年无此项支出</w:t>
      </w:r>
      <w:r>
        <w:rPr>
          <w:rFonts w:hint="eastAsia" w:ascii="仿宋_GB2312" w:eastAsia="仿宋_GB2312"/>
          <w:color w:val="000000" w:themeColor="text1"/>
          <w:sz w:val="30"/>
          <w:szCs w:val="30"/>
          <w:lang w:eastAsia="zh-CN"/>
          <w14:textFill>
            <w14:solidFill>
              <w14:schemeClr w14:val="tx1"/>
            </w14:solidFill>
          </w14:textFill>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hAnsi="宋体" w:eastAsia="仿宋_GB2312" w:cs="Arial"/>
          <w:kern w:val="0"/>
          <w:sz w:val="30"/>
          <w:szCs w:val="30"/>
          <w:highlight w:val="none"/>
          <w:lang w:eastAsia="zh-CN"/>
        </w:rPr>
        <w:t>上年无此项支出</w:t>
      </w:r>
      <w:r>
        <w:rPr>
          <w:rFonts w:hint="eastAsia" w:ascii="仿宋_GB2312" w:eastAsia="仿宋_GB2312"/>
          <w:color w:val="000000" w:themeColor="text1"/>
          <w:sz w:val="30"/>
          <w:szCs w:val="30"/>
          <w:lang w:eastAsia="zh-CN"/>
          <w14:textFill>
            <w14:solidFill>
              <w14:schemeClr w14:val="tx1"/>
            </w14:solidFill>
          </w14:textFill>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0.00元，增长</w:t>
      </w:r>
      <w:r>
        <w:rPr>
          <w:rFonts w:hint="eastAsia" w:ascii="仿宋_GB2312" w:hAnsi="宋体" w:eastAsia="仿宋_GB2312" w:cs="Arial"/>
          <w:kern w:val="0"/>
          <w:sz w:val="30"/>
          <w:szCs w:val="30"/>
          <w:highlight w:val="none"/>
          <w:lang w:eastAsia="zh-CN"/>
        </w:rPr>
        <w:t>上年无此项支出。</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一般公共预算财政拨款“三公”经费支出决算减少的主要原因</w:t>
      </w:r>
      <w:r>
        <w:rPr>
          <w:rFonts w:hint="eastAsia" w:ascii="仿宋_GB2312" w:eastAsia="仿宋_GB2312"/>
          <w:sz w:val="30"/>
          <w:szCs w:val="30"/>
          <w:highlight w:val="none"/>
          <w:lang w:eastAsia="zh-CN"/>
        </w:rPr>
        <w:t>是使用公务用车次数减少，车辆运行维护时间减少</w:t>
      </w:r>
      <w:r>
        <w:rPr>
          <w:rFonts w:hint="eastAsia" w:ascii="仿宋_GB2312" w:eastAsia="仿宋_GB2312"/>
          <w:sz w:val="30"/>
          <w:szCs w:val="30"/>
          <w:highlight w:val="none"/>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en-US" w:eastAsia="zh-CN"/>
        </w:rPr>
        <w:t>1</w:t>
      </w:r>
      <w:r>
        <w:rPr>
          <w:rFonts w:hint="eastAsia" w:ascii="仿宋_GB2312" w:eastAsia="仿宋_GB2312"/>
          <w:b w:val="0"/>
          <w:bCs/>
          <w:sz w:val="30"/>
          <w:szCs w:val="30"/>
          <w:highlight w:val="none"/>
        </w:rPr>
        <w:t>辆。主要用于所需车辆燃料费、维修费、过路过桥费、保险费等。</w:t>
      </w:r>
    </w:p>
    <w:p>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我单位2025年度无</w:t>
      </w:r>
      <w:r>
        <w:rPr>
          <w:rFonts w:hint="eastAsia" w:ascii="仿宋_GB2312" w:eastAsia="仿宋_GB2312"/>
          <w:sz w:val="30"/>
          <w:szCs w:val="30"/>
          <w:highlight w:val="none"/>
          <w:lang w:eastAsia="zh-CN"/>
        </w:rPr>
        <w:t>需要说明的事项。</w:t>
      </w:r>
    </w:p>
    <w:p>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富民县东村中学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我单位不属于行政机关，无机关运行费用经费支出</w:t>
      </w:r>
      <w:r>
        <w:rPr>
          <w:rFonts w:hint="eastAsia" w:ascii="仿宋_GB2312" w:hAnsi="黑体" w:eastAsia="仿宋_GB2312" w:cs="方正小标宋简体"/>
          <w:sz w:val="30"/>
          <w:szCs w:val="30"/>
          <w:highlight w:val="none"/>
        </w:rPr>
        <w:t>。</w:t>
      </w:r>
    </w:p>
    <w:p>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富民县东村中学</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19267003.61</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351687.64</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18915315.97</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591325.35</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630181.11</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495" w:hRule="atLeast"/>
        </w:trPr>
        <w:tc>
          <w:tcPr>
            <w:tcW w:w="142" w:type="dxa"/>
            <w:noWrap w:val="0"/>
            <w:vAlign w:val="center"/>
          </w:tcPr>
          <w:p>
            <w:pPr>
              <w:widowControl/>
              <w:jc w:val="left"/>
              <w:rPr>
                <w:rFonts w:ascii="Times New Roman" w:hAnsi="Times New Roman" w:eastAsia="Times New Roman"/>
                <w:kern w:val="0"/>
                <w:sz w:val="20"/>
                <w:szCs w:val="20"/>
                <w:highlight w:val="none"/>
              </w:rPr>
            </w:pPr>
          </w:p>
        </w:tc>
      </w:tr>
    </w:tbl>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641102.52</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635280.00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5822.52</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635816.25</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635816.25</w:t>
      </w:r>
      <w:r>
        <w:rPr>
          <w:rFonts w:hint="eastAsia" w:ascii="仿宋_GB2312" w:hAnsi="仿宋_GB2312" w:eastAsia="仿宋_GB2312" w:cs="仿宋_GB2312"/>
          <w:sz w:val="30"/>
          <w:szCs w:val="30"/>
          <w:highlight w:val="none"/>
          <w:lang w:val="en-US" w:eastAsia="zh-CN"/>
        </w:rPr>
        <w:t>元。</w:t>
      </w:r>
    </w:p>
    <w:p>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ind w:firstLine="600" w:firstLineChars="200"/>
        <w:jc w:val="left"/>
        <w:rPr>
          <w:rFonts w:hint="eastAsia" w:ascii="仿宋_GB2312" w:hAnsi="黑体" w:eastAsia="仿宋_GB2312" w:cs="方正小标宋简体"/>
          <w:color w:val="FF0000"/>
          <w:sz w:val="30"/>
          <w:szCs w:val="30"/>
          <w:highlight w:val="none"/>
        </w:rPr>
      </w:pPr>
      <w:r>
        <w:rPr>
          <w:rFonts w:hint="eastAsia" w:eastAsia="仿宋_GB2312" w:cs="Times New Roman"/>
          <w:kern w:val="2"/>
          <w:sz w:val="30"/>
          <w:szCs w:val="30"/>
          <w:highlight w:val="none"/>
          <w:lang w:val="en-US" w:eastAsia="zh-CN" w:bidi="ar-SA"/>
        </w:rPr>
        <w:t>我单位</w:t>
      </w:r>
      <w:bookmarkStart w:id="0" w:name="_GoBack"/>
      <w:bookmarkEnd w:id="0"/>
      <w:r>
        <w:rPr>
          <w:rFonts w:hint="default" w:ascii="Times New Roman" w:hAnsi="Times New Roman" w:eastAsia="仿宋_GB2312" w:cs="Times New Roman"/>
          <w:kern w:val="2"/>
          <w:sz w:val="30"/>
          <w:szCs w:val="30"/>
          <w:highlight w:val="none"/>
          <w:lang w:val="en-US" w:eastAsia="zh-CN" w:bidi="ar-SA"/>
        </w:rPr>
        <w:t>202</w:t>
      </w:r>
      <w:r>
        <w:rPr>
          <w:rFonts w:hint="eastAsia" w:eastAsia="仿宋_GB2312" w:cs="Times New Roman"/>
          <w:kern w:val="2"/>
          <w:sz w:val="30"/>
          <w:szCs w:val="30"/>
          <w:highlight w:val="none"/>
          <w:lang w:val="en-US" w:eastAsia="zh-CN" w:bidi="ar-SA"/>
        </w:rPr>
        <w:t>5</w:t>
      </w:r>
      <w:r>
        <w:rPr>
          <w:rFonts w:hint="default" w:ascii="Times New Roman" w:hAnsi="Times New Roman" w:eastAsia="仿宋_GB2312" w:cs="Times New Roman"/>
          <w:kern w:val="2"/>
          <w:sz w:val="30"/>
          <w:szCs w:val="30"/>
          <w:highlight w:val="none"/>
          <w:lang w:val="en-US" w:eastAsia="zh-CN" w:bidi="ar-SA"/>
        </w:rPr>
        <w:t>年</w:t>
      </w:r>
      <w:r>
        <w:rPr>
          <w:rFonts w:hint="eastAsia" w:eastAsia="仿宋_GB2312" w:cs="Times New Roman"/>
          <w:kern w:val="2"/>
          <w:sz w:val="30"/>
          <w:szCs w:val="30"/>
          <w:highlight w:val="none"/>
          <w:lang w:val="en-US" w:eastAsia="zh-CN" w:bidi="ar-SA"/>
        </w:rPr>
        <w:t>度</w:t>
      </w:r>
      <w:r>
        <w:rPr>
          <w:rFonts w:hint="default" w:ascii="Times New Roman" w:hAnsi="Times New Roman" w:eastAsia="仿宋_GB2312" w:cs="Times New Roman"/>
          <w:kern w:val="2"/>
          <w:sz w:val="30"/>
          <w:szCs w:val="30"/>
          <w:highlight w:val="none"/>
          <w:lang w:val="en-US" w:eastAsia="zh-CN" w:bidi="ar-SA"/>
        </w:rPr>
        <w:t>无其他重要事项情况说明</w:t>
      </w:r>
      <w:r>
        <w:rPr>
          <w:rFonts w:hint="eastAsia" w:ascii="仿宋_GB2312" w:hAnsi="黑体" w:eastAsia="仿宋_GB2312" w:cs="方正小标宋简体"/>
          <w:sz w:val="30"/>
          <w:szCs w:val="30"/>
          <w:highlight w:val="none"/>
        </w:rPr>
        <w:t>。</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情况说明里涉及到需要解释说明的决算相关专用名词，在此进行说明解释。</w:t>
      </w:r>
      <w:r>
        <w:rPr>
          <w:rFonts w:hint="eastAsia" w:ascii="仿宋_GB2312" w:hAnsi="黑体" w:eastAsia="仿宋_GB2312" w:cs="方正小标宋简体"/>
          <w:sz w:val="30"/>
          <w:szCs w:val="30"/>
          <w:highlight w:val="none"/>
          <w:lang w:eastAsia="zh-CN"/>
        </w:rPr>
        <w:t>若没有涉及专用名词，</w:t>
      </w:r>
      <w:r>
        <w:rPr>
          <w:rFonts w:hint="eastAsia" w:ascii="仿宋_GB2312" w:hAnsi="黑体" w:eastAsia="仿宋_GB2312" w:cs="方正小标宋简体"/>
          <w:b/>
          <w:bCs/>
          <w:sz w:val="30"/>
          <w:szCs w:val="30"/>
          <w:highlight w:val="none"/>
          <w:lang w:eastAsia="zh-CN"/>
        </w:rPr>
        <w:t>应</w:t>
      </w:r>
      <w:r>
        <w:rPr>
          <w:rFonts w:hint="eastAsia" w:ascii="仿宋_GB2312" w:hAnsi="仿宋_GB2312" w:eastAsia="仿宋_GB2312" w:cs="仿宋_GB2312"/>
          <w:b/>
          <w:bCs/>
          <w:sz w:val="30"/>
          <w:szCs w:val="30"/>
          <w:highlight w:val="none"/>
          <w:u w:val="none"/>
          <w:lang w:val="en-US" w:eastAsia="zh-CN"/>
        </w:rPr>
        <w:t>至少公开一条与决算相关的财务专业名词解释，或</w:t>
      </w:r>
      <w:r>
        <w:rPr>
          <w:rFonts w:hint="eastAsia" w:ascii="仿宋_GB2312" w:hAnsi="黑体" w:eastAsia="仿宋_GB2312" w:cs="方正小标宋简体"/>
          <w:sz w:val="30"/>
          <w:szCs w:val="30"/>
          <w:highlight w:val="none"/>
          <w:lang w:eastAsia="zh-CN"/>
        </w:rPr>
        <w:t>请直接保留模板提供专用名词。</w:t>
      </w:r>
    </w:p>
    <w:p>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GhpgkvTAAAA&#10;BQEAAA8AAAAAAAAAAQAgAAAAIgAAAGRycy9kb3ducmV2LnhtbFBLAQIUABQAAAAIAIdO4kCY3bFM&#10;sAEAAEkDAAAOAAAAAAAAAAEAIAAAACIBAABkcnMvZTJvRG9jLnhtbFBLBQYAAAAABgAGAFkBAABE&#10;BQAAAAA=&#10;">
              <v:fill on="f" focussize="0,0"/>
              <v:stroke on="f" weight="1.25pt"/>
              <v:imagedata o:title=""/>
              <o:lock v:ext="edit" aspectratio="f"/>
              <v:textbox inset="0mm,0mm,0mm,0mm" style="mso-fit-shape-to-text:t;">
                <w:txbxContent>
                  <w:p>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0C03E0"/>
    <w:rsid w:val="226A2B62"/>
    <w:rsid w:val="2AE17AE7"/>
    <w:rsid w:val="2D357CBE"/>
    <w:rsid w:val="625F3465"/>
    <w:rsid w:val="70AD3B7D"/>
  </w:rsids>
  <m:mathPr>
    <m:mathFont m:val="Cambria Math"/>
    <m:brkBin m:val="before"/>
    <m:brkBinSub m:val="--"/>
    <m:smallFrac m:val="0"/>
    <m:dispDef/>
    <m:lMargin m:val="0"/>
    <m:rMargin m:val="0"/>
    <m:defJc m:val="centerGroup"/>
    <m:wrapIndent m:val="1440"/>
    <m:intLim m:val="subSup"/>
    <m:naryLim m:val="undOvr"/>
    <m:interSp m:val="0"/>
    <m:intraSp m:val="0"/>
    <m:postSp m:val="0"/>
    <m:preSp m:val="0"/>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toc 5"/>
    <w:next w:val="1"/>
    <w:qFormat/>
    <w:uiPriority w:val="0"/>
    <w:pPr>
      <w:widowControl w:val="0"/>
      <w:spacing w:before="100" w:beforeAutospacing="1" w:after="100" w:afterAutospacing="1"/>
      <w:ind w:left="1680"/>
      <w:jc w:val="both"/>
    </w:pPr>
    <w:rPr>
      <w:rFonts w:ascii="Calibri" w:hAnsi="Calibri" w:eastAsia="宋体" w:cs="Times New Roman"/>
      <w:kern w:val="2"/>
      <w:sz w:val="32"/>
      <w:lang w:val="en-US" w:eastAsia="zh-CN" w:bidi="ar-SA"/>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15255b-42ed-44f4-b6df-116d182b3919}">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32</Pages>
  <Words>0</Words>
  <Characters>0</Characters>
  <Lines>0</Lines>
  <Paragraphs>0</Paragraphs>
  <TotalTime>10</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ixnnxi</cp:lastModifiedBy>
  <cp:lastPrinted>2024-07-30T06:24:00Z</cp:lastPrinted>
  <dcterms:modified xsi:type="dcterms:W3CDTF">2026-10-26T11:35:25Z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D45296F7F2444F3C8CDB43DA2E9FADD3</vt:lpwstr>
  </property>
</Properties>
</file>