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D988BF">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富民县永定中心小学</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14:paraId="20A7BEEF">
      <w:pPr>
        <w:jc w:val="center"/>
        <w:rPr>
          <w:rFonts w:hint="eastAsia" w:ascii="方正小标宋简体" w:hAnsi="方正小标宋简体" w:eastAsia="方正小标宋简体" w:cs="方正小标宋简体"/>
          <w:sz w:val="36"/>
          <w:szCs w:val="36"/>
          <w:highlight w:val="none"/>
        </w:rPr>
      </w:pPr>
    </w:p>
    <w:p w14:paraId="43B341CD">
      <w:pPr>
        <w:jc w:val="center"/>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14:paraId="068F782C">
      <w:pPr>
        <w:jc w:val="left"/>
        <w:rPr>
          <w:rFonts w:hint="eastAsia" w:ascii="黑体" w:hAnsi="黑体" w:eastAsia="黑体"/>
          <w:sz w:val="30"/>
          <w:szCs w:val="30"/>
          <w:highlight w:val="none"/>
        </w:rPr>
      </w:pPr>
    </w:p>
    <w:p w14:paraId="44A92E07">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单位</w:t>
      </w:r>
      <w:r>
        <w:rPr>
          <w:rFonts w:hint="eastAsia" w:ascii="黑体" w:hAnsi="黑体" w:eastAsia="黑体"/>
          <w:sz w:val="30"/>
          <w:szCs w:val="30"/>
          <w:highlight w:val="none"/>
        </w:rPr>
        <w:t>概况</w:t>
      </w:r>
    </w:p>
    <w:p w14:paraId="5BA7E777">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p>
    <w:p w14:paraId="246D9766">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14:paraId="560ACFF3">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14:paraId="66FA4357">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14:paraId="60CA5AA8">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14:paraId="540047F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14:paraId="3AC9B82F">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14:paraId="51E1AABE">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14:paraId="25E7FCA4">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14:paraId="3163697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14:paraId="4C31B492">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14:paraId="45EF9099">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14:paraId="6C3E81E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14:paraId="051021D7">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14:paraId="50F9326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十一、一般公共预算财政拨款“三公”经费情况表</w:t>
      </w:r>
    </w:p>
    <w:p w14:paraId="13432C42">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十二、国有资产使用情况表</w:t>
      </w:r>
    </w:p>
    <w:p w14:paraId="3419DD3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十三、部门整体支出绩效自评情况</w:t>
      </w:r>
    </w:p>
    <w:p w14:paraId="283A728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十四、部门整体支出绩效自评表</w:t>
      </w:r>
    </w:p>
    <w:p w14:paraId="0A012C5D">
      <w:pPr>
        <w:jc w:val="left"/>
        <w:outlineLvl w:val="0"/>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十五、项目支出绩效自评表</w:t>
      </w:r>
    </w:p>
    <w:p w14:paraId="78FDF01E">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14:paraId="579840D7">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14:paraId="5D690C0B">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14:paraId="1EDDC710">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14:paraId="78122DD8">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14:paraId="50DB9F05">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14:paraId="66134348">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14:paraId="6E5D166F">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14:paraId="55F070D6">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14:paraId="58913E61">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单位绩效自评情况</w:t>
      </w:r>
    </w:p>
    <w:p w14:paraId="7DAD4B56">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14:paraId="05702613">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14:paraId="39776B63">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14:paraId="46E4F940">
      <w:pPr>
        <w:jc w:val="center"/>
        <w:rPr>
          <w:rFonts w:hint="eastAsia" w:ascii="黑体" w:hAnsi="黑体" w:eastAsia="黑体"/>
          <w:sz w:val="32"/>
          <w:szCs w:val="32"/>
          <w:highlight w:val="none"/>
        </w:rPr>
      </w:pPr>
    </w:p>
    <w:p w14:paraId="5AFE5EC3">
      <w:pPr>
        <w:jc w:val="center"/>
        <w:rPr>
          <w:rFonts w:hint="eastAsia" w:ascii="黑体" w:hAnsi="黑体" w:eastAsia="黑体"/>
          <w:sz w:val="32"/>
          <w:szCs w:val="32"/>
          <w:highlight w:val="none"/>
        </w:rPr>
      </w:pPr>
    </w:p>
    <w:p w14:paraId="3415487B">
      <w:pPr>
        <w:jc w:val="center"/>
        <w:rPr>
          <w:rFonts w:hint="eastAsia" w:ascii="黑体" w:hAnsi="黑体" w:eastAsia="黑体"/>
          <w:sz w:val="32"/>
          <w:szCs w:val="32"/>
          <w:highlight w:val="none"/>
        </w:rPr>
      </w:pPr>
    </w:p>
    <w:p w14:paraId="4568736C">
      <w:pPr>
        <w:jc w:val="both"/>
        <w:rPr>
          <w:rFonts w:hint="eastAsia" w:ascii="黑体" w:hAnsi="黑体" w:eastAsia="黑体"/>
          <w:sz w:val="32"/>
          <w:szCs w:val="32"/>
          <w:highlight w:val="none"/>
        </w:rPr>
      </w:pPr>
    </w:p>
    <w:p w14:paraId="4A99EB55">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单位</w:t>
      </w:r>
      <w:r>
        <w:rPr>
          <w:rFonts w:hint="eastAsia" w:ascii="黑体" w:hAnsi="黑体" w:eastAsia="黑体"/>
          <w:sz w:val="32"/>
          <w:szCs w:val="32"/>
          <w:highlight w:val="none"/>
        </w:rPr>
        <w:t>概况</w:t>
      </w:r>
    </w:p>
    <w:p w14:paraId="3C0C0F1F">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14:paraId="12B2F85E">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实施小学义务教育，促进基础教育事业发展。小学学历教育（相关社会服务）。</w:t>
      </w:r>
    </w:p>
    <w:p w14:paraId="4F60132A">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（一）机构设置情况</w:t>
      </w:r>
    </w:p>
    <w:p w14:paraId="492879F1">
      <w:pPr>
        <w:keepNext w:val="0"/>
        <w:keepLines w:val="0"/>
        <w:pageBreakBefore w:val="0"/>
        <w:widowControl w:val="0"/>
        <w:kinsoku/>
        <w:overflowPunct/>
        <w:topLinePunct w:val="0"/>
        <w:autoSpaceDE/>
        <w:autoSpaceDN/>
        <w:bidi w:val="0"/>
        <w:adjustRightInd/>
        <w:spacing w:after="0" w:line="576" w:lineRule="exact"/>
        <w:ind w:firstLine="600" w:firstLineChars="200"/>
        <w:textAlignment w:val="auto"/>
        <w:rPr>
          <w:rFonts w:hint="default" w:ascii="仿宋_GB2312" w:eastAsia="仿宋_GB2312"/>
          <w:sz w:val="30"/>
          <w:szCs w:val="30"/>
          <w:highlight w:val="none"/>
          <w:lang w:val="zh-CN" w:eastAsia="zh-CN"/>
        </w:rPr>
      </w:pPr>
      <w:r>
        <w:rPr>
          <w:rFonts w:hint="eastAsia" w:ascii="仿宋_GB2312" w:eastAsia="仿宋_GB2312"/>
          <w:sz w:val="30"/>
          <w:szCs w:val="30"/>
          <w:highlight w:val="none"/>
          <w:lang w:val="en-US" w:eastAsia="zh-CN"/>
        </w:rPr>
        <w:t>我单位共设置3个内设机</w:t>
      </w:r>
      <w:r>
        <w:rPr>
          <w:rFonts w:hint="eastAsia" w:ascii="仿宋_GB2312" w:eastAsia="仿宋_GB2312"/>
          <w:sz w:val="30"/>
          <w:szCs w:val="30"/>
          <w:highlight w:val="none"/>
          <w:lang w:eastAsia="zh-CN"/>
        </w:rPr>
        <w:t>构，包括：教导处、总务处、安全科。</w:t>
      </w:r>
    </w:p>
    <w:p w14:paraId="592C6B16">
      <w:pPr>
        <w:spacing w:line="600" w:lineRule="exact"/>
        <w:ind w:firstLine="600" w:firstLineChars="200"/>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我单位为基层预算单位，无下属单位。</w:t>
      </w:r>
    </w:p>
    <w:p w14:paraId="5DC42A40">
      <w:pPr>
        <w:spacing w:line="600" w:lineRule="exact"/>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决算单位构成</w:t>
      </w:r>
    </w:p>
    <w:p w14:paraId="3AC3C8BF">
      <w:pPr>
        <w:spacing w:line="600" w:lineRule="exact"/>
        <w:ind w:firstLine="600" w:firstLineChars="200"/>
        <w:rPr>
          <w:rFonts w:hint="eastAsia" w:ascii="仿宋_GB2312" w:eastAsia="仿宋_GB2312"/>
          <w:sz w:val="30"/>
          <w:szCs w:val="30"/>
          <w:highlight w:val="none"/>
        </w:rPr>
      </w:pPr>
      <w:r>
        <w:rPr>
          <w:rFonts w:hint="eastAsia" w:ascii="仿宋_GB2312" w:eastAsia="仿宋_GB2312"/>
          <w:sz w:val="30"/>
          <w:szCs w:val="30"/>
          <w:highlight w:val="none"/>
          <w:lang w:eastAsia="zh-CN"/>
        </w:rPr>
        <w:t>我单位作为</w:t>
      </w:r>
      <w:r>
        <w:rPr>
          <w:rFonts w:hint="eastAsia" w:ascii="仿宋_GB2312" w:eastAsia="仿宋_GB2312"/>
          <w:sz w:val="30"/>
          <w:szCs w:val="30"/>
          <w:highlight w:val="none"/>
          <w:lang w:val="en-US" w:eastAsia="zh-CN"/>
        </w:rPr>
        <w:t>富民县教育体育局的</w:t>
      </w:r>
      <w:r>
        <w:rPr>
          <w:rFonts w:hint="eastAsia" w:ascii="仿宋_GB2312" w:eastAsia="仿宋_GB2312"/>
          <w:sz w:val="30"/>
          <w:szCs w:val="30"/>
          <w:highlight w:val="none"/>
          <w:lang w:eastAsia="zh-CN"/>
        </w:rPr>
        <w:t>二级预算单位</w:t>
      </w:r>
      <w:r>
        <w:rPr>
          <w:rFonts w:hint="eastAsia" w:ascii="仿宋_GB2312" w:eastAsia="仿宋_GB2312"/>
          <w:sz w:val="30"/>
          <w:szCs w:val="30"/>
          <w:highlight w:val="none"/>
        </w:rPr>
        <w:t>纳入</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w:t>
      </w:r>
      <w:r>
        <w:rPr>
          <w:rFonts w:hint="eastAsia" w:ascii="仿宋_GB2312" w:eastAsia="仿宋_GB2312"/>
          <w:sz w:val="30"/>
          <w:szCs w:val="30"/>
          <w:highlight w:val="none"/>
          <w:lang w:eastAsia="zh-CN"/>
        </w:rPr>
        <w:t>范围</w:t>
      </w:r>
      <w:r>
        <w:rPr>
          <w:rFonts w:hint="eastAsia" w:ascii="仿宋_GB2312" w:eastAsia="仿宋_GB2312"/>
          <w:sz w:val="30"/>
          <w:szCs w:val="30"/>
          <w:highlight w:val="none"/>
        </w:rPr>
        <w:t>。</w:t>
      </w:r>
    </w:p>
    <w:p w14:paraId="4B5C1C03">
      <w:pPr>
        <w:ind w:firstLine="600" w:firstLineChars="200"/>
        <w:outlineLvl w:val="2"/>
        <w:rPr>
          <w:rFonts w:hint="eastAsia" w:ascii="楷体" w:hAnsi="楷体" w:eastAsia="楷体"/>
          <w:sz w:val="30"/>
          <w:szCs w:val="30"/>
          <w:highlight w:val="none"/>
        </w:rPr>
      </w:pPr>
      <w:r>
        <w:rPr>
          <w:rFonts w:hint="eastAsia" w:ascii="楷体" w:hAnsi="楷体" w:eastAsia="楷体"/>
          <w:sz w:val="30"/>
          <w:szCs w:val="30"/>
          <w:highlight w:val="none"/>
        </w:rPr>
        <w:t>（</w:t>
      </w:r>
      <w:r>
        <w:rPr>
          <w:rFonts w:hint="eastAsia" w:ascii="楷体" w:hAnsi="楷体" w:eastAsia="楷体"/>
          <w:sz w:val="30"/>
          <w:szCs w:val="30"/>
          <w:highlight w:val="none"/>
          <w:lang w:eastAsia="zh-CN"/>
        </w:rPr>
        <w:t>三</w:t>
      </w:r>
      <w:r>
        <w:rPr>
          <w:rFonts w:hint="eastAsia" w:ascii="楷体" w:hAnsi="楷体" w:eastAsia="楷体"/>
          <w:sz w:val="30"/>
          <w:szCs w:val="30"/>
          <w:highlight w:val="none"/>
        </w:rPr>
        <w:t>）</w:t>
      </w:r>
      <w:r>
        <w:rPr>
          <w:rFonts w:hint="eastAsia" w:ascii="楷体" w:hAnsi="楷体" w:eastAsia="楷体"/>
          <w:sz w:val="30"/>
          <w:szCs w:val="30"/>
          <w:highlight w:val="none"/>
          <w:lang w:eastAsia="zh-CN"/>
        </w:rPr>
        <w:t>单位</w:t>
      </w:r>
      <w:r>
        <w:rPr>
          <w:rFonts w:hint="eastAsia" w:ascii="楷体" w:hAnsi="楷体" w:eastAsia="楷体"/>
          <w:sz w:val="30"/>
          <w:szCs w:val="30"/>
          <w:highlight w:val="none"/>
        </w:rPr>
        <w:t xml:space="preserve">人员和车辆的编制及实有情况 </w:t>
      </w:r>
    </w:p>
    <w:p w14:paraId="307A9D9E">
      <w:pPr>
        <w:spacing w:line="600" w:lineRule="exact"/>
        <w:ind w:firstLine="600" w:firstLineChars="200"/>
        <w:rPr>
          <w:rFonts w:hint="eastAsia" w:ascii="仿宋_GB2312" w:hAnsi="宋体" w:eastAsia="仿宋_GB2312" w:cs="Arial"/>
          <w:kern w:val="0"/>
          <w:sz w:val="30"/>
          <w:szCs w:val="30"/>
          <w:highlight w:val="none"/>
          <w:lang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编制内</w:t>
      </w:r>
      <w:r>
        <w:rPr>
          <w:rFonts w:hint="eastAsia" w:ascii="仿宋_GB2312" w:eastAsia="仿宋_GB2312"/>
          <w:sz w:val="30"/>
          <w:szCs w:val="30"/>
          <w:highlight w:val="none"/>
        </w:rPr>
        <w:t>实有人员</w:t>
      </w:r>
      <w:r>
        <w:rPr>
          <w:rFonts w:hint="eastAsia" w:ascii="仿宋_GB2312" w:hAnsi="仿宋_GB2312" w:eastAsia="仿宋_GB2312" w:cs="仿宋_GB2312"/>
          <w:color w:val="auto"/>
          <w:sz w:val="30"/>
          <w:szCs w:val="30"/>
          <w:lang w:val="en-US" w:eastAsia="zh-CN"/>
        </w:rPr>
        <w:t>105</w:t>
      </w:r>
      <w:r>
        <w:rPr>
          <w:rFonts w:hint="eastAsia" w:ascii="仿宋_GB2312" w:hAnsi="宋体" w:eastAsia="仿宋_GB2312" w:cs="Arial"/>
          <w:kern w:val="0"/>
          <w:sz w:val="30"/>
          <w:szCs w:val="30"/>
          <w:highlight w:val="none"/>
        </w:rPr>
        <w:t>人。</w:t>
      </w:r>
      <w:r>
        <w:rPr>
          <w:rFonts w:hint="eastAsia" w:ascii="仿宋_GB2312" w:hAnsi="宋体" w:eastAsia="仿宋_GB2312" w:cs="Arial"/>
          <w:b w:val="0"/>
          <w:bCs w:val="0"/>
          <w:kern w:val="0"/>
          <w:sz w:val="30"/>
          <w:szCs w:val="30"/>
          <w:highlight w:val="none"/>
          <w:lang w:eastAsia="zh-CN"/>
        </w:rPr>
        <w:t>包括</w:t>
      </w:r>
      <w:r>
        <w:rPr>
          <w:rFonts w:hint="eastAsia" w:ascii="仿宋_GB2312" w:hAnsi="宋体" w:eastAsia="仿宋_GB2312" w:cs="Arial"/>
          <w:kern w:val="0"/>
          <w:sz w:val="30"/>
          <w:szCs w:val="30"/>
          <w:highlight w:val="none"/>
          <w:lang w:eastAsia="zh-CN"/>
        </w:rPr>
        <w:t>财政拨款开支经费的</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104</w:t>
      </w:r>
      <w:r>
        <w:rPr>
          <w:rFonts w:hint="eastAsia" w:ascii="仿宋_GB2312" w:hAnsi="宋体" w:eastAsia="仿宋_GB2312" w:cs="Arial"/>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1</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p>
    <w:p w14:paraId="219BD552">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eastAsia="仿宋_GB2312"/>
          <w:sz w:val="30"/>
          <w:szCs w:val="30"/>
          <w:highlight w:val="none"/>
          <w:lang w:eastAsia="zh-CN"/>
        </w:rPr>
        <w:t>我单位</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rPr>
        <w:t>年末</w:t>
      </w:r>
      <w:r>
        <w:rPr>
          <w:rFonts w:hint="eastAsia" w:ascii="仿宋_GB2312" w:eastAsia="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eastAsia="仿宋_GB2312"/>
          <w:sz w:val="30"/>
          <w:szCs w:val="30"/>
          <w:highlight w:val="none"/>
          <w:lang w:eastAsia="zh-CN"/>
        </w:rPr>
        <w:t>人。</w:t>
      </w:r>
    </w:p>
    <w:p w14:paraId="3154DCE9">
      <w:pPr>
        <w:spacing w:line="600" w:lineRule="exact"/>
        <w:ind w:firstLine="600" w:firstLineChars="200"/>
        <w:rPr>
          <w:rFonts w:hint="eastAsia" w:ascii="仿宋_GB2312" w:hAnsi="宋体" w:eastAsia="仿宋_GB2312" w:cs="Arial"/>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）。年末</w:t>
      </w:r>
      <w:r>
        <w:rPr>
          <w:rFonts w:hint="eastAsia" w:ascii="仿宋_GB2312" w:hAnsi="宋体" w:eastAsia="仿宋_GB2312" w:cs="Arial"/>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98</w:t>
      </w:r>
      <w:r>
        <w:rPr>
          <w:rFonts w:hint="eastAsia" w:ascii="仿宋_GB2312" w:hAnsi="宋体" w:eastAsia="仿宋_GB2312" w:cs="Arial"/>
          <w:kern w:val="0"/>
          <w:sz w:val="30"/>
          <w:szCs w:val="30"/>
          <w:highlight w:val="none"/>
          <w:lang w:val="en-US" w:eastAsia="zh-CN"/>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宋体" w:eastAsia="仿宋_GB2312" w:cs="Arial"/>
          <w:kern w:val="0"/>
          <w:sz w:val="30"/>
          <w:szCs w:val="30"/>
          <w:highlight w:val="none"/>
        </w:rPr>
        <w:t>人，退休</w:t>
      </w:r>
      <w:r>
        <w:rPr>
          <w:rFonts w:hint="eastAsia" w:ascii="仿宋_GB2312" w:hAnsi="仿宋_GB2312" w:eastAsia="仿宋_GB2312" w:cs="仿宋_GB2312"/>
          <w:color w:val="auto"/>
          <w:sz w:val="30"/>
          <w:szCs w:val="30"/>
          <w:lang w:val="en-US" w:eastAsia="zh-CN"/>
        </w:rPr>
        <w:t>98</w:t>
      </w:r>
      <w:r>
        <w:rPr>
          <w:rFonts w:hint="eastAsia" w:ascii="仿宋_GB2312" w:hAnsi="宋体" w:eastAsia="仿宋_GB2312" w:cs="Arial"/>
          <w:kern w:val="0"/>
          <w:sz w:val="30"/>
          <w:szCs w:val="30"/>
          <w:highlight w:val="none"/>
        </w:rPr>
        <w:t>人</w:t>
      </w:r>
      <w:r>
        <w:rPr>
          <w:rFonts w:hint="eastAsia" w:ascii="仿宋_GB2312" w:hAnsi="宋体" w:eastAsia="仿宋_GB2312" w:cs="Arial"/>
          <w:kern w:val="0"/>
          <w:sz w:val="30"/>
          <w:szCs w:val="30"/>
          <w:highlight w:val="none"/>
          <w:lang w:eastAsia="zh-CN"/>
        </w:rPr>
        <w:t>）</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1486</w:t>
      </w:r>
      <w:r>
        <w:rPr>
          <w:rFonts w:hint="eastAsia" w:ascii="仿宋_GB2312" w:hAnsi="宋体" w:eastAsia="仿宋_GB2312" w:cs="Arial"/>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8</w:t>
      </w:r>
      <w:r>
        <w:rPr>
          <w:rFonts w:hint="eastAsia" w:ascii="仿宋_GB2312" w:hAnsi="宋体" w:eastAsia="仿宋_GB2312" w:cs="Arial"/>
          <w:kern w:val="0"/>
          <w:sz w:val="30"/>
          <w:szCs w:val="30"/>
          <w:highlight w:val="none"/>
          <w:lang w:val="en-US" w:eastAsia="zh-CN"/>
        </w:rPr>
        <w:t>人。</w:t>
      </w:r>
    </w:p>
    <w:p w14:paraId="78FB4629">
      <w:pPr>
        <w:spacing w:line="600" w:lineRule="exact"/>
        <w:ind w:firstLine="600" w:firstLineChars="200"/>
        <w:jc w:val="left"/>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车辆编制0辆，在编实有车辆0辆，超编0辆。</w:t>
      </w:r>
    </w:p>
    <w:p w14:paraId="5D09019D">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重点工作概述</w:t>
      </w:r>
    </w:p>
    <w:p w14:paraId="166A6235">
      <w:pPr>
        <w:spacing w:line="600" w:lineRule="exact"/>
        <w:ind w:firstLine="600" w:firstLineChars="200"/>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以富民县永定中心小学一四一学校品牌2.0版为指导，助力学校发展。</w:t>
      </w:r>
    </w:p>
    <w:p w14:paraId="4F654C30">
      <w:pPr>
        <w:spacing w:line="600" w:lineRule="exact"/>
        <w:ind w:firstLine="600" w:firstLineChars="200"/>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1、保障教育教学正常开展，努力使我校教育教学质量稳中有升。</w:t>
      </w:r>
    </w:p>
    <w:p w14:paraId="6260B993">
      <w:pPr>
        <w:spacing w:line="600" w:lineRule="exact"/>
        <w:ind w:firstLine="600" w:firstLineChars="200"/>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2、加强师资培训（继续教育培训、校本培训，各种学科教研等），改善教师教育教学条件，提高课堂效率，提高教师工作积极性。</w:t>
      </w:r>
    </w:p>
    <w:p w14:paraId="078F6E02">
      <w:pPr>
        <w:spacing w:line="600" w:lineRule="exact"/>
        <w:ind w:firstLine="600" w:firstLineChars="200"/>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3、抓好学校经费管理使用及工作，在经费使用上，做到精打细算，少花钱，多办事，把学校有限的经费真正使用好，把每一分钱力争花在刀刃上。</w:t>
      </w:r>
    </w:p>
    <w:p w14:paraId="7DD4FF9F">
      <w:pPr>
        <w:spacing w:line="600" w:lineRule="exact"/>
        <w:ind w:firstLine="600" w:firstLineChars="200"/>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4、按要求做好营养改善计划和家庭经济困难学生生活补助工作，确保政府的惠民政策落到实处。</w:t>
      </w:r>
    </w:p>
    <w:p w14:paraId="182695B2">
      <w:pPr>
        <w:spacing w:line="600" w:lineRule="exact"/>
        <w:ind w:firstLine="600" w:firstLineChars="200"/>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 5、常抓安全教育，落实安全教育、管理。加大食堂食品检查与监督力度，定期不定期地深入到食堂，督促食堂工作人员的遵守各自岗位职责，严把食品的采购、索证、加工和销售等环节的卫生安全；确保食品卫生安全，杜绝食品安全事故，提高饭菜的质量，做到了让学生、家长、老师满意。</w:t>
      </w:r>
    </w:p>
    <w:p w14:paraId="44FAC416">
      <w:pPr>
        <w:spacing w:line="600" w:lineRule="exact"/>
        <w:ind w:firstLine="600" w:firstLineChars="200"/>
        <w:rPr>
          <w:rFonts w:hint="eastAsia" w:ascii="仿宋_GB2312" w:hAnsi="仿宋_GB2312" w:eastAsia="仿宋_GB2312" w:cs="仿宋_GB2312"/>
          <w:color w:val="auto"/>
          <w:sz w:val="30"/>
          <w:szCs w:val="30"/>
          <w:lang w:val="en-US" w:eastAsia="zh-CN"/>
        </w:rPr>
      </w:pPr>
    </w:p>
    <w:p w14:paraId="636DD0B6">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14:paraId="0DFE01E7">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14:paraId="2609BBC1">
      <w:pPr>
        <w:keepNext w:val="0"/>
        <w:keepLines w:val="0"/>
        <w:pageBreakBefore w:val="0"/>
        <w:widowControl w:val="0"/>
        <w:kinsoku/>
        <w:overflowPunct/>
        <w:topLinePunct w:val="0"/>
        <w:autoSpaceDE/>
        <w:autoSpaceDN/>
        <w:bidi w:val="0"/>
        <w:adjustRightInd/>
        <w:spacing w:after="0" w:line="576" w:lineRule="exact"/>
        <w:ind w:firstLine="600" w:firstLineChars="200"/>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本单位202</w:t>
      </w:r>
      <w:r>
        <w:rPr>
          <w:rFonts w:hint="eastAsia" w:ascii="仿宋_GB2312" w:eastAsia="仿宋_GB2312"/>
          <w:sz w:val="30"/>
          <w:szCs w:val="30"/>
          <w:highlight w:val="none"/>
          <w:lang w:val="en-US" w:eastAsia="zh-CN"/>
        </w:rPr>
        <w:t>5</w:t>
      </w:r>
      <w:r>
        <w:rPr>
          <w:rFonts w:hint="eastAsia" w:ascii="仿宋_GB2312" w:eastAsia="仿宋_GB2312"/>
          <w:sz w:val="30"/>
          <w:szCs w:val="30"/>
          <w:highlight w:val="none"/>
          <w:lang w:eastAsia="zh-CN"/>
        </w:rPr>
        <w:t>年度无政府性基金预算财政拨款收入支出，</w:t>
      </w:r>
      <w:r>
        <w:rPr>
          <w:rFonts w:hint="eastAsia" w:ascii="仿宋_GB2312" w:eastAsia="仿宋_GB2312"/>
          <w:sz w:val="30"/>
          <w:szCs w:val="30"/>
          <w:highlight w:val="none"/>
          <w:lang w:val="en-US" w:eastAsia="zh-CN"/>
        </w:rPr>
        <w:t>故《</w:t>
      </w:r>
      <w:r>
        <w:rPr>
          <w:rFonts w:hint="eastAsia" w:ascii="仿宋_GB2312" w:eastAsia="仿宋_GB2312"/>
          <w:sz w:val="30"/>
          <w:szCs w:val="30"/>
          <w:highlight w:val="none"/>
          <w:lang w:eastAsia="zh-CN"/>
        </w:rPr>
        <w:t>政府性基金预算财政拨款收入支出决算表</w:t>
      </w:r>
      <w:r>
        <w:rPr>
          <w:rFonts w:hint="eastAsia" w:ascii="仿宋_GB2312" w:eastAsia="仿宋_GB2312"/>
          <w:sz w:val="30"/>
          <w:szCs w:val="30"/>
          <w:highlight w:val="none"/>
          <w:lang w:val="en-US" w:eastAsia="zh-CN"/>
        </w:rPr>
        <w:t>》为空表。</w:t>
      </w:r>
    </w:p>
    <w:p w14:paraId="0C949A42">
      <w:pPr>
        <w:keepNext w:val="0"/>
        <w:keepLines w:val="0"/>
        <w:pageBreakBefore w:val="0"/>
        <w:widowControl w:val="0"/>
        <w:kinsoku/>
        <w:overflowPunct/>
        <w:topLinePunct w:val="0"/>
        <w:autoSpaceDE/>
        <w:autoSpaceDN/>
        <w:bidi w:val="0"/>
        <w:adjustRightInd/>
        <w:spacing w:after="0" w:line="576"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2025年度无国有资本经营预算财政拨款收入支出，故《国有资本经营预算财政拨款收入支出决算表》为空表。</w:t>
      </w:r>
    </w:p>
    <w:p w14:paraId="5E796445">
      <w:pPr>
        <w:keepNext w:val="0"/>
        <w:keepLines w:val="0"/>
        <w:pageBreakBefore w:val="0"/>
        <w:widowControl w:val="0"/>
        <w:kinsoku/>
        <w:overflowPunct/>
        <w:topLinePunct w:val="0"/>
        <w:autoSpaceDE/>
        <w:autoSpaceDN/>
        <w:bidi w:val="0"/>
        <w:adjustRightInd/>
        <w:spacing w:after="0" w:line="576" w:lineRule="exact"/>
        <w:ind w:firstLine="600" w:firstLineChars="200"/>
        <w:textAlignment w:val="auto"/>
        <w:rPr>
          <w:rFonts w:hint="eastAsia" w:ascii="仿宋_GB2312" w:eastAsia="仿宋_GB2312"/>
          <w:sz w:val="30"/>
          <w:szCs w:val="30"/>
          <w:highlight w:val="none"/>
          <w:lang w:val="en-US"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2025年度无</w:t>
      </w:r>
      <w:r>
        <w:rPr>
          <w:rFonts w:hint="default" w:ascii="仿宋_GB2312" w:eastAsia="仿宋_GB2312"/>
          <w:sz w:val="30"/>
          <w:szCs w:val="30"/>
          <w:highlight w:val="none"/>
          <w:lang w:val="en-US" w:eastAsia="zh-CN"/>
        </w:rPr>
        <w:t>财政拨款“三公”经费</w:t>
      </w:r>
      <w:r>
        <w:rPr>
          <w:rFonts w:hint="eastAsia" w:ascii="仿宋_GB2312" w:eastAsia="仿宋_GB2312"/>
          <w:sz w:val="30"/>
          <w:szCs w:val="30"/>
          <w:highlight w:val="none"/>
          <w:lang w:val="en-US" w:eastAsia="zh-CN"/>
        </w:rPr>
        <w:t>、行政参公单位机关运行经费收支，故《</w:t>
      </w:r>
      <w:r>
        <w:rPr>
          <w:rFonts w:hint="default" w:ascii="仿宋_GB2312" w:eastAsia="仿宋_GB2312"/>
          <w:sz w:val="30"/>
          <w:szCs w:val="30"/>
          <w:highlight w:val="none"/>
          <w:lang w:val="en-US" w:eastAsia="zh-CN"/>
        </w:rPr>
        <w:t>财政拨款“三公”经费</w:t>
      </w:r>
      <w:r>
        <w:rPr>
          <w:rFonts w:hint="eastAsia" w:ascii="仿宋_GB2312" w:eastAsia="仿宋_GB2312"/>
          <w:sz w:val="30"/>
          <w:szCs w:val="30"/>
          <w:highlight w:val="none"/>
          <w:lang w:val="en-US" w:eastAsia="zh-CN"/>
        </w:rPr>
        <w:t>、行政参公单位机关运行经费情况表》为空表。</w:t>
      </w:r>
    </w:p>
    <w:p w14:paraId="4970087E">
      <w:pPr>
        <w:keepNext w:val="0"/>
        <w:keepLines w:val="0"/>
        <w:pageBreakBefore w:val="0"/>
        <w:widowControl w:val="0"/>
        <w:kinsoku/>
        <w:overflowPunct/>
        <w:topLinePunct w:val="0"/>
        <w:autoSpaceDE/>
        <w:autoSpaceDN/>
        <w:bidi w:val="0"/>
        <w:adjustRightInd/>
        <w:spacing w:after="0" w:line="576" w:lineRule="exact"/>
        <w:ind w:firstLine="600" w:firstLineChars="200"/>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本单位</w:t>
      </w:r>
      <w:r>
        <w:rPr>
          <w:rFonts w:hint="eastAsia" w:ascii="仿宋_GB2312" w:eastAsia="仿宋_GB2312"/>
          <w:sz w:val="30"/>
          <w:szCs w:val="30"/>
          <w:highlight w:val="none"/>
          <w:lang w:val="en-US" w:eastAsia="zh-CN"/>
        </w:rPr>
        <w:t>2025年度无一般公共预算财政拨款</w:t>
      </w:r>
      <w:r>
        <w:rPr>
          <w:rFonts w:hint="default" w:ascii="仿宋_GB2312" w:eastAsia="仿宋_GB2312"/>
          <w:sz w:val="30"/>
          <w:szCs w:val="30"/>
          <w:highlight w:val="none"/>
          <w:lang w:val="en-US" w:eastAsia="zh-CN"/>
        </w:rPr>
        <w:t>“三公”经费</w:t>
      </w:r>
      <w:r>
        <w:rPr>
          <w:rFonts w:hint="eastAsia" w:ascii="仿宋_GB2312" w:eastAsia="仿宋_GB2312"/>
          <w:sz w:val="30"/>
          <w:szCs w:val="30"/>
          <w:highlight w:val="none"/>
          <w:lang w:val="en-US" w:eastAsia="zh-CN"/>
        </w:rPr>
        <w:t>，故《一般公共预算财政拨款</w:t>
      </w:r>
      <w:r>
        <w:rPr>
          <w:rFonts w:hint="default" w:ascii="仿宋_GB2312" w:eastAsia="仿宋_GB2312"/>
          <w:sz w:val="30"/>
          <w:szCs w:val="30"/>
          <w:highlight w:val="none"/>
          <w:lang w:val="en-US" w:eastAsia="zh-CN"/>
        </w:rPr>
        <w:t>“三公”经费</w:t>
      </w:r>
      <w:r>
        <w:rPr>
          <w:rFonts w:hint="eastAsia" w:ascii="仿宋_GB2312" w:eastAsia="仿宋_GB2312"/>
          <w:sz w:val="30"/>
          <w:szCs w:val="30"/>
          <w:highlight w:val="none"/>
          <w:lang w:val="en-US" w:eastAsia="zh-CN"/>
        </w:rPr>
        <w:t>情况表》为空表。</w:t>
      </w:r>
    </w:p>
    <w:p w14:paraId="677D1579">
      <w:pPr>
        <w:spacing w:line="600" w:lineRule="exact"/>
        <w:jc w:val="left"/>
        <w:rPr>
          <w:rFonts w:hint="eastAsia" w:ascii="仿宋_GB2312" w:eastAsia="仿宋_GB2312"/>
          <w:sz w:val="30"/>
          <w:szCs w:val="30"/>
          <w:highlight w:val="none"/>
          <w:lang w:eastAsia="zh-CN"/>
        </w:rPr>
      </w:pPr>
    </w:p>
    <w:p w14:paraId="7BC09961">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14:paraId="24AE8B71">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14:paraId="25B8200D">
      <w:pPr>
        <w:widowControl/>
        <w:snapToGrid w:val="0"/>
        <w:spacing w:before="100" w:after="100" w:line="600" w:lineRule="exact"/>
        <w:ind w:firstLine="538"/>
        <w:jc w:val="left"/>
        <w:rPr>
          <w:rFonts w:hint="eastAsia" w:ascii="仿宋_GB2312" w:eastAsia="仿宋_GB2312"/>
          <w:sz w:val="30"/>
          <w:szCs w:val="30"/>
          <w:highlight w:val="none"/>
          <w:lang w:eastAsia="zh-CN"/>
        </w:rPr>
      </w:pPr>
      <w:r>
        <w:rPr>
          <w:rFonts w:hint="eastAsia" w:ascii="仿宋_GB2312" w:hAnsi="仿宋_GB2312" w:eastAsia="仿宋_GB2312" w:cs="仿宋_GB2312"/>
          <w:color w:val="auto"/>
          <w:sz w:val="30"/>
          <w:lang w:val="zh-CN"/>
        </w:rPr>
        <w:t>富民县永定中心小学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26041786.97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25525891.86</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98.02</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en-US"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；其他收入</w:t>
      </w:r>
      <w:r>
        <w:rPr>
          <w:rFonts w:hint="eastAsia" w:ascii="仿宋_GB2312" w:hAnsi="仿宋_GB2312" w:eastAsia="仿宋_GB2312" w:cs="仿宋_GB2312"/>
          <w:color w:val="auto"/>
          <w:sz w:val="30"/>
          <w:lang w:val="zh-CN"/>
        </w:rPr>
        <w:t>515895.11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1.98</w:t>
      </w:r>
      <w:r>
        <w:rPr>
          <w:rFonts w:hint="eastAsia" w:ascii="仿宋_GB2312" w:eastAsia="仿宋_GB2312"/>
          <w:sz w:val="30"/>
          <w:szCs w:val="30"/>
          <w:highlight w:val="none"/>
        </w:rPr>
        <w:t>%。</w:t>
      </w:r>
    </w:p>
    <w:p w14:paraId="7CD4F9C8">
      <w:pPr>
        <w:keepNext w:val="0"/>
        <w:keepLines w:val="0"/>
        <w:pageBreakBefore w:val="0"/>
        <w:widowControl w:val="0"/>
        <w:kinsoku/>
        <w:overflowPunct/>
        <w:topLinePunct w:val="0"/>
        <w:autoSpaceDE/>
        <w:autoSpaceDN/>
        <w:bidi w:val="0"/>
        <w:adjustRightInd/>
        <w:snapToGrid w:val="0"/>
        <w:spacing w:after="0" w:line="576" w:lineRule="exact"/>
        <w:ind w:firstLine="538"/>
        <w:jc w:val="left"/>
        <w:textAlignment w:val="auto"/>
        <w:rPr>
          <w:rFonts w:hint="eastAsia" w:ascii="仿宋_GB2312" w:eastAsia="仿宋_GB2312"/>
          <w:color w:val="auto"/>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1826940.39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7.54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1313341.66</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5.42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事业收入；</w:t>
      </w:r>
      <w:r>
        <w:rPr>
          <w:rFonts w:hint="eastAsia" w:ascii="仿宋_GB2312" w:hAnsi="仿宋_GB2312" w:eastAsia="仿宋_GB2312" w:cs="仿宋_GB2312"/>
          <w:color w:val="auto"/>
          <w:sz w:val="30"/>
          <w:lang w:val="en-US"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上缴；其他收入增加</w:t>
      </w:r>
      <w:r>
        <w:rPr>
          <w:rFonts w:hint="eastAsia" w:ascii="仿宋_GB2312" w:hAnsi="仿宋_GB2312" w:eastAsia="仿宋_GB2312" w:cs="仿宋_GB2312"/>
          <w:color w:val="auto"/>
          <w:sz w:val="30"/>
          <w:lang w:val="zh-CN"/>
        </w:rPr>
        <w:t>513598.73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22365.58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color w:val="auto"/>
          <w:sz w:val="30"/>
          <w:szCs w:val="30"/>
          <w:highlight w:val="none"/>
          <w:lang w:eastAsia="zh-CN"/>
        </w:rPr>
        <w:t>：</w:t>
      </w:r>
      <w:r>
        <w:rPr>
          <w:rFonts w:hint="eastAsia" w:ascii="仿宋" w:hAnsi="仿宋" w:eastAsia="仿宋"/>
          <w:color w:val="000000"/>
          <w:sz w:val="30"/>
          <w:lang w:val="en-US" w:eastAsia="zh-CN"/>
        </w:rPr>
        <w:t>在职教师增加，师生伙食费纳入</w:t>
      </w:r>
      <w:r>
        <w:rPr>
          <w:rFonts w:hint="eastAsia" w:ascii="仿宋_GB2312" w:eastAsia="仿宋_GB2312"/>
          <w:sz w:val="30"/>
          <w:szCs w:val="30"/>
          <w:highlight w:val="none"/>
          <w:lang w:eastAsia="zh-CN"/>
        </w:rPr>
        <w:t>其他收入</w:t>
      </w:r>
      <w:r>
        <w:rPr>
          <w:rFonts w:hint="eastAsia" w:ascii="仿宋_GB2312" w:eastAsia="仿宋_GB2312"/>
          <w:color w:val="auto"/>
          <w:sz w:val="30"/>
          <w:szCs w:val="30"/>
          <w:highlight w:val="none"/>
        </w:rPr>
        <w:t>。</w:t>
      </w:r>
    </w:p>
    <w:p w14:paraId="1338C5AE">
      <w:pPr>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14:paraId="1933BFB8">
      <w:pPr>
        <w:spacing w:line="600" w:lineRule="exact"/>
        <w:ind w:firstLine="600" w:firstLineChars="200"/>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富民县永定中心小学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26041786.97</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23489409.05</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90.20</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2552377.92</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9.80</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p>
    <w:p w14:paraId="5913AD38">
      <w:pPr>
        <w:keepNext w:val="0"/>
        <w:keepLines w:val="0"/>
        <w:pageBreakBefore w:val="0"/>
        <w:widowControl w:val="0"/>
        <w:kinsoku/>
        <w:overflowPunct/>
        <w:topLinePunct w:val="0"/>
        <w:autoSpaceDE/>
        <w:autoSpaceDN/>
        <w:bidi w:val="0"/>
        <w:adjustRightInd/>
        <w:snapToGrid w:val="0"/>
        <w:spacing w:after="0" w:line="576" w:lineRule="exact"/>
        <w:ind w:firstLine="538"/>
        <w:jc w:val="left"/>
        <w:textAlignment w:val="auto"/>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1826940.39</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7.54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1642653.44</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7.52</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184286.95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7.78</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上缴上级支出；</w:t>
      </w:r>
      <w:r>
        <w:rPr>
          <w:rFonts w:hint="eastAsia" w:ascii="仿宋_GB2312" w:hAnsi="宋体" w:eastAsia="仿宋_GB2312" w:cs="Arial"/>
          <w:kern w:val="0"/>
          <w:sz w:val="30"/>
          <w:szCs w:val="30"/>
          <w:highlight w:val="none"/>
          <w:lang w:val="en-US"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 w:hAnsi="仿宋" w:eastAsia="仿宋"/>
          <w:color w:val="000000"/>
          <w:sz w:val="30"/>
          <w:lang w:val="en-US" w:eastAsia="zh-CN"/>
        </w:rPr>
        <w:t>在职教师增加，师生伙食费纳入</w:t>
      </w:r>
      <w:r>
        <w:rPr>
          <w:rFonts w:hint="eastAsia" w:ascii="仿宋_GB2312" w:eastAsia="仿宋_GB2312"/>
          <w:sz w:val="30"/>
          <w:szCs w:val="30"/>
          <w:highlight w:val="none"/>
          <w:lang w:val="en-US" w:eastAsia="zh-CN"/>
        </w:rPr>
        <w:t>项目支出</w:t>
      </w:r>
      <w:r>
        <w:rPr>
          <w:rFonts w:hint="eastAsia" w:ascii="仿宋_GB2312" w:eastAsia="仿宋_GB2312"/>
          <w:sz w:val="30"/>
          <w:szCs w:val="30"/>
          <w:highlight w:val="none"/>
        </w:rPr>
        <w:t>。</w:t>
      </w:r>
    </w:p>
    <w:p w14:paraId="1343BED7">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14:paraId="6D0715B8">
      <w:pPr>
        <w:widowControl/>
        <w:snapToGrid w:val="0"/>
        <w:spacing w:before="100" w:after="100" w:line="600" w:lineRule="exact"/>
        <w:ind w:firstLine="538"/>
        <w:jc w:val="left"/>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富民县永定中心小学</w:t>
      </w:r>
      <w:r>
        <w:rPr>
          <w:rFonts w:hint="eastAsia" w:ascii="仿宋_GB2312" w:hAnsi="仿宋_GB2312" w:eastAsia="仿宋_GB2312" w:cs="仿宋_GB2312"/>
          <w:sz w:val="30"/>
          <w:szCs w:val="30"/>
          <w:highlight w:val="none"/>
        </w:rPr>
        <w:t>机构正常运转的日常支出</w:t>
      </w:r>
      <w:r>
        <w:rPr>
          <w:rFonts w:hint="eastAsia" w:ascii="仿宋_GB2312" w:hAnsi="仿宋_GB2312" w:eastAsia="仿宋_GB2312" w:cs="仿宋_GB2312"/>
          <w:color w:val="auto"/>
          <w:sz w:val="30"/>
          <w:lang w:val="zh-CN"/>
        </w:rPr>
        <w:t>23489409.05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23292504.96</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99.16</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196904.09</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0.84</w:t>
      </w:r>
      <w:r>
        <w:rPr>
          <w:rFonts w:hint="eastAsia" w:ascii="仿宋_GB2312" w:hAnsi="仿宋_GB2312" w:eastAsia="仿宋_GB2312" w:cs="仿宋_GB2312"/>
          <w:sz w:val="30"/>
          <w:szCs w:val="30"/>
          <w:highlight w:val="none"/>
        </w:rPr>
        <w:t>％。</w:t>
      </w:r>
    </w:p>
    <w:p w14:paraId="4E65BABF">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14:paraId="6E68B30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富民县永定中心小学</w:t>
      </w:r>
      <w:r>
        <w:rPr>
          <w:rFonts w:hint="eastAsia" w:ascii="仿宋_GB2312" w:eastAsia="仿宋_GB2312"/>
          <w:sz w:val="30"/>
          <w:szCs w:val="30"/>
          <w:highlight w:val="none"/>
        </w:rPr>
        <w:t>为完成特定的行政工作任务或事业发展目标，用于专项业务工作的经费支出</w:t>
      </w:r>
      <w:r>
        <w:rPr>
          <w:rFonts w:hint="eastAsia" w:ascii="仿宋_GB2312" w:hAnsi="仿宋_GB2312" w:eastAsia="仿宋_GB2312" w:cs="仿宋_GB2312"/>
          <w:color w:val="auto"/>
          <w:sz w:val="30"/>
          <w:lang w:val="zh-CN"/>
        </w:rPr>
        <w:t>2552377.92</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14:paraId="6A3D8495">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商品和服务支出</w:t>
      </w:r>
      <w:r>
        <w:rPr>
          <w:rFonts w:hint="eastAsia" w:ascii="仿宋_GB2312" w:eastAsia="仿宋_GB2312"/>
          <w:sz w:val="30"/>
          <w:szCs w:val="30"/>
          <w:highlight w:val="none"/>
          <w:lang w:val="en-US" w:eastAsia="zh-CN"/>
        </w:rPr>
        <w:t>441625.84</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办公费、印刷费、水电费、邮电费、</w:t>
      </w:r>
      <w:r>
        <w:rPr>
          <w:rFonts w:hint="eastAsia" w:ascii="仿宋_GB2312" w:eastAsia="仿宋_GB2312"/>
          <w:sz w:val="30"/>
          <w:szCs w:val="30"/>
          <w:highlight w:val="none"/>
          <w:lang w:val="en-US" w:eastAsia="zh-CN"/>
        </w:rPr>
        <w:t>物业管理费、维修维护费、培训费、专用材料费、劳务费和委托业务费</w:t>
      </w:r>
      <w:r>
        <w:rPr>
          <w:rFonts w:hint="eastAsia" w:ascii="仿宋_GB2312" w:eastAsia="仿宋_GB2312"/>
          <w:sz w:val="30"/>
          <w:szCs w:val="30"/>
          <w:highlight w:val="none"/>
          <w:lang w:eastAsia="zh-CN"/>
        </w:rPr>
        <w:t>。</w:t>
      </w:r>
    </w:p>
    <w:p w14:paraId="63D1B663">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对个人和家庭的补助</w:t>
      </w:r>
      <w:r>
        <w:rPr>
          <w:rFonts w:hint="eastAsia" w:ascii="仿宋_GB2312" w:eastAsia="仿宋_GB2312"/>
          <w:sz w:val="30"/>
          <w:szCs w:val="30"/>
          <w:highlight w:val="none"/>
          <w:lang w:val="en-US" w:eastAsia="zh-CN"/>
        </w:rPr>
        <w:t>2110752.08元</w:t>
      </w:r>
      <w:r>
        <w:rPr>
          <w:rFonts w:hint="eastAsia" w:ascii="仿宋_GB2312" w:eastAsia="仿宋_GB2312"/>
          <w:sz w:val="30"/>
          <w:szCs w:val="30"/>
          <w:highlight w:val="none"/>
        </w:rPr>
        <w:t>，主要用于</w:t>
      </w:r>
      <w:r>
        <w:rPr>
          <w:rFonts w:hint="eastAsia" w:ascii="仿宋_GB2312" w:eastAsia="仿宋_GB2312"/>
          <w:sz w:val="30"/>
          <w:szCs w:val="30"/>
          <w:highlight w:val="none"/>
          <w:lang w:eastAsia="zh-CN"/>
        </w:rPr>
        <w:t>生活补助、助学金。</w:t>
      </w:r>
    </w:p>
    <w:p w14:paraId="4B5917CD">
      <w:pPr>
        <w:widowControl/>
        <w:snapToGrid w:val="0"/>
        <w:spacing w:before="100" w:after="100" w:line="600" w:lineRule="exact"/>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14:paraId="1FB1C4B4">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14:paraId="1C9A5228">
      <w:pPr>
        <w:widowControl/>
        <w:snapToGrid w:val="0"/>
        <w:spacing w:before="100" w:after="100" w:line="600" w:lineRule="exact"/>
        <w:ind w:firstLine="600" w:firstLineChars="200"/>
        <w:jc w:val="left"/>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富民县永定中心小学</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25525891.86</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98.02</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1313341.66</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5.42</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109.96</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14:paraId="79E525CF">
      <w:pPr>
        <w:widowControl/>
        <w:snapToGrid w:val="0"/>
        <w:spacing w:before="100" w:after="100" w:line="600" w:lineRule="exact"/>
        <w:ind w:firstLine="600" w:firstLineChars="200"/>
        <w:jc w:val="left"/>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14:paraId="110625E3">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1.一般公共服务（类）支出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01071137">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2.外交（类）支出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%,.一般公共服务（类）支出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698BE18F">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3.国防（类）支出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%,一般公共服务（类）支出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0B3485BE">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eastAsia="zh-CN"/>
        </w:rPr>
        <w:t>4.公共安全（类）支出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%,.一般公共服务（类）支出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642072FF">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5.教育（类）支出19185786.00元，占一般公共预算财政拨款总支出的75.16%</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zh-CN" w:eastAsia="zh-CN"/>
        </w:rPr>
        <w:t>116.93</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。主要用于在职人员</w:t>
      </w:r>
      <w:r>
        <w:rPr>
          <w:rFonts w:hint="eastAsia" w:ascii="仿宋_GB2312" w:hAnsi="宋体" w:eastAsia="仿宋_GB2312" w:cs="Arial"/>
          <w:kern w:val="0"/>
          <w:sz w:val="30"/>
          <w:szCs w:val="30"/>
          <w:highlight w:val="none"/>
          <w:lang w:val="en-US" w:eastAsia="zh-CN"/>
        </w:rPr>
        <w:t>基本工资、津贴补贴等</w:t>
      </w:r>
      <w:r>
        <w:rPr>
          <w:rFonts w:hint="eastAsia" w:ascii="仿宋_GB2312" w:hAnsi="宋体" w:eastAsia="仿宋_GB2312" w:cs="Arial"/>
          <w:kern w:val="0"/>
          <w:sz w:val="30"/>
          <w:szCs w:val="30"/>
          <w:highlight w:val="none"/>
          <w:lang w:eastAsia="zh-CN"/>
        </w:rPr>
        <w:t>工资福利支出</w:t>
      </w:r>
      <w:r>
        <w:rPr>
          <w:rFonts w:hint="eastAsia" w:ascii="仿宋_GB2312" w:hAnsi="宋体" w:eastAsia="仿宋_GB2312" w:cs="Arial"/>
          <w:kern w:val="0"/>
          <w:sz w:val="30"/>
          <w:szCs w:val="30"/>
          <w:highlight w:val="none"/>
          <w:lang w:val="en-US" w:eastAsia="zh-CN"/>
        </w:rPr>
        <w:t>16919882.10元，办公费、印刷费、水电费等商品服务支出638529.93元，生活补助、助学金等</w:t>
      </w:r>
      <w:r>
        <w:rPr>
          <w:rFonts w:hint="eastAsia" w:ascii="仿宋_GB2312" w:hAnsi="宋体" w:eastAsia="仿宋_GB2312" w:cs="Arial"/>
          <w:kern w:val="0"/>
          <w:sz w:val="30"/>
          <w:szCs w:val="30"/>
          <w:highlight w:val="none"/>
          <w:lang w:eastAsia="zh-CN"/>
        </w:rPr>
        <w:t>对个人和家庭的补助</w:t>
      </w:r>
      <w:r>
        <w:rPr>
          <w:rFonts w:hint="eastAsia" w:ascii="仿宋_GB2312" w:hAnsi="宋体" w:eastAsia="仿宋_GB2312" w:cs="Arial"/>
          <w:kern w:val="0"/>
          <w:sz w:val="30"/>
          <w:szCs w:val="30"/>
          <w:highlight w:val="none"/>
          <w:lang w:val="en-US" w:eastAsia="zh-CN"/>
        </w:rPr>
        <w:t>1627373.97元</w:t>
      </w:r>
      <w:r>
        <w:rPr>
          <w:rFonts w:hint="eastAsia" w:ascii="仿宋_GB2312" w:hAnsi="宋体" w:eastAsia="仿宋_GB2312" w:cs="Arial"/>
          <w:kern w:val="0"/>
          <w:sz w:val="30"/>
          <w:szCs w:val="30"/>
          <w:highlight w:val="none"/>
          <w:lang w:eastAsia="zh-CN"/>
        </w:rPr>
        <w:t>。造成预决算差异的主要原因是在职人员增加。</w:t>
      </w:r>
    </w:p>
    <w:p w14:paraId="3AB54DEF">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6.科学技术（类）支出0.00元，占一般公共预算财政拨款总支出的0.00%</w:t>
      </w:r>
      <w:r>
        <w:rPr>
          <w:rFonts w:hint="eastAsia" w:ascii="仿宋_GB2312" w:hAnsi="宋体" w:eastAsia="仿宋_GB2312" w:cs="Arial"/>
          <w:kern w:val="0"/>
          <w:sz w:val="30"/>
          <w:szCs w:val="30"/>
          <w:highlight w:val="none"/>
          <w:lang w:eastAsia="zh-CN"/>
        </w:rPr>
        <w:t>,年初无此项预算。</w:t>
      </w:r>
    </w:p>
    <w:p w14:paraId="65481156">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7.文化旅游体育与传媒（类）支出0.00元，占一般公共预算财政拨款总支出的0.00%</w:t>
      </w:r>
      <w:r>
        <w:rPr>
          <w:rFonts w:hint="eastAsia" w:ascii="仿宋_GB2312" w:hAnsi="宋体" w:eastAsia="仿宋_GB2312" w:cs="Arial"/>
          <w:kern w:val="0"/>
          <w:sz w:val="30"/>
          <w:szCs w:val="30"/>
          <w:highlight w:val="none"/>
          <w:lang w:eastAsia="zh-CN"/>
        </w:rPr>
        <w:t>,年初无此项预算。</w:t>
      </w:r>
    </w:p>
    <w:p w14:paraId="6789F4B1">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8.社会保障和就业（类）支出2445764.46元，占一般公共预算财政拨款总支出的9.58%</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zh-CN" w:eastAsia="zh-CN"/>
        </w:rPr>
        <w:t>88.54</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主要用于机关事业单位基本养老保险缴费、职业年金缴费等工资福利支出</w:t>
      </w:r>
      <w:r>
        <w:rPr>
          <w:rFonts w:hint="eastAsia" w:ascii="仿宋_GB2312" w:hAnsi="宋体" w:eastAsia="仿宋_GB2312" w:cs="Arial"/>
          <w:kern w:val="0"/>
          <w:sz w:val="30"/>
          <w:szCs w:val="30"/>
          <w:highlight w:val="none"/>
          <w:lang w:val="en-US" w:eastAsia="zh-CN"/>
        </w:rPr>
        <w:t>2384494.16元；抚恤金、生活补助等</w:t>
      </w:r>
      <w:r>
        <w:rPr>
          <w:rFonts w:hint="eastAsia" w:ascii="仿宋_GB2312" w:hAnsi="宋体" w:eastAsia="仿宋_GB2312" w:cs="Arial"/>
          <w:kern w:val="0"/>
          <w:sz w:val="30"/>
          <w:szCs w:val="30"/>
          <w:highlight w:val="none"/>
          <w:lang w:eastAsia="zh-CN"/>
        </w:rPr>
        <w:t>对个人和家庭的补助</w:t>
      </w:r>
      <w:r>
        <w:rPr>
          <w:rFonts w:hint="eastAsia" w:ascii="仿宋_GB2312" w:hAnsi="宋体" w:eastAsia="仿宋_GB2312" w:cs="Arial"/>
          <w:kern w:val="0"/>
          <w:sz w:val="30"/>
          <w:szCs w:val="30"/>
          <w:highlight w:val="none"/>
          <w:lang w:val="en-US" w:eastAsia="zh-CN"/>
        </w:rPr>
        <w:t>61270.3元</w:t>
      </w:r>
      <w:r>
        <w:rPr>
          <w:rFonts w:hint="eastAsia" w:ascii="仿宋_GB2312" w:hAnsi="宋体" w:eastAsia="仿宋_GB2312" w:cs="Arial"/>
          <w:kern w:val="0"/>
          <w:sz w:val="30"/>
          <w:szCs w:val="30"/>
          <w:highlight w:val="none"/>
          <w:lang w:eastAsia="zh-CN"/>
        </w:rPr>
        <w:t>；造成预决算差异的主要原因是在职人员</w:t>
      </w:r>
      <w:r>
        <w:rPr>
          <w:rFonts w:hint="eastAsia" w:ascii="仿宋_GB2312" w:hAnsi="宋体" w:eastAsia="仿宋_GB2312" w:cs="Arial"/>
          <w:kern w:val="0"/>
          <w:sz w:val="30"/>
          <w:szCs w:val="30"/>
          <w:highlight w:val="none"/>
          <w:lang w:val="en-US" w:eastAsia="zh-CN"/>
        </w:rPr>
        <w:t>岗位调整</w:t>
      </w:r>
      <w:r>
        <w:rPr>
          <w:rFonts w:hint="eastAsia" w:ascii="仿宋_GB2312" w:hAnsi="宋体" w:eastAsia="仿宋_GB2312" w:cs="Arial"/>
          <w:kern w:val="0"/>
          <w:sz w:val="30"/>
          <w:szCs w:val="30"/>
          <w:highlight w:val="none"/>
          <w:lang w:eastAsia="zh-CN"/>
        </w:rPr>
        <w:t>。</w:t>
      </w:r>
    </w:p>
    <w:p w14:paraId="2CCC996E">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9.卫生健康（类）支出</w:t>
      </w:r>
      <w:r>
        <w:rPr>
          <w:rFonts w:hint="eastAsia" w:ascii="仿宋_GB2312" w:hAnsi="宋体" w:eastAsia="仿宋_GB2312" w:cs="Arial"/>
          <w:kern w:val="0"/>
          <w:sz w:val="30"/>
          <w:szCs w:val="30"/>
          <w:highlight w:val="none"/>
          <w:lang w:val="zh-CN" w:eastAsia="zh-CN"/>
        </w:rPr>
        <w:t>2297025.40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9.00</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zh-CN" w:eastAsia="zh-CN"/>
        </w:rPr>
        <w:t>99.96</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主要用于职工基本医疗保险缴费、公务员医疗补助缴费、其他社会保障缴费等工资福利支出</w:t>
      </w:r>
      <w:r>
        <w:rPr>
          <w:rFonts w:hint="eastAsia" w:ascii="仿宋_GB2312" w:hAnsi="宋体" w:eastAsia="仿宋_GB2312" w:cs="Arial"/>
          <w:kern w:val="0"/>
          <w:sz w:val="30"/>
          <w:szCs w:val="30"/>
          <w:highlight w:val="none"/>
          <w:lang w:val="zh-CN" w:eastAsia="zh-CN"/>
        </w:rPr>
        <w:t>2297025.40</w:t>
      </w:r>
      <w:r>
        <w:rPr>
          <w:rFonts w:hint="eastAsia" w:ascii="仿宋_GB2312" w:hAnsi="宋体" w:eastAsia="仿宋_GB2312" w:cs="Arial"/>
          <w:kern w:val="0"/>
          <w:sz w:val="30"/>
          <w:szCs w:val="30"/>
          <w:highlight w:val="none"/>
          <w:lang w:eastAsia="zh-CN"/>
        </w:rPr>
        <w:t>元；造成预决算差异的主要原因是退休人员预算基数较大，调入人员预算基数较小。</w:t>
      </w:r>
    </w:p>
    <w:p w14:paraId="392A3FDC">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10.节能环保（类）支出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28BD73C9">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11.城乡社区（类）支出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7210B684">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12.农林水（类）支出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010C690F">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13.交通运输（类）支出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30825D50">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14.资源勘探工业信息等（类）支出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033C1450">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15.商业服务业等（类）支出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570EE3A4">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16.金融（类）支出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653659EC">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17.援助其他地区（类）支出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0F74834A">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18.自然资源海洋气象等（类）支出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296EB0DB">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19.住房保障（类）支出</w:t>
      </w:r>
      <w:r>
        <w:rPr>
          <w:rFonts w:hint="eastAsia" w:ascii="仿宋_GB2312" w:hAnsi="宋体" w:eastAsia="仿宋_GB2312" w:cs="Arial"/>
          <w:kern w:val="0"/>
          <w:sz w:val="30"/>
          <w:szCs w:val="30"/>
          <w:highlight w:val="none"/>
          <w:lang w:val="zh-CN" w:eastAsia="zh-CN"/>
        </w:rPr>
        <w:t>1597316.00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6.26</w:t>
      </w:r>
      <w:r>
        <w:rPr>
          <w:rFonts w:hint="eastAsia" w:ascii="仿宋_GB2312" w:hAnsi="宋体" w:eastAsia="仿宋_GB2312" w:cs="Arial"/>
          <w:kern w:val="0"/>
          <w:sz w:val="30"/>
          <w:szCs w:val="30"/>
          <w:highlight w:val="none"/>
          <w:lang w:eastAsia="zh-CN"/>
        </w:rPr>
        <w:t>%,完成年初预算的</w:t>
      </w:r>
      <w:r>
        <w:rPr>
          <w:rFonts w:hint="eastAsia" w:ascii="仿宋_GB2312" w:hAnsi="宋体" w:eastAsia="仿宋_GB2312" w:cs="Arial"/>
          <w:kern w:val="0"/>
          <w:sz w:val="30"/>
          <w:szCs w:val="30"/>
          <w:highlight w:val="none"/>
          <w:lang w:val="zh-CN" w:eastAsia="zh-CN"/>
        </w:rPr>
        <w:t>91.51</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eastAsia="zh-CN"/>
        </w:rPr>
        <w:t>主要用于在职人员住房公积金；造成预决算差异的主要原因是退休人员预算基数较大，调入人员预算基数较小。</w:t>
      </w:r>
    </w:p>
    <w:p w14:paraId="3AEE085D">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20.粮油物资储备（类）支出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06340963">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21.国有资本经营预算（类）支出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5B5176D5">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22.灾害防治及应急管理（类）支出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58FB6ACF">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23.其他（类）支出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020BCE7B">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24.债务还本（类）支出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016975F5">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25.债务付息（类）支出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59BE7945">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lang w:val="en-US" w:eastAsia="zh-CN"/>
        </w:rPr>
        <w:t>26.抗疫特别国债安排（类）支出</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元，占一般公共预算财政拨款总支出的</w:t>
      </w:r>
      <w:r>
        <w:rPr>
          <w:rFonts w:hint="eastAsia" w:ascii="仿宋_GB2312" w:hAnsi="宋体" w:eastAsia="仿宋_GB2312" w:cs="Arial"/>
          <w:kern w:val="0"/>
          <w:sz w:val="30"/>
          <w:szCs w:val="30"/>
          <w:highlight w:val="none"/>
          <w:lang w:val="zh-CN" w:eastAsia="zh-CN"/>
        </w:rPr>
        <w:t>0.00</w:t>
      </w:r>
      <w:r>
        <w:rPr>
          <w:rFonts w:hint="eastAsia" w:ascii="仿宋_GB2312" w:hAnsi="宋体" w:eastAsia="仿宋_GB2312" w:cs="Arial"/>
          <w:kern w:val="0"/>
          <w:sz w:val="30"/>
          <w:szCs w:val="30"/>
          <w:highlight w:val="none"/>
          <w:lang w:eastAsia="zh-CN"/>
        </w:rPr>
        <w:t>%,年初无此项预算。</w:t>
      </w:r>
    </w:p>
    <w:p w14:paraId="6EBB0CD2">
      <w:pPr>
        <w:widowControl/>
        <w:numPr>
          <w:ilvl w:val="0"/>
          <w:numId w:val="2"/>
        </w:numPr>
        <w:snapToGrid w:val="0"/>
        <w:spacing w:before="100" w:after="100" w:line="360" w:lineRule="auto"/>
        <w:ind w:firstLine="600" w:firstLineChars="200"/>
        <w:jc w:val="left"/>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14:paraId="5065C999">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（一）总体情况</w:t>
      </w:r>
    </w:p>
    <w:p w14:paraId="4A0EFB6B">
      <w:pPr>
        <w:keepNext w:val="0"/>
        <w:keepLines w:val="0"/>
        <w:pageBreakBefore w:val="0"/>
        <w:widowControl w:val="0"/>
        <w:numPr>
          <w:ilvl w:val="0"/>
          <w:numId w:val="0"/>
        </w:numPr>
        <w:kinsoku/>
        <w:wordWrap/>
        <w:overflowPunct/>
        <w:topLinePunct w:val="0"/>
        <w:autoSpaceDE/>
        <w:autoSpaceDN/>
        <w:bidi w:val="0"/>
        <w:adjustRightInd/>
        <w:snapToGrid w:val="0"/>
        <w:spacing w:after="0" w:line="576" w:lineRule="exact"/>
        <w:ind w:firstLine="600" w:firstLineChars="200"/>
        <w:jc w:val="left"/>
        <w:textAlignment w:val="auto"/>
        <w:outlineLvl w:val="2"/>
        <w:rPr>
          <w:rFonts w:hint="eastAsia" w:ascii="仿宋_GB2312" w:hAnsi="宋体" w:eastAsia="仿宋_GB2312" w:cs="Arial"/>
          <w:kern w:val="0"/>
          <w:sz w:val="30"/>
          <w:szCs w:val="30"/>
          <w:highlight w:val="none"/>
          <w:lang w:val="zh-CN" w:eastAsia="zh-CN"/>
        </w:rPr>
      </w:pPr>
      <w:r>
        <w:rPr>
          <w:rFonts w:hint="eastAsia" w:ascii="仿宋_GB2312" w:hAnsi="宋体" w:eastAsia="仿宋_GB2312" w:cs="Arial"/>
          <w:kern w:val="0"/>
          <w:sz w:val="30"/>
          <w:szCs w:val="30"/>
          <w:highlight w:val="none"/>
          <w:lang w:val="en-US" w:eastAsia="zh-CN"/>
        </w:rPr>
        <w:t>2025年度</w:t>
      </w:r>
      <w:r>
        <w:rPr>
          <w:rFonts w:hint="eastAsia" w:ascii="仿宋_GB2312" w:hAnsi="宋体" w:eastAsia="仿宋_GB2312" w:cs="Arial"/>
          <w:kern w:val="0"/>
          <w:sz w:val="30"/>
          <w:szCs w:val="30"/>
          <w:highlight w:val="none"/>
          <w:lang w:val="zh-CN" w:eastAsia="zh-CN"/>
        </w:rPr>
        <w:t>财政拨款“三公”经费支出决算中，财政拨款“三公”经费支出年初预算为</w:t>
      </w:r>
      <w:r>
        <w:rPr>
          <w:rFonts w:hint="eastAsia" w:ascii="仿宋_GB2312" w:hAnsi="宋体" w:eastAsia="仿宋_GB2312" w:cs="Arial"/>
          <w:kern w:val="0"/>
          <w:sz w:val="30"/>
          <w:szCs w:val="30"/>
          <w:highlight w:val="none"/>
          <w:lang w:val="en-US" w:eastAsia="zh-CN"/>
        </w:rPr>
        <w:t>0.00</w:t>
      </w:r>
      <w:r>
        <w:rPr>
          <w:rFonts w:hint="eastAsia" w:ascii="仿宋_GB2312" w:hAnsi="宋体" w:eastAsia="仿宋_GB2312" w:cs="Arial"/>
          <w:kern w:val="0"/>
          <w:sz w:val="30"/>
          <w:szCs w:val="30"/>
          <w:highlight w:val="none"/>
          <w:lang w:val="zh-CN" w:eastAsia="zh-CN"/>
        </w:rPr>
        <w:t>元，决算为0.00元；上年无此项支出。</w:t>
      </w:r>
    </w:p>
    <w:p w14:paraId="06746782">
      <w:pPr>
        <w:keepNext w:val="0"/>
        <w:keepLines w:val="0"/>
        <w:pageBreakBefore w:val="0"/>
        <w:widowControl w:val="0"/>
        <w:numPr>
          <w:ilvl w:val="0"/>
          <w:numId w:val="0"/>
        </w:numPr>
        <w:kinsoku/>
        <w:wordWrap/>
        <w:overflowPunct/>
        <w:topLinePunct w:val="0"/>
        <w:autoSpaceDE/>
        <w:autoSpaceDN/>
        <w:bidi w:val="0"/>
        <w:adjustRightInd/>
        <w:snapToGrid w:val="0"/>
        <w:spacing w:after="0" w:line="576" w:lineRule="exact"/>
        <w:ind w:firstLine="600" w:firstLineChars="200"/>
        <w:jc w:val="left"/>
        <w:textAlignment w:val="auto"/>
        <w:outlineLvl w:val="2"/>
        <w:rPr>
          <w:rFonts w:hint="eastAsia" w:ascii="仿宋_GB2312" w:hAnsi="宋体" w:eastAsia="仿宋_GB2312" w:cs="Arial"/>
          <w:kern w:val="0"/>
          <w:sz w:val="30"/>
          <w:szCs w:val="30"/>
          <w:highlight w:val="none"/>
          <w:lang w:val="zh-CN" w:eastAsia="zh-CN"/>
        </w:rPr>
      </w:pPr>
      <w:r>
        <w:rPr>
          <w:rFonts w:hint="eastAsia" w:ascii="仿宋_GB2312" w:hAnsi="宋体" w:eastAsia="仿宋_GB2312" w:cs="Arial"/>
          <w:kern w:val="0"/>
          <w:sz w:val="30"/>
          <w:szCs w:val="30"/>
          <w:highlight w:val="none"/>
          <w:lang w:val="zh-CN" w:eastAsia="zh-CN"/>
        </w:rPr>
        <w:t>因公出国（境）费</w:t>
      </w:r>
      <w:r>
        <w:rPr>
          <w:rFonts w:hint="eastAsia" w:ascii="仿宋_GB2312" w:hAnsi="宋体" w:eastAsia="仿宋_GB2312" w:cs="Arial"/>
          <w:kern w:val="0"/>
          <w:sz w:val="30"/>
          <w:szCs w:val="30"/>
          <w:highlight w:val="none"/>
          <w:lang w:val="en-US" w:eastAsia="zh-CN"/>
        </w:rPr>
        <w:t>用用</w:t>
      </w:r>
      <w:r>
        <w:rPr>
          <w:rFonts w:hint="eastAsia" w:ascii="仿宋_GB2312" w:hAnsi="宋体" w:eastAsia="仿宋_GB2312" w:cs="Arial"/>
          <w:kern w:val="0"/>
          <w:sz w:val="30"/>
          <w:szCs w:val="30"/>
          <w:highlight w:val="none"/>
          <w:lang w:val="zh-CN" w:eastAsia="zh-CN"/>
        </w:rPr>
        <w:t>支出年初预算为0.00元，决算为0.00元，占财政拨款“三公”经费总支出决算的0.00%；公务用车购置费支出年初预算为0.00元，决算为0.00元，占财政拨款“三公”经费总支出决算的0.00%；公务用车运行维护费支出年初预算为0.00元，决算为0.00元，占财政拨款“三公”经费总支出决算的0.00%</w:t>
      </w:r>
      <w:r>
        <w:rPr>
          <w:rFonts w:hint="eastAsia" w:ascii="仿宋_GB2312" w:hAnsi="宋体" w:eastAsia="仿宋_GB2312" w:cs="Arial"/>
          <w:kern w:val="0"/>
          <w:sz w:val="30"/>
          <w:szCs w:val="30"/>
          <w:highlight w:val="none"/>
          <w:lang w:val="en-US" w:eastAsia="zh-CN"/>
        </w:rPr>
        <w:t>；</w:t>
      </w:r>
      <w:r>
        <w:rPr>
          <w:rFonts w:hint="eastAsia" w:ascii="仿宋_GB2312" w:hAnsi="宋体" w:eastAsia="仿宋_GB2312" w:cs="Arial"/>
          <w:kern w:val="0"/>
          <w:sz w:val="30"/>
          <w:szCs w:val="30"/>
          <w:highlight w:val="none"/>
          <w:lang w:val="zh-CN" w:eastAsia="zh-CN"/>
        </w:rPr>
        <w:t>公务接待费支出年初预算为0.00元，决算为0.00元，占财政拨款“三公”经费总支出决算的0.00%。</w:t>
      </w:r>
    </w:p>
    <w:p w14:paraId="4A3A9A7D">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宋体" w:eastAsia="仿宋_GB2312" w:cs="Arial"/>
          <w:kern w:val="0"/>
          <w:sz w:val="30"/>
          <w:szCs w:val="30"/>
          <w:highlight w:val="none"/>
          <w:lang w:val="zh-CN" w:eastAsia="zh-CN"/>
        </w:rPr>
      </w:pPr>
      <w:r>
        <w:rPr>
          <w:rFonts w:hint="eastAsia" w:ascii="仿宋_GB2312" w:hAnsi="宋体" w:eastAsia="仿宋_GB2312" w:cs="Arial"/>
          <w:kern w:val="0"/>
          <w:sz w:val="30"/>
          <w:szCs w:val="30"/>
          <w:highlight w:val="none"/>
          <w:lang w:val="zh-CN" w:eastAsia="zh-CN"/>
        </w:rPr>
        <w:t>因公出国（境）费</w:t>
      </w:r>
      <w:r>
        <w:rPr>
          <w:rFonts w:hint="eastAsia" w:ascii="仿宋_GB2312" w:hAnsi="宋体" w:eastAsia="仿宋_GB2312" w:cs="Arial"/>
          <w:kern w:val="0"/>
          <w:sz w:val="30"/>
          <w:szCs w:val="30"/>
          <w:highlight w:val="none"/>
          <w:lang w:val="en-US" w:eastAsia="zh-CN"/>
        </w:rPr>
        <w:t>用</w:t>
      </w:r>
      <w:r>
        <w:rPr>
          <w:rFonts w:hint="eastAsia" w:ascii="仿宋_GB2312" w:hAnsi="宋体" w:eastAsia="仿宋_GB2312" w:cs="Arial"/>
          <w:kern w:val="0"/>
          <w:sz w:val="30"/>
          <w:szCs w:val="30"/>
          <w:highlight w:val="none"/>
          <w:lang w:val="zh-CN" w:eastAsia="zh-CN"/>
        </w:rPr>
        <w:t>支出决算较上年增加0.00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zh-CN" w:eastAsia="zh-CN"/>
        </w:rPr>
        <w:t>上年无此项支出；公务用车购置费支出决算较上年增加0.00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zh-CN" w:eastAsia="zh-CN"/>
        </w:rPr>
        <w:t>上年无此项支出；公务用车运行维护费支出决算较上年增加0.00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zh-CN" w:eastAsia="zh-CN"/>
        </w:rPr>
        <w:t>上年无此项支出；公务接待费支出决算较上年增加0.00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zh-CN" w:eastAsia="zh-CN"/>
        </w:rPr>
        <w:t>上年无此项支出；具体是国内接待费支出决算0.00元（其中：外事接待费支出决算0.00元），较上年增加</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zh-CN" w:eastAsia="zh-CN"/>
        </w:rPr>
        <w:t>上年无此项支出；国（境）外接待费支出决算0.00元较上年增加0.00</w:t>
      </w:r>
      <w:r>
        <w:rPr>
          <w:rFonts w:hint="eastAsia" w:ascii="仿宋_GB2312" w:hAnsi="宋体" w:eastAsia="仿宋_GB2312" w:cs="Arial"/>
          <w:kern w:val="0"/>
          <w:sz w:val="30"/>
          <w:szCs w:val="30"/>
          <w:highlight w:val="none"/>
          <w:lang w:val="en-US" w:eastAsia="zh-CN"/>
        </w:rPr>
        <w:t>元，</w:t>
      </w:r>
      <w:r>
        <w:rPr>
          <w:rFonts w:hint="eastAsia" w:ascii="仿宋_GB2312" w:hAnsi="宋体" w:eastAsia="仿宋_GB2312" w:cs="Arial"/>
          <w:kern w:val="0"/>
          <w:sz w:val="30"/>
          <w:szCs w:val="30"/>
          <w:highlight w:val="none"/>
          <w:lang w:val="zh-CN" w:eastAsia="zh-CN"/>
        </w:rPr>
        <w:t>上年无此项支出。</w:t>
      </w:r>
    </w:p>
    <w:p w14:paraId="671714FF">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（二）一般公共预算财政拨款“三公”经费支出决算情况说明</w:t>
      </w:r>
    </w:p>
    <w:p w14:paraId="411F5B96">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hAnsi="仿宋_GB2312" w:eastAsia="仿宋_GB2312" w:cs="仿宋_GB2312"/>
          <w:color w:val="000000"/>
          <w:sz w:val="30"/>
          <w:lang w:val="zh-CN" w:eastAsia="zh-CN"/>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color w:val="000000"/>
          <w:sz w:val="30"/>
          <w:lang w:val="zh-CN" w:eastAsia="zh-CN"/>
        </w:rPr>
        <w:t>元</w:t>
      </w:r>
      <w:r>
        <w:rPr>
          <w:rFonts w:hint="eastAsia" w:ascii="仿宋_GB2312" w:hAnsi="仿宋_GB2312" w:eastAsia="仿宋_GB2312" w:cs="仿宋_GB2312"/>
          <w:color w:val="000000"/>
          <w:sz w:val="30"/>
          <w:lang w:val="zh-CN"/>
        </w:rPr>
        <w:t>，支出决算为0.00</w:t>
      </w:r>
      <w:r>
        <w:rPr>
          <w:rFonts w:hint="eastAsia" w:ascii="仿宋_GB2312" w:hAnsi="仿宋_GB2312" w:eastAsia="仿宋_GB2312" w:cs="仿宋_GB2312"/>
          <w:color w:val="000000"/>
          <w:sz w:val="30"/>
          <w:lang w:val="zh-CN" w:eastAsia="zh-CN"/>
        </w:rPr>
        <w:t>元，支出决算较上年增加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color w:val="000000"/>
          <w:sz w:val="30"/>
          <w:lang w:val="en-US" w:eastAsia="zh-CN"/>
        </w:rPr>
        <w:t>元，</w:t>
      </w:r>
      <w:r>
        <w:rPr>
          <w:rFonts w:hint="eastAsia" w:ascii="仿宋_GB2312" w:hAnsi="仿宋_GB2312" w:eastAsia="仿宋_GB2312" w:cs="仿宋_GB2312"/>
          <w:color w:val="000000"/>
          <w:sz w:val="30"/>
          <w:lang w:val="zh-CN" w:eastAsia="zh-CN"/>
        </w:rPr>
        <w:t>上年无此项支出。</w:t>
      </w:r>
    </w:p>
    <w:p w14:paraId="66021929">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eastAsia="仿宋_GB2312"/>
          <w:sz w:val="30"/>
          <w:szCs w:val="30"/>
          <w:highlight w:val="none"/>
        </w:rPr>
      </w:pPr>
      <w:r>
        <w:rPr>
          <w:rFonts w:hint="eastAsia" w:ascii="仿宋_GB2312" w:hAnsi="仿宋_GB2312" w:eastAsia="仿宋_GB2312" w:cs="仿宋_GB2312"/>
          <w:color w:val="000000"/>
          <w:sz w:val="30"/>
          <w:lang w:val="zh-CN"/>
        </w:rPr>
        <w:t>一般公共预算财政拨款“三公”经费支出</w:t>
      </w:r>
      <w:r>
        <w:rPr>
          <w:rFonts w:hint="eastAsia" w:ascii="仿宋_GB2312" w:hAnsi="仿宋_GB2312" w:eastAsia="仿宋_GB2312" w:cs="仿宋_GB2312"/>
          <w:color w:val="000000"/>
          <w:sz w:val="30"/>
          <w:lang w:val="zh-CN" w:eastAsia="zh-CN"/>
        </w:rPr>
        <w:t>中：</w:t>
      </w:r>
      <w:r>
        <w:rPr>
          <w:rFonts w:hint="eastAsia" w:ascii="仿宋_GB2312" w:hAnsi="仿宋_GB2312" w:eastAsia="仿宋_GB2312" w:cs="仿宋_GB2312"/>
          <w:color w:val="000000"/>
          <w:sz w:val="30"/>
          <w:lang w:val="zh-CN"/>
        </w:rPr>
        <w:t>因公出国（境）费</w:t>
      </w:r>
      <w:r>
        <w:rPr>
          <w:rFonts w:hint="eastAsia" w:ascii="仿宋_GB2312" w:hAnsi="仿宋_GB2312" w:eastAsia="仿宋_GB2312" w:cs="仿宋_GB2312"/>
          <w:color w:val="000000"/>
          <w:sz w:val="30"/>
          <w:lang w:val="en-US" w:eastAsia="zh-CN"/>
        </w:rPr>
        <w:t>用</w:t>
      </w:r>
      <w:r>
        <w:rPr>
          <w:rFonts w:hint="eastAsia" w:ascii="仿宋_GB2312" w:hAnsi="仿宋_GB2312" w:eastAsia="仿宋_GB2312" w:cs="仿宋_GB2312"/>
          <w:color w:val="000000"/>
          <w:sz w:val="30"/>
          <w:lang w:val="zh-CN"/>
        </w:rPr>
        <w:t>支出</w:t>
      </w:r>
      <w:r>
        <w:rPr>
          <w:rFonts w:hint="eastAsia" w:ascii="仿宋_GB2312" w:hAnsi="仿宋_GB2312" w:eastAsia="仿宋_GB2312" w:cs="仿宋_GB2312"/>
          <w:color w:val="000000"/>
          <w:sz w:val="30"/>
          <w:lang w:val="zh-CN"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；公务用车购置费支出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；公务接待费支出</w:t>
      </w:r>
      <w:r>
        <w:rPr>
          <w:rFonts w:hint="eastAsia" w:ascii="仿宋_GB2312" w:eastAsia="仿宋_GB2312"/>
          <w:sz w:val="30"/>
          <w:szCs w:val="30"/>
          <w:highlight w:val="none"/>
          <w:lang w:eastAsia="zh-CN"/>
        </w:rPr>
        <w:t>年</w:t>
      </w:r>
      <w:r>
        <w:rPr>
          <w:rFonts w:hint="eastAsia" w:ascii="仿宋_GB2312" w:hAnsi="宋体" w:eastAsia="仿宋_GB2312" w:cs="Arial"/>
          <w:kern w:val="0"/>
          <w:sz w:val="30"/>
          <w:szCs w:val="30"/>
          <w:highlight w:val="none"/>
          <w:lang w:eastAsia="zh-CN"/>
        </w:rPr>
        <w:t>初</w:t>
      </w:r>
      <w:r>
        <w:rPr>
          <w:rFonts w:hint="eastAsia" w:ascii="仿宋_GB2312" w:eastAsia="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一般公共预算财政拨款“三公”经费支出决算数</w:t>
      </w:r>
      <w:r>
        <w:rPr>
          <w:rFonts w:hint="eastAsia" w:ascii="仿宋_GB2312" w:eastAsia="仿宋_GB2312"/>
          <w:sz w:val="30"/>
          <w:szCs w:val="30"/>
          <w:highlight w:val="none"/>
          <w:lang w:eastAsia="zh-CN"/>
        </w:rPr>
        <w:t>与</w:t>
      </w:r>
      <w:r>
        <w:rPr>
          <w:rFonts w:hint="eastAsia" w:ascii="仿宋_GB2312" w:hAnsi="宋体" w:eastAsia="仿宋_GB2312" w:cs="Arial"/>
          <w:kern w:val="0"/>
          <w:sz w:val="30"/>
          <w:szCs w:val="30"/>
          <w:highlight w:val="none"/>
          <w:lang w:eastAsia="zh-CN"/>
        </w:rPr>
        <w:t>年初</w:t>
      </w:r>
      <w:r>
        <w:rPr>
          <w:rFonts w:hint="eastAsia" w:ascii="仿宋_GB2312" w:eastAsia="仿宋_GB2312"/>
          <w:sz w:val="30"/>
          <w:szCs w:val="30"/>
          <w:highlight w:val="none"/>
        </w:rPr>
        <w:t>预算数</w:t>
      </w:r>
      <w:r>
        <w:rPr>
          <w:rFonts w:hint="eastAsia" w:ascii="仿宋_GB2312" w:eastAsia="仿宋_GB2312"/>
          <w:sz w:val="30"/>
          <w:szCs w:val="30"/>
          <w:highlight w:val="none"/>
          <w:lang w:eastAsia="zh-CN"/>
        </w:rPr>
        <w:t>无差异。</w:t>
      </w:r>
    </w:p>
    <w:p w14:paraId="507E61B1">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中：</w:t>
      </w:r>
      <w:r>
        <w:rPr>
          <w:rFonts w:hint="eastAsia" w:ascii="仿宋_GB2312" w:eastAsia="仿宋_GB2312"/>
          <w:sz w:val="30"/>
          <w:szCs w:val="30"/>
          <w:highlight w:val="none"/>
        </w:rPr>
        <w:t>因公出国（境）费</w:t>
      </w:r>
      <w:r>
        <w:rPr>
          <w:rFonts w:hint="eastAsia" w:ascii="仿宋_GB2312" w:eastAsia="仿宋_GB2312"/>
          <w:sz w:val="30"/>
          <w:szCs w:val="30"/>
          <w:highlight w:val="none"/>
          <w:lang w:val="en-US" w:eastAsia="zh-CN"/>
        </w:rPr>
        <w:t>用</w:t>
      </w:r>
      <w:r>
        <w:rPr>
          <w:rFonts w:hint="eastAsia" w:ascii="仿宋_GB2312" w:eastAsia="仿宋_GB2312"/>
          <w:sz w:val="30"/>
          <w:szCs w:val="30"/>
          <w:highlight w:val="none"/>
        </w:rPr>
        <w:t>支出决算增加</w:t>
      </w:r>
      <w:r>
        <w:rPr>
          <w:rFonts w:hint="eastAsia" w:ascii="仿宋_GB2312" w:hAnsi="仿宋_GB2312" w:eastAsia="仿宋_GB2312" w:cs="仿宋_GB2312"/>
          <w:color w:val="000000"/>
          <w:sz w:val="30"/>
          <w:lang w:val="zh-CN"/>
        </w:rPr>
        <w:t>0.0</w:t>
      </w:r>
      <w:r>
        <w:rPr>
          <w:rFonts w:hint="eastAsia" w:ascii="仿宋_GB2312" w:eastAsia="仿宋_GB2312"/>
          <w:sz w:val="30"/>
          <w:szCs w:val="30"/>
          <w:highlight w:val="none"/>
          <w:lang w:val="zh-CN"/>
        </w:rPr>
        <w:t>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；公务用车购置费支出决算增加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rPr>
        <w:t>；公务用车</w:t>
      </w:r>
      <w:r>
        <w:rPr>
          <w:rFonts w:hint="eastAsia" w:ascii="仿宋_GB2312" w:eastAsia="仿宋_GB2312"/>
          <w:sz w:val="30"/>
          <w:szCs w:val="30"/>
          <w:highlight w:val="none"/>
          <w:lang w:eastAsia="zh-CN"/>
        </w:rPr>
        <w:t>运行维护费</w:t>
      </w:r>
      <w:r>
        <w:rPr>
          <w:rFonts w:hint="eastAsia" w:ascii="仿宋_GB2312" w:eastAsia="仿宋_GB2312"/>
          <w:sz w:val="30"/>
          <w:szCs w:val="30"/>
          <w:highlight w:val="none"/>
        </w:rPr>
        <w:t>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元上年无此项支出</w:t>
      </w:r>
      <w:r>
        <w:rPr>
          <w:rFonts w:hint="eastAsia" w:ascii="仿宋_GB2312" w:eastAsia="仿宋_GB2312"/>
          <w:sz w:val="30"/>
          <w:szCs w:val="30"/>
          <w:highlight w:val="none"/>
        </w:rPr>
        <w:t>；公务接待费支出决算增加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上年无此项支出，具体是国内接待费支出决算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元（其中：外事接待费支出决算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上年无此项支出；国（境）外接待费支出决算</w:t>
      </w:r>
      <w:r>
        <w:rPr>
          <w:rFonts w:hint="eastAsia" w:ascii="仿宋_GB2312" w:eastAsia="仿宋_GB2312"/>
          <w:sz w:val="30"/>
          <w:szCs w:val="30"/>
          <w:highlight w:val="none"/>
          <w:lang w:val="zh-CN"/>
        </w:rPr>
        <w:t>0.00</w:t>
      </w:r>
      <w:r>
        <w:rPr>
          <w:rFonts w:hint="eastAsia" w:ascii="仿宋_GB2312" w:eastAsia="仿宋_GB2312"/>
          <w:sz w:val="30"/>
          <w:szCs w:val="30"/>
          <w:highlight w:val="none"/>
          <w:lang w:eastAsia="zh-CN"/>
        </w:rPr>
        <w:t>元较上年增加</w:t>
      </w:r>
      <w:r>
        <w:rPr>
          <w:rFonts w:hint="eastAsia" w:ascii="仿宋_GB2312" w:eastAsia="仿宋_GB2312"/>
          <w:sz w:val="30"/>
          <w:szCs w:val="30"/>
          <w:highlight w:val="none"/>
          <w:lang w:val="zh-CN"/>
        </w:rPr>
        <w:t>0.00</w:t>
      </w:r>
      <w:r>
        <w:rPr>
          <w:rFonts w:hint="eastAsia" w:ascii="仿宋_GB2312" w:eastAsia="仿宋_GB2312"/>
          <w:sz w:val="30"/>
          <w:szCs w:val="30"/>
          <w:highlight w:val="none"/>
          <w:lang w:val="en-US" w:eastAsia="zh-CN"/>
        </w:rPr>
        <w:t>元，</w:t>
      </w:r>
      <w:r>
        <w:rPr>
          <w:rFonts w:hint="eastAsia" w:ascii="仿宋_GB2312" w:eastAsia="仿宋_GB2312"/>
          <w:sz w:val="30"/>
          <w:szCs w:val="30"/>
          <w:highlight w:val="none"/>
          <w:lang w:eastAsia="zh-CN"/>
        </w:rPr>
        <w:t>上年无此项支出。</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一般公共预算财政拨款“三公”经费支出决算</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增减</w:t>
      </w:r>
      <w:r>
        <w:rPr>
          <w:rFonts w:hint="eastAsia" w:ascii="仿宋_GB2312" w:eastAsia="仿宋_GB2312"/>
          <w:sz w:val="30"/>
          <w:szCs w:val="30"/>
          <w:highlight w:val="none"/>
          <w:lang w:eastAsia="zh-CN"/>
        </w:rPr>
        <w:t>变化。</w:t>
      </w:r>
    </w:p>
    <w:p w14:paraId="3C25BD82">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rPr>
        <w:t>一般公共预算财政拨款“三公”经费支出</w:t>
      </w:r>
      <w:r>
        <w:rPr>
          <w:rFonts w:hint="eastAsia" w:ascii="仿宋_GB2312" w:eastAsia="仿宋_GB2312"/>
          <w:sz w:val="30"/>
          <w:szCs w:val="30"/>
          <w:highlight w:val="none"/>
          <w:lang w:eastAsia="zh-CN"/>
        </w:rPr>
        <w:t>实物量的</w:t>
      </w:r>
      <w:r>
        <w:rPr>
          <w:rFonts w:hint="eastAsia" w:ascii="仿宋_GB2312" w:eastAsia="仿宋_GB2312"/>
          <w:sz w:val="30"/>
          <w:szCs w:val="30"/>
          <w:highlight w:val="none"/>
        </w:rPr>
        <w:t>具体情况</w:t>
      </w:r>
      <w:r>
        <w:rPr>
          <w:rFonts w:hint="eastAsia" w:ascii="仿宋_GB2312" w:eastAsia="仿宋_GB2312"/>
          <w:sz w:val="30"/>
          <w:szCs w:val="30"/>
          <w:highlight w:val="none"/>
          <w:lang w:eastAsia="zh-CN"/>
        </w:rPr>
        <w:t>：</w:t>
      </w:r>
    </w:p>
    <w:p w14:paraId="6A811AB3">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1.安排因公出国（境）团组</w:t>
      </w:r>
      <w:r>
        <w:rPr>
          <w:rFonts w:hint="eastAsia" w:ascii="仿宋_GB2312" w:eastAsia="仿宋_GB2312"/>
          <w:sz w:val="30"/>
          <w:szCs w:val="30"/>
          <w:highlight w:val="none"/>
          <w:lang w:val="zh-CN"/>
        </w:rPr>
        <w:t>0</w:t>
      </w:r>
      <w:r>
        <w:rPr>
          <w:rFonts w:hint="eastAsia" w:ascii="仿宋_GB2312" w:eastAsia="仿宋_GB2312"/>
          <w:sz w:val="30"/>
          <w:szCs w:val="30"/>
          <w:highlight w:val="none"/>
        </w:rPr>
        <w:t>个，累计</w:t>
      </w:r>
      <w:r>
        <w:rPr>
          <w:rFonts w:hint="eastAsia" w:ascii="仿宋_GB2312" w:eastAsia="仿宋_GB2312"/>
          <w:sz w:val="30"/>
          <w:szCs w:val="30"/>
          <w:highlight w:val="none"/>
          <w:lang w:val="zh-CN"/>
        </w:rPr>
        <w:t>0</w:t>
      </w:r>
      <w:r>
        <w:rPr>
          <w:rFonts w:hint="eastAsia" w:ascii="仿宋_GB2312" w:eastAsia="仿宋_GB2312"/>
          <w:sz w:val="30"/>
          <w:szCs w:val="30"/>
          <w:highlight w:val="none"/>
        </w:rPr>
        <w:t>人次。开展内容包括：</w:t>
      </w:r>
      <w:r>
        <w:rPr>
          <w:rFonts w:hint="eastAsia" w:ascii="仿宋_GB2312" w:eastAsia="仿宋_GB2312"/>
          <w:sz w:val="30"/>
          <w:szCs w:val="30"/>
          <w:highlight w:val="none"/>
          <w:lang w:val="en-US" w:eastAsia="zh-CN"/>
        </w:rPr>
        <w:t>无</w:t>
      </w:r>
      <w:r>
        <w:rPr>
          <w:rFonts w:hint="eastAsia" w:ascii="仿宋_GB2312" w:eastAsia="仿宋_GB2312"/>
          <w:sz w:val="30"/>
          <w:szCs w:val="30"/>
          <w:highlight w:val="none"/>
        </w:rPr>
        <w:t>。</w:t>
      </w:r>
    </w:p>
    <w:p w14:paraId="2D215B31">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2.购置车辆</w:t>
      </w:r>
      <w:r>
        <w:rPr>
          <w:rFonts w:hint="eastAsia" w:ascii="仿宋_GB2312" w:eastAsia="仿宋_GB2312"/>
          <w:sz w:val="30"/>
          <w:szCs w:val="30"/>
          <w:highlight w:val="none"/>
          <w:lang w:val="zh-CN"/>
        </w:rPr>
        <w:t>0</w:t>
      </w:r>
      <w:r>
        <w:rPr>
          <w:rFonts w:hint="eastAsia" w:ascii="仿宋_GB2312" w:eastAsia="仿宋_GB2312"/>
          <w:sz w:val="30"/>
          <w:szCs w:val="30"/>
          <w:highlight w:val="none"/>
        </w:rPr>
        <w:t>辆。开支一般公共预算财政拨款的公务用车保有量为</w:t>
      </w:r>
      <w:r>
        <w:rPr>
          <w:rFonts w:hint="eastAsia" w:ascii="仿宋_GB2312" w:eastAsia="仿宋_GB2312"/>
          <w:sz w:val="30"/>
          <w:szCs w:val="30"/>
          <w:highlight w:val="none"/>
          <w:lang w:val="zh-CN"/>
        </w:rPr>
        <w:t>0</w:t>
      </w:r>
      <w:r>
        <w:rPr>
          <w:rFonts w:hint="eastAsia" w:ascii="仿宋_GB2312" w:eastAsia="仿宋_GB2312"/>
          <w:sz w:val="30"/>
          <w:szCs w:val="30"/>
          <w:highlight w:val="none"/>
        </w:rPr>
        <w:t>辆。</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所需车辆燃料费、维修费、过路过桥费、保险费等。</w:t>
      </w:r>
    </w:p>
    <w:p w14:paraId="16427435">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仿宋_GB2312" w:eastAsia="仿宋_GB2312"/>
          <w:sz w:val="30"/>
          <w:szCs w:val="30"/>
          <w:highlight w:val="none"/>
        </w:rPr>
      </w:pPr>
      <w:r>
        <w:rPr>
          <w:rFonts w:hint="eastAsia" w:ascii="仿宋_GB2312" w:eastAsia="仿宋_GB2312"/>
          <w:sz w:val="30"/>
          <w:szCs w:val="30"/>
          <w:highlight w:val="none"/>
        </w:rPr>
        <w:t>3.安排国内公务接待</w:t>
      </w:r>
      <w:r>
        <w:rPr>
          <w:rFonts w:hint="eastAsia" w:ascii="仿宋_GB2312" w:eastAsia="仿宋_GB2312"/>
          <w:sz w:val="30"/>
          <w:szCs w:val="30"/>
          <w:highlight w:val="none"/>
          <w:lang w:val="zh-CN"/>
        </w:rPr>
        <w:t>0</w:t>
      </w:r>
      <w:r>
        <w:rPr>
          <w:rFonts w:hint="eastAsia" w:ascii="仿宋_GB2312" w:eastAsia="仿宋_GB2312"/>
          <w:sz w:val="30"/>
          <w:szCs w:val="30"/>
          <w:highlight w:val="none"/>
        </w:rPr>
        <w:t>批次（其中：外事接待</w:t>
      </w:r>
      <w:r>
        <w:rPr>
          <w:rFonts w:hint="eastAsia" w:ascii="仿宋_GB2312" w:eastAsia="仿宋_GB2312"/>
          <w:sz w:val="30"/>
          <w:szCs w:val="30"/>
          <w:highlight w:val="none"/>
          <w:lang w:val="zh-CN"/>
        </w:rPr>
        <w:t>0</w:t>
      </w:r>
      <w:r>
        <w:rPr>
          <w:rFonts w:hint="eastAsia" w:ascii="仿宋_GB2312" w:eastAsia="仿宋_GB2312"/>
          <w:sz w:val="30"/>
          <w:szCs w:val="30"/>
          <w:highlight w:val="none"/>
        </w:rPr>
        <w:t>批次），接待人次</w:t>
      </w:r>
      <w:r>
        <w:rPr>
          <w:rFonts w:hint="eastAsia" w:ascii="仿宋_GB2312" w:eastAsia="仿宋_GB2312"/>
          <w:sz w:val="30"/>
          <w:szCs w:val="30"/>
          <w:highlight w:val="none"/>
          <w:lang w:val="zh-CN"/>
        </w:rPr>
        <w:t>0</w:t>
      </w:r>
      <w:r>
        <w:rPr>
          <w:rFonts w:hint="eastAsia" w:ascii="仿宋_GB2312" w:eastAsia="仿宋_GB2312"/>
          <w:sz w:val="30"/>
          <w:szCs w:val="30"/>
          <w:highlight w:val="none"/>
        </w:rPr>
        <w:t>人（其中：外事接待人次</w:t>
      </w:r>
      <w:r>
        <w:rPr>
          <w:rFonts w:hint="eastAsia" w:ascii="仿宋_GB2312" w:eastAsia="仿宋_GB2312"/>
          <w:sz w:val="30"/>
          <w:szCs w:val="30"/>
          <w:highlight w:val="none"/>
          <w:lang w:val="zh-CN"/>
        </w:rPr>
        <w:t>0</w:t>
      </w:r>
      <w:r>
        <w:rPr>
          <w:rFonts w:hint="eastAsia" w:ascii="仿宋_GB2312" w:eastAsia="仿宋_GB2312"/>
          <w:sz w:val="30"/>
          <w:szCs w:val="30"/>
          <w:highlight w:val="none"/>
        </w:rPr>
        <w:t>人）。</w:t>
      </w:r>
      <w:r>
        <w:rPr>
          <w:rFonts w:hint="eastAsia" w:ascii="仿宋_GB2312" w:eastAsia="仿宋_GB2312"/>
          <w:sz w:val="30"/>
          <w:szCs w:val="30"/>
          <w:highlight w:val="none"/>
          <w:lang w:eastAsia="zh-CN"/>
        </w:rPr>
        <w:t>未</w:t>
      </w:r>
      <w:r>
        <w:rPr>
          <w:rFonts w:hint="eastAsia" w:ascii="仿宋_GB2312" w:eastAsia="仿宋_GB2312"/>
          <w:sz w:val="30"/>
          <w:szCs w:val="30"/>
          <w:highlight w:val="none"/>
        </w:rPr>
        <w:t>发生的接待支出。安排国（境）外公务接待</w:t>
      </w:r>
      <w:r>
        <w:rPr>
          <w:rFonts w:hint="eastAsia" w:ascii="仿宋_GB2312" w:eastAsia="仿宋_GB2312"/>
          <w:sz w:val="30"/>
          <w:szCs w:val="30"/>
          <w:highlight w:val="none"/>
          <w:lang w:val="zh-CN"/>
        </w:rPr>
        <w:t>0</w:t>
      </w:r>
      <w:r>
        <w:rPr>
          <w:rFonts w:hint="eastAsia" w:ascii="仿宋_GB2312" w:eastAsia="仿宋_GB2312"/>
          <w:sz w:val="30"/>
          <w:szCs w:val="30"/>
          <w:highlight w:val="none"/>
        </w:rPr>
        <w:t>批次，接待人次</w:t>
      </w:r>
      <w:r>
        <w:rPr>
          <w:rFonts w:hint="eastAsia" w:ascii="仿宋_GB2312" w:eastAsia="仿宋_GB2312"/>
          <w:sz w:val="30"/>
          <w:szCs w:val="30"/>
          <w:highlight w:val="none"/>
          <w:lang w:val="zh-CN"/>
        </w:rPr>
        <w:t>0</w:t>
      </w:r>
      <w:r>
        <w:rPr>
          <w:rFonts w:hint="eastAsia" w:ascii="仿宋_GB2312" w:eastAsia="仿宋_GB2312"/>
          <w:sz w:val="30"/>
          <w:szCs w:val="30"/>
          <w:highlight w:val="none"/>
        </w:rPr>
        <w:t>人。</w:t>
      </w:r>
      <w:r>
        <w:rPr>
          <w:rFonts w:hint="eastAsia" w:ascii="仿宋_GB2312" w:eastAsia="仿宋_GB2312"/>
          <w:sz w:val="30"/>
          <w:szCs w:val="30"/>
          <w:highlight w:val="none"/>
          <w:lang w:eastAsia="zh-CN"/>
        </w:rPr>
        <w:t>未</w:t>
      </w:r>
      <w:r>
        <w:rPr>
          <w:rFonts w:hint="eastAsia" w:ascii="仿宋_GB2312" w:eastAsia="仿宋_GB2312"/>
          <w:sz w:val="30"/>
          <w:szCs w:val="30"/>
          <w:highlight w:val="none"/>
        </w:rPr>
        <w:t>发生的接待支出。</w:t>
      </w:r>
    </w:p>
    <w:p w14:paraId="48FE83E9">
      <w:pPr>
        <w:keepNext w:val="0"/>
        <w:keepLines w:val="0"/>
        <w:pageBreakBefore w:val="0"/>
        <w:widowControl w:val="0"/>
        <w:kinsoku/>
        <w:overflowPunct/>
        <w:topLinePunct w:val="0"/>
        <w:autoSpaceDE/>
        <w:autoSpaceDN/>
        <w:bidi w:val="0"/>
        <w:adjustRightInd/>
        <w:snapToGrid w:val="0"/>
        <w:spacing w:after="0" w:line="576" w:lineRule="exact"/>
        <w:ind w:firstLine="600" w:firstLineChars="200"/>
        <w:jc w:val="left"/>
        <w:textAlignment w:val="auto"/>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14:paraId="69D0B573">
      <w:pPr>
        <w:keepNext w:val="0"/>
        <w:keepLines w:val="0"/>
        <w:pageBreakBefore w:val="0"/>
        <w:widowControl w:val="0"/>
        <w:numPr>
          <w:ilvl w:val="0"/>
          <w:numId w:val="0"/>
        </w:numPr>
        <w:kinsoku/>
        <w:wordWrap/>
        <w:overflowPunct/>
        <w:topLinePunct w:val="0"/>
        <w:autoSpaceDE/>
        <w:autoSpaceDN/>
        <w:bidi w:val="0"/>
        <w:adjustRightInd/>
        <w:snapToGrid w:val="0"/>
        <w:spacing w:after="0" w:line="576" w:lineRule="exact"/>
        <w:ind w:firstLine="600" w:firstLineChars="200"/>
        <w:jc w:val="left"/>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14:paraId="4E51E709">
      <w:pPr>
        <w:keepNext w:val="0"/>
        <w:keepLines w:val="0"/>
        <w:pageBreakBefore w:val="0"/>
        <w:widowControl w:val="0"/>
        <w:kinsoku/>
        <w:overflowPunct/>
        <w:topLinePunct w:val="0"/>
        <w:autoSpaceDE/>
        <w:autoSpaceDN/>
        <w:bidi w:val="0"/>
        <w:adjustRightInd/>
        <w:snapToGrid w:val="0"/>
        <w:spacing w:after="0" w:line="576" w:lineRule="exact"/>
        <w:ind w:firstLine="640" w:firstLineChars="200"/>
        <w:jc w:val="left"/>
        <w:textAlignment w:val="auto"/>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14:paraId="4A3DD179">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14:paraId="0285A1F2">
      <w:pPr>
        <w:keepNext w:val="0"/>
        <w:keepLines w:val="0"/>
        <w:pageBreakBefore w:val="0"/>
        <w:widowControl w:val="0"/>
        <w:kinsoku/>
        <w:overflowPunct/>
        <w:topLinePunct w:val="0"/>
        <w:autoSpaceDE/>
        <w:autoSpaceDN/>
        <w:bidi w:val="0"/>
        <w:adjustRightInd/>
        <w:spacing w:after="0" w:line="576" w:lineRule="exact"/>
        <w:ind w:firstLine="600" w:firstLineChars="200"/>
        <w:jc w:val="left"/>
        <w:textAlignment w:val="auto"/>
        <w:outlineLvl w:val="1"/>
        <w:rPr>
          <w:rFonts w:hint="eastAsia" w:ascii="仿宋_GB2312" w:hAnsi="黑体" w:eastAsia="仿宋_GB2312" w:cs="方正小标宋简体"/>
          <w:sz w:val="30"/>
          <w:szCs w:val="30"/>
          <w:highlight w:val="none"/>
        </w:rPr>
      </w:pPr>
      <w:r>
        <w:rPr>
          <w:rFonts w:hint="eastAsia" w:ascii="仿宋_GB2312" w:hAnsi="仿宋_GB2312" w:eastAsia="仿宋_GB2312" w:cs="仿宋_GB2312"/>
          <w:color w:val="auto"/>
          <w:sz w:val="30"/>
          <w:lang w:val="zh-CN"/>
        </w:rPr>
        <w:t>富民县永定中心小学</w:t>
      </w:r>
      <w:r>
        <w:rPr>
          <w:rFonts w:hint="eastAsia" w:ascii="仿宋_GB2312" w:hAnsi="黑体" w:eastAsia="仿宋_GB2312" w:cs="方正小标宋简体"/>
          <w:sz w:val="30"/>
          <w:szCs w:val="30"/>
          <w:highlight w:val="none"/>
          <w:lang w:val="en-US" w:eastAsia="zh-CN"/>
        </w:rPr>
        <w:t>2025</w:t>
      </w:r>
      <w:r>
        <w:rPr>
          <w:rFonts w:hint="eastAsia" w:ascii="仿宋_GB2312" w:hAnsi="黑体" w:eastAsia="仿宋_GB2312" w:cs="方正小标宋简体"/>
          <w:sz w:val="30"/>
          <w:szCs w:val="30"/>
          <w:highlight w:val="none"/>
        </w:rPr>
        <w:t>年机关运行经费支出</w:t>
      </w:r>
      <w:r>
        <w:rPr>
          <w:rFonts w:hint="eastAsia" w:ascii="仿宋_GB2312" w:hAnsi="仿宋_GB2312" w:eastAsia="仿宋_GB2312" w:cs="仿宋_GB2312"/>
          <w:color w:val="auto"/>
          <w:sz w:val="30"/>
          <w:lang w:val="en-US" w:eastAsia="zh-CN"/>
        </w:rPr>
        <w:t>0.00</w:t>
      </w:r>
      <w:r>
        <w:rPr>
          <w:rFonts w:hint="eastAsia" w:ascii="仿宋_GB2312" w:hAnsi="黑体" w:eastAsia="仿宋_GB2312" w:cs="方正小标宋简体"/>
          <w:sz w:val="30"/>
          <w:szCs w:val="30"/>
          <w:highlight w:val="none"/>
          <w:lang w:eastAsia="zh-CN"/>
        </w:rPr>
        <w:t>元</w:t>
      </w:r>
      <w:r>
        <w:rPr>
          <w:rFonts w:hint="eastAsia" w:ascii="仿宋_GB2312" w:hAnsi="黑体" w:eastAsia="仿宋_GB2312" w:cs="方正小标宋简体"/>
          <w:sz w:val="30"/>
          <w:szCs w:val="30"/>
          <w:highlight w:val="none"/>
        </w:rPr>
        <w:t>，</w:t>
      </w:r>
      <w:r>
        <w:rPr>
          <w:rFonts w:hint="eastAsia" w:ascii="仿宋_GB2312" w:hAnsi="黑体" w:eastAsia="仿宋_GB2312" w:cs="方正小标宋简体"/>
          <w:sz w:val="30"/>
          <w:szCs w:val="30"/>
          <w:highlight w:val="none"/>
          <w:lang w:eastAsia="zh-CN"/>
        </w:rPr>
        <w:t>比上年</w:t>
      </w:r>
      <w:r>
        <w:rPr>
          <w:rFonts w:hint="eastAsia" w:ascii="仿宋_GB2312" w:eastAsia="仿宋_GB2312"/>
          <w:sz w:val="30"/>
          <w:szCs w:val="30"/>
          <w:highlight w:val="none"/>
        </w:rPr>
        <w:t>增加</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，增长</w:t>
      </w:r>
      <w:r>
        <w:rPr>
          <w:rFonts w:hint="eastAsia" w:ascii="仿宋_GB2312" w:hAnsi="仿宋_GB2312" w:eastAsia="仿宋_GB2312" w:cs="仿宋_GB2312"/>
          <w:color w:val="auto"/>
          <w:sz w:val="30"/>
          <w:lang w:val="en-US" w:eastAsia="zh-CN"/>
        </w:rPr>
        <w:t>0.00</w:t>
      </w:r>
      <w:r>
        <w:rPr>
          <w:rFonts w:hint="eastAsia" w:ascii="仿宋_GB2312" w:eastAsia="仿宋_GB2312"/>
          <w:sz w:val="30"/>
          <w:szCs w:val="30"/>
          <w:highlight w:val="none"/>
        </w:rPr>
        <w:t>%</w:t>
      </w:r>
      <w:r>
        <w:rPr>
          <w:rFonts w:hint="eastAsia" w:ascii="仿宋_GB2312" w:hAnsi="黑体" w:eastAsia="仿宋_GB2312" w:cs="方正小标宋简体"/>
          <w:sz w:val="30"/>
          <w:szCs w:val="30"/>
          <w:highlight w:val="none"/>
        </w:rPr>
        <w:t>,</w:t>
      </w:r>
      <w:r>
        <w:rPr>
          <w:rFonts w:hint="eastAsia" w:ascii="仿宋" w:hAnsi="仿宋" w:eastAsia="仿宋"/>
          <w:color w:val="auto"/>
          <w:sz w:val="30"/>
          <w:lang w:val="en-US" w:eastAsia="zh-CN"/>
        </w:rPr>
        <w:t>主要原因是我单位为事业单位，无</w:t>
      </w:r>
      <w:r>
        <w:rPr>
          <w:rFonts w:hint="eastAsia" w:ascii="仿宋" w:hAnsi="仿宋" w:eastAsia="仿宋"/>
          <w:color w:val="auto"/>
          <w:sz w:val="30"/>
          <w:lang w:val="en-US"/>
        </w:rPr>
        <w:t>机关运行经费</w:t>
      </w:r>
      <w:r>
        <w:rPr>
          <w:rFonts w:hint="eastAsia" w:ascii="仿宋" w:hAnsi="仿宋" w:eastAsia="仿宋"/>
          <w:color w:val="auto"/>
          <w:sz w:val="30"/>
          <w:lang w:val="en-US" w:eastAsia="zh-CN"/>
        </w:rPr>
        <w:t>。</w:t>
      </w:r>
    </w:p>
    <w:p w14:paraId="0AEA7E74">
      <w:pPr>
        <w:widowControl/>
        <w:ind w:firstLine="600" w:firstLineChars="200"/>
        <w:outlineLvl w:val="1"/>
        <w:rPr>
          <w:rFonts w:hint="eastAsia" w:ascii="黑体" w:hAnsi="黑体" w:eastAsia="黑体" w:cs="黑体"/>
          <w:color w:val="000000"/>
          <w:kern w:val="0"/>
          <w:sz w:val="30"/>
          <w:szCs w:val="30"/>
          <w:highlight w:val="none"/>
        </w:rPr>
      </w:pPr>
      <w:r>
        <w:rPr>
          <w:rFonts w:hint="eastAsia" w:ascii="黑体" w:hAnsi="黑体" w:eastAsia="黑体" w:cs="黑体"/>
          <w:color w:val="000000"/>
          <w:kern w:val="0"/>
          <w:sz w:val="30"/>
          <w:szCs w:val="30"/>
          <w:highlight w:val="none"/>
          <w:lang w:eastAsia="zh-CN"/>
        </w:rPr>
        <w:t>二、</w:t>
      </w:r>
      <w:r>
        <w:rPr>
          <w:rFonts w:hint="eastAsia" w:ascii="黑体" w:hAnsi="黑体" w:eastAsia="黑体" w:cs="黑体"/>
          <w:color w:val="000000"/>
          <w:kern w:val="0"/>
          <w:sz w:val="30"/>
          <w:szCs w:val="30"/>
          <w:highlight w:val="none"/>
        </w:rPr>
        <w:t>国有资产占用情况</w:t>
      </w:r>
    </w:p>
    <w:p w14:paraId="21CEA92C">
      <w:pPr>
        <w:widowControl/>
        <w:ind w:firstLine="600" w:firstLineChars="200"/>
        <w:rPr>
          <w:rFonts w:hint="eastAsia" w:ascii="仿宋_GB2312" w:hAnsi="黑体" w:eastAsia="仿宋_GB2312" w:cs="方正小标宋简体"/>
          <w:color w:val="000000"/>
          <w:kern w:val="0"/>
          <w:sz w:val="30"/>
          <w:szCs w:val="30"/>
          <w:highlight w:val="none"/>
        </w:rPr>
      </w:pPr>
      <w:r>
        <w:rPr>
          <w:rFonts w:hint="eastAsia" w:ascii="仿宋_GB2312" w:hAnsi="仿宋_GB2312" w:eastAsia="仿宋_GB2312" w:cs="仿宋_GB2312"/>
          <w:sz w:val="30"/>
          <w:szCs w:val="30"/>
          <w:highlight w:val="none"/>
          <w:lang w:eastAsia="zh-CN"/>
        </w:rPr>
        <w:t>截至202</w:t>
      </w: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lang w:eastAsia="zh-CN"/>
        </w:rPr>
        <w:t>年末，</w:t>
      </w:r>
      <w:r>
        <w:rPr>
          <w:rFonts w:hint="eastAsia" w:ascii="仿宋_GB2312" w:hAnsi="仿宋_GB2312" w:eastAsia="仿宋_GB2312" w:cs="仿宋_GB2312"/>
          <w:color w:val="auto"/>
          <w:sz w:val="30"/>
          <w:lang w:val="zh-CN"/>
        </w:rPr>
        <w:t>富民县永定中心小学</w:t>
      </w:r>
      <w:r>
        <w:rPr>
          <w:rFonts w:hint="eastAsia" w:ascii="仿宋_GB2312" w:hAnsi="仿宋_GB2312" w:eastAsia="仿宋_GB2312" w:cs="仿宋_GB2312"/>
          <w:sz w:val="30"/>
          <w:szCs w:val="30"/>
          <w:highlight w:val="none"/>
          <w:lang w:eastAsia="zh-CN"/>
        </w:rPr>
        <w:t>资产总额38814725.37元，其中，流动资产730540.8元，固定资产36873648.57元（净值），对外投资及有价证券</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sz w:val="30"/>
          <w:szCs w:val="30"/>
          <w:highlight w:val="none"/>
          <w:lang w:eastAsia="zh-CN"/>
        </w:rPr>
        <w:t>元，在建工程1210536</w:t>
      </w:r>
      <w:r>
        <w:rPr>
          <w:rFonts w:hint="eastAsia" w:ascii="仿宋_GB2312" w:hAnsi="仿宋_GB2312" w:eastAsia="仿宋_GB2312" w:cs="仿宋_GB2312"/>
          <w:sz w:val="30"/>
          <w:szCs w:val="30"/>
          <w:highlight w:val="none"/>
          <w:lang w:val="en-US" w:eastAsia="zh-CN"/>
        </w:rPr>
        <w:t>.00</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黑体" w:eastAsia="仿宋_GB2312" w:cs="方正小标宋简体"/>
          <w:color w:val="000000"/>
          <w:kern w:val="0"/>
          <w:sz w:val="30"/>
          <w:szCs w:val="30"/>
          <w:highlight w:val="none"/>
        </w:rPr>
        <w:t>。与上年相比，本年资产总额增加</w:t>
      </w:r>
      <w:r>
        <w:rPr>
          <w:rFonts w:hint="eastAsia" w:ascii="仿宋_GB2312" w:hAnsi="黑体" w:eastAsia="仿宋_GB2312" w:cs="方正小标宋简体"/>
          <w:color w:val="000000"/>
          <w:kern w:val="0"/>
          <w:sz w:val="30"/>
          <w:szCs w:val="30"/>
          <w:highlight w:val="none"/>
          <w:lang w:val="en-US" w:eastAsia="zh-CN"/>
        </w:rPr>
        <w:t>12062219.81</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，其中固定资产增加</w:t>
      </w:r>
      <w:r>
        <w:rPr>
          <w:rFonts w:hint="eastAsia" w:ascii="仿宋_GB2312" w:hAnsi="黑体" w:eastAsia="仿宋_GB2312" w:cs="方正小标宋简体"/>
          <w:color w:val="000000"/>
          <w:kern w:val="0"/>
          <w:sz w:val="30"/>
          <w:szCs w:val="30"/>
          <w:highlight w:val="none"/>
          <w:lang w:val="en-US" w:eastAsia="zh-CN"/>
        </w:rPr>
        <w:t>11961840.89</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。处置房屋建筑物</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；处置车辆</w:t>
      </w:r>
      <w:r>
        <w:rPr>
          <w:rFonts w:hint="eastAsia" w:ascii="仿宋_GB2312" w:hAnsi="黑体" w:eastAsia="仿宋_GB2312" w:cs="方正小标宋简体"/>
          <w:color w:val="000000"/>
          <w:kern w:val="0"/>
          <w:sz w:val="30"/>
          <w:szCs w:val="30"/>
          <w:highlight w:val="none"/>
          <w:lang w:val="en-US" w:eastAsia="zh-CN"/>
        </w:rPr>
        <w:t>0</w:t>
      </w:r>
      <w:r>
        <w:rPr>
          <w:rFonts w:hint="eastAsia" w:ascii="仿宋_GB2312" w:hAnsi="黑体" w:eastAsia="仿宋_GB2312" w:cs="方正小标宋简体"/>
          <w:color w:val="000000"/>
          <w:kern w:val="0"/>
          <w:sz w:val="30"/>
          <w:szCs w:val="30"/>
          <w:highlight w:val="none"/>
        </w:rPr>
        <w:t>辆，账面原值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；报废报损资产</w:t>
      </w:r>
      <w:r>
        <w:rPr>
          <w:rFonts w:hint="eastAsia" w:ascii="仿宋_GB2312" w:hAnsi="黑体" w:eastAsia="仿宋_GB2312" w:cs="方正小标宋简体"/>
          <w:color w:val="000000"/>
          <w:kern w:val="0"/>
          <w:sz w:val="30"/>
          <w:szCs w:val="30"/>
          <w:highlight w:val="none"/>
          <w:lang w:val="en-US" w:eastAsia="zh-CN"/>
        </w:rPr>
        <w:t>18</w:t>
      </w:r>
      <w:r>
        <w:rPr>
          <w:rFonts w:hint="eastAsia" w:ascii="仿宋_GB2312" w:hAnsi="黑体" w:eastAsia="仿宋_GB2312" w:cs="方正小标宋简体"/>
          <w:color w:val="000000"/>
          <w:kern w:val="0"/>
          <w:sz w:val="30"/>
          <w:szCs w:val="30"/>
          <w:highlight w:val="none"/>
        </w:rPr>
        <w:t>项，账面原值</w:t>
      </w:r>
      <w:r>
        <w:rPr>
          <w:rFonts w:hint="eastAsia" w:ascii="仿宋_GB2312" w:hAnsi="黑体" w:eastAsia="仿宋_GB2312" w:cs="方正小标宋简体"/>
          <w:color w:val="000000"/>
          <w:kern w:val="0"/>
          <w:sz w:val="30"/>
          <w:szCs w:val="30"/>
          <w:highlight w:val="none"/>
          <w:lang w:val="en-US" w:eastAsia="zh-CN"/>
        </w:rPr>
        <w:t>49988.00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，实现资产处置收入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；出租房屋</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rPr>
        <w:t>平方米，账面原值</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，实现资产使用收入</w:t>
      </w:r>
      <w:r>
        <w:rPr>
          <w:rFonts w:hint="eastAsia" w:ascii="仿宋_GB2312" w:hAnsi="黑体" w:eastAsia="仿宋_GB2312" w:cs="方正小标宋简体"/>
          <w:color w:val="000000"/>
          <w:kern w:val="0"/>
          <w:sz w:val="30"/>
          <w:szCs w:val="30"/>
          <w:highlight w:val="none"/>
          <w:lang w:val="en-US" w:eastAsia="zh-CN"/>
        </w:rPr>
        <w:t>0.00</w:t>
      </w:r>
      <w:r>
        <w:rPr>
          <w:rFonts w:hint="eastAsia" w:ascii="仿宋_GB2312" w:hAnsi="黑体" w:eastAsia="仿宋_GB2312" w:cs="方正小标宋简体"/>
          <w:color w:val="000000"/>
          <w:kern w:val="0"/>
          <w:sz w:val="30"/>
          <w:szCs w:val="30"/>
          <w:highlight w:val="none"/>
          <w:lang w:eastAsia="zh-CN"/>
        </w:rPr>
        <w:t>元</w:t>
      </w:r>
      <w:r>
        <w:rPr>
          <w:rFonts w:hint="eastAsia" w:ascii="仿宋_GB2312" w:hAnsi="黑体" w:eastAsia="仿宋_GB2312" w:cs="方正小标宋简体"/>
          <w:color w:val="000000"/>
          <w:kern w:val="0"/>
          <w:sz w:val="30"/>
          <w:szCs w:val="30"/>
          <w:highlight w:val="none"/>
        </w:rPr>
        <w:t>。</w:t>
      </w:r>
      <w:bookmarkStart w:id="0" w:name="_GoBack"/>
      <w:bookmarkEnd w:id="0"/>
    </w:p>
    <w:p w14:paraId="38EE6FD8">
      <w:pPr>
        <w:widowControl/>
        <w:ind w:firstLine="600" w:firstLineChars="200"/>
        <w:rPr>
          <w:rFonts w:hint="eastAsia" w:ascii="仿宋_GB2312" w:hAnsi="黑体" w:eastAsia="仿宋_GB2312" w:cs="方正小标宋简体"/>
          <w:color w:val="000000"/>
          <w:kern w:val="0"/>
          <w:sz w:val="30"/>
          <w:szCs w:val="30"/>
          <w:highlight w:val="none"/>
          <w:lang w:eastAsia="zh-CN"/>
        </w:rPr>
      </w:pPr>
      <w:r>
        <w:rPr>
          <w:rFonts w:hint="eastAsia" w:ascii="仿宋_GB2312" w:hAnsi="黑体" w:eastAsia="仿宋_GB2312" w:cs="方正小标宋简体"/>
          <w:color w:val="000000"/>
          <w:kern w:val="0"/>
          <w:sz w:val="30"/>
          <w:szCs w:val="30"/>
          <w:highlight w:val="none"/>
          <w:lang w:eastAsia="zh-CN"/>
        </w:rPr>
        <w:t>（</w:t>
      </w:r>
      <w:r>
        <w:rPr>
          <w:rFonts w:hint="eastAsia" w:ascii="仿宋_GB2312" w:hAnsi="黑体" w:eastAsia="仿宋_GB2312" w:cs="方正小标宋简体"/>
          <w:color w:val="000000"/>
          <w:kern w:val="0"/>
          <w:sz w:val="30"/>
          <w:szCs w:val="30"/>
          <w:highlight w:val="none"/>
        </w:rPr>
        <w:t>国有资产占有使用情况表</w:t>
      </w:r>
      <w:r>
        <w:rPr>
          <w:rFonts w:hint="eastAsia" w:ascii="仿宋_GB2312" w:hAnsi="黑体" w:eastAsia="仿宋_GB2312" w:cs="方正小标宋简体"/>
          <w:color w:val="000000"/>
          <w:kern w:val="0"/>
          <w:sz w:val="30"/>
          <w:szCs w:val="30"/>
          <w:highlight w:val="none"/>
          <w:lang w:eastAsia="zh-CN"/>
        </w:rPr>
        <w:t>详见附表）</w:t>
      </w:r>
    </w:p>
    <w:tbl>
      <w:tblPr>
        <w:tblStyle w:val="5"/>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14:paraId="6C2CC956">
        <w:tblPrEx>
          <w:tblCellMar>
            <w:top w:w="0" w:type="dxa"/>
            <w:left w:w="0" w:type="dxa"/>
            <w:bottom w:w="0" w:type="dxa"/>
            <w:right w:w="0" w:type="dxa"/>
          </w:tblCellMar>
        </w:tblPrEx>
        <w:trPr>
          <w:trHeight w:val="495" w:hRule="atLeast"/>
        </w:trPr>
        <w:tc>
          <w:tcPr>
            <w:tcW w:w="142" w:type="dxa"/>
            <w:tcBorders>
              <w:top w:val="nil"/>
              <w:left w:val="nil"/>
              <w:bottom w:val="nil"/>
              <w:right w:val="nil"/>
            </w:tcBorders>
            <w:noWrap w:val="0"/>
            <w:vAlign w:val="center"/>
          </w:tcPr>
          <w:p w14:paraId="2F8B1495">
            <w:pPr>
              <w:widowControl/>
              <w:jc w:val="left"/>
              <w:rPr>
                <w:rFonts w:ascii="宋体" w:hAnsi="宋体" w:cs="宋体"/>
                <w:color w:val="000000"/>
                <w:kern w:val="0"/>
                <w:sz w:val="17"/>
                <w:szCs w:val="17"/>
                <w:highlight w:val="none"/>
              </w:rPr>
            </w:pPr>
          </w:p>
        </w:tc>
      </w:tr>
      <w:tr w14:paraId="433BBD18">
        <w:tblPrEx>
          <w:tblCellMar>
            <w:top w:w="0" w:type="dxa"/>
            <w:left w:w="0" w:type="dxa"/>
            <w:bottom w:w="0" w:type="dxa"/>
            <w:right w:w="0" w:type="dxa"/>
          </w:tblCellMar>
        </w:tblPrEx>
        <w:trPr>
          <w:trHeight w:val="347" w:hRule="atLeast"/>
        </w:trPr>
        <w:tc>
          <w:tcPr>
            <w:tcW w:w="142" w:type="dxa"/>
            <w:tcBorders>
              <w:top w:val="nil"/>
              <w:left w:val="nil"/>
              <w:bottom w:val="nil"/>
              <w:right w:val="nil"/>
            </w:tcBorders>
            <w:noWrap w:val="0"/>
            <w:vAlign w:val="center"/>
          </w:tcPr>
          <w:p w14:paraId="3FDD9CD1">
            <w:pPr>
              <w:widowControl/>
              <w:jc w:val="left"/>
              <w:rPr>
                <w:rFonts w:ascii="宋体" w:hAnsi="宋体" w:cs="宋体"/>
                <w:color w:val="000000"/>
                <w:kern w:val="0"/>
                <w:sz w:val="17"/>
                <w:szCs w:val="17"/>
                <w:highlight w:val="none"/>
              </w:rPr>
            </w:pPr>
          </w:p>
        </w:tc>
      </w:tr>
      <w:tr w14:paraId="0EEA60A5">
        <w:tblPrEx>
          <w:tblCellMar>
            <w:top w:w="0" w:type="dxa"/>
            <w:left w:w="0" w:type="dxa"/>
            <w:bottom w:w="0" w:type="dxa"/>
            <w:right w:w="0" w:type="dxa"/>
          </w:tblCellMar>
        </w:tblPrEx>
        <w:trPr>
          <w:trHeight w:val="415" w:hRule="atLeast"/>
        </w:trPr>
        <w:tc>
          <w:tcPr>
            <w:tcW w:w="142" w:type="dxa"/>
            <w:tcBorders>
              <w:top w:val="nil"/>
              <w:left w:val="nil"/>
              <w:bottom w:val="nil"/>
              <w:right w:val="nil"/>
            </w:tcBorders>
            <w:noWrap w:val="0"/>
            <w:vAlign w:val="center"/>
          </w:tcPr>
          <w:p w14:paraId="5C057A77">
            <w:pPr>
              <w:widowControl/>
              <w:jc w:val="left"/>
              <w:rPr>
                <w:rFonts w:ascii="宋体" w:hAnsi="宋体" w:cs="宋体"/>
                <w:color w:val="000000"/>
                <w:kern w:val="0"/>
                <w:sz w:val="17"/>
                <w:szCs w:val="17"/>
                <w:highlight w:val="none"/>
              </w:rPr>
            </w:pPr>
          </w:p>
        </w:tc>
      </w:tr>
      <w:tr w14:paraId="7C88453F">
        <w:tblPrEx>
          <w:tblCellMar>
            <w:top w:w="0" w:type="dxa"/>
            <w:left w:w="0" w:type="dxa"/>
            <w:bottom w:w="0" w:type="dxa"/>
            <w:right w:w="0" w:type="dxa"/>
          </w:tblCellMar>
        </w:tblPrEx>
        <w:trPr>
          <w:trHeight w:val="345" w:hRule="atLeast"/>
        </w:trPr>
        <w:tc>
          <w:tcPr>
            <w:tcW w:w="142" w:type="dxa"/>
            <w:tcBorders>
              <w:top w:val="nil"/>
              <w:left w:val="nil"/>
              <w:bottom w:val="nil"/>
              <w:right w:val="nil"/>
            </w:tcBorders>
            <w:noWrap w:val="0"/>
            <w:vAlign w:val="center"/>
          </w:tcPr>
          <w:p w14:paraId="255B0869">
            <w:pPr>
              <w:widowControl/>
              <w:jc w:val="left"/>
              <w:rPr>
                <w:rFonts w:ascii="宋体" w:hAnsi="宋体" w:cs="宋体"/>
                <w:color w:val="000000"/>
                <w:kern w:val="0"/>
                <w:sz w:val="17"/>
                <w:szCs w:val="17"/>
                <w:highlight w:val="none"/>
              </w:rPr>
            </w:pPr>
          </w:p>
        </w:tc>
      </w:tr>
      <w:tr w14:paraId="05FB767F">
        <w:tblPrEx>
          <w:tblCellMar>
            <w:top w:w="0" w:type="dxa"/>
            <w:left w:w="0" w:type="dxa"/>
            <w:bottom w:w="0" w:type="dxa"/>
            <w:right w:w="0" w:type="dxa"/>
          </w:tblCellMar>
        </w:tblPrEx>
        <w:trPr>
          <w:trHeight w:val="395" w:hRule="atLeast"/>
        </w:trPr>
        <w:tc>
          <w:tcPr>
            <w:tcW w:w="142" w:type="dxa"/>
            <w:tcBorders>
              <w:top w:val="nil"/>
              <w:left w:val="nil"/>
              <w:bottom w:val="nil"/>
              <w:right w:val="nil"/>
            </w:tcBorders>
            <w:noWrap w:val="0"/>
            <w:vAlign w:val="center"/>
          </w:tcPr>
          <w:p w14:paraId="7051E7A5">
            <w:pPr>
              <w:widowControl/>
              <w:jc w:val="left"/>
              <w:rPr>
                <w:rFonts w:ascii="宋体" w:hAnsi="宋体" w:cs="宋体"/>
                <w:color w:val="000000"/>
                <w:kern w:val="0"/>
                <w:sz w:val="17"/>
                <w:szCs w:val="17"/>
                <w:highlight w:val="none"/>
              </w:rPr>
            </w:pPr>
          </w:p>
        </w:tc>
      </w:tr>
      <w:tr w14:paraId="707A6E70">
        <w:tblPrEx>
          <w:tblCellMar>
            <w:top w:w="0" w:type="dxa"/>
            <w:left w:w="0" w:type="dxa"/>
            <w:bottom w:w="0" w:type="dxa"/>
            <w:right w:w="0" w:type="dxa"/>
          </w:tblCellMar>
        </w:tblPrEx>
        <w:trPr>
          <w:trHeight w:val="358" w:hRule="atLeast"/>
        </w:trPr>
        <w:tc>
          <w:tcPr>
            <w:tcW w:w="142" w:type="dxa"/>
            <w:tcBorders>
              <w:top w:val="nil"/>
              <w:left w:val="nil"/>
              <w:bottom w:val="nil"/>
              <w:right w:val="nil"/>
            </w:tcBorders>
            <w:noWrap w:val="0"/>
            <w:vAlign w:val="center"/>
          </w:tcPr>
          <w:p w14:paraId="2FA6CFEE">
            <w:pPr>
              <w:widowControl/>
              <w:jc w:val="left"/>
              <w:rPr>
                <w:rFonts w:ascii="宋体" w:hAnsi="宋体" w:cs="宋体"/>
                <w:color w:val="000000"/>
                <w:kern w:val="0"/>
                <w:sz w:val="17"/>
                <w:szCs w:val="17"/>
                <w:highlight w:val="none"/>
              </w:rPr>
            </w:pPr>
          </w:p>
        </w:tc>
      </w:tr>
      <w:tr w14:paraId="1C6E81EE">
        <w:tblPrEx>
          <w:tblCellMar>
            <w:top w:w="0" w:type="dxa"/>
            <w:left w:w="0" w:type="dxa"/>
            <w:bottom w:w="0" w:type="dxa"/>
            <w:right w:w="0" w:type="dxa"/>
          </w:tblCellMar>
        </w:tblPrEx>
        <w:trPr>
          <w:trHeight w:val="563" w:hRule="atLeast"/>
        </w:trPr>
        <w:tc>
          <w:tcPr>
            <w:tcW w:w="142" w:type="dxa"/>
            <w:tcBorders>
              <w:top w:val="nil"/>
              <w:left w:val="nil"/>
              <w:bottom w:val="nil"/>
              <w:right w:val="nil"/>
            </w:tcBorders>
            <w:noWrap w:val="0"/>
            <w:vAlign w:val="center"/>
          </w:tcPr>
          <w:p w14:paraId="2FEC1CE3">
            <w:pPr>
              <w:widowControl/>
              <w:jc w:val="left"/>
              <w:rPr>
                <w:rFonts w:ascii="宋体" w:hAnsi="宋体" w:cs="宋体"/>
                <w:color w:val="000000"/>
                <w:kern w:val="0"/>
                <w:sz w:val="17"/>
                <w:szCs w:val="17"/>
                <w:highlight w:val="none"/>
              </w:rPr>
            </w:pPr>
          </w:p>
        </w:tc>
      </w:tr>
      <w:tr w14:paraId="74F9D294">
        <w:tblPrEx>
          <w:tblCellMar>
            <w:top w:w="0" w:type="dxa"/>
            <w:left w:w="0" w:type="dxa"/>
            <w:bottom w:w="0" w:type="dxa"/>
            <w:right w:w="0" w:type="dxa"/>
          </w:tblCellMar>
        </w:tblPrEx>
        <w:trPr>
          <w:trHeight w:val="495" w:hRule="atLeast"/>
        </w:trPr>
        <w:tc>
          <w:tcPr>
            <w:tcW w:w="142" w:type="dxa"/>
            <w:noWrap w:val="0"/>
            <w:vAlign w:val="center"/>
          </w:tcPr>
          <w:p w14:paraId="456C2DF7">
            <w:pPr>
              <w:widowControl/>
              <w:jc w:val="left"/>
              <w:rPr>
                <w:rFonts w:ascii="Times New Roman" w:hAnsi="Times New Roman" w:eastAsia="Times New Roman"/>
                <w:kern w:val="0"/>
                <w:sz w:val="20"/>
                <w:szCs w:val="20"/>
                <w:highlight w:val="none"/>
              </w:rPr>
            </w:pPr>
          </w:p>
        </w:tc>
      </w:tr>
    </w:tbl>
    <w:p w14:paraId="27BCBD35">
      <w:pPr>
        <w:ind w:firstLine="600" w:firstLineChars="200"/>
        <w:jc w:val="left"/>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14:paraId="57C35CF7">
      <w:pPr>
        <w:ind w:firstLine="600" w:firstLineChars="200"/>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2025年度，单位政府采购支出总额</w:t>
      </w:r>
      <w:r>
        <w:rPr>
          <w:rFonts w:hint="eastAsia" w:ascii="仿宋_GB2312" w:hAnsi="仿宋_GB2312" w:eastAsia="仿宋_GB2312" w:cs="仿宋_GB2312"/>
          <w:color w:val="auto"/>
          <w:sz w:val="30"/>
          <w:lang w:val="zh-CN"/>
        </w:rPr>
        <w:t>3074829.00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sz w:val="30"/>
          <w:szCs w:val="30"/>
          <w:highlight w:val="none"/>
          <w:lang w:val="zh-CN" w:eastAsia="zh-CN"/>
        </w:rPr>
        <w:t>3031690.00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sz w:val="30"/>
          <w:szCs w:val="30"/>
          <w:highlight w:val="none"/>
          <w:lang w:val="zh-CN" w:eastAsia="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43139.00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9900.00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14:paraId="2ABE38E2">
      <w:pPr>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四、单位绩效自评情况</w:t>
      </w:r>
    </w:p>
    <w:p w14:paraId="67660870">
      <w:pPr>
        <w:widowControl/>
        <w:snapToGrid w:val="0"/>
        <w:spacing w:before="100" w:after="100" w:line="360" w:lineRule="auto"/>
        <w:ind w:firstLine="600"/>
        <w:jc w:val="left"/>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单位绩效自评情况详见附表。</w:t>
      </w:r>
    </w:p>
    <w:p w14:paraId="488E51FA">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14:paraId="1593D217">
      <w:pPr>
        <w:keepNext w:val="0"/>
        <w:keepLines w:val="0"/>
        <w:pageBreakBefore w:val="0"/>
        <w:widowControl w:val="0"/>
        <w:kinsoku/>
        <w:overflowPunct/>
        <w:topLinePunct w:val="0"/>
        <w:autoSpaceDE/>
        <w:autoSpaceDN/>
        <w:bidi w:val="0"/>
        <w:adjustRightInd/>
        <w:snapToGrid w:val="0"/>
        <w:spacing w:after="0" w:line="576" w:lineRule="exact"/>
        <w:ind w:firstLine="600"/>
        <w:jc w:val="left"/>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我单位无其他需要说明的重要事项。</w:t>
      </w:r>
    </w:p>
    <w:p w14:paraId="2258E5F8">
      <w:pPr>
        <w:widowControl/>
        <w:snapToGrid w:val="0"/>
        <w:spacing w:before="100" w:after="100" w:line="360" w:lineRule="auto"/>
        <w:ind w:firstLine="600" w:firstLineChars="200"/>
        <w:jc w:val="left"/>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14:paraId="51B22893">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14:paraId="1AFB76B9">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14:paraId="07E76D7D">
      <w:pPr>
        <w:ind w:firstLine="600" w:firstLineChars="200"/>
        <w:jc w:val="left"/>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、公务用车购置及运行维护费、公务接待费。其中：因公出国（境）费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14:paraId="75EC97CD">
      <w:pPr>
        <w:ind w:firstLine="600" w:firstLineChars="200"/>
        <w:jc w:val="left"/>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w:t>
      </w:r>
      <w:r>
        <w:rPr>
          <w:rFonts w:hint="eastAsia" w:ascii="仿宋_GB2312" w:hAnsi="黑体" w:eastAsia="仿宋_GB2312" w:cs="方正小标宋简体"/>
          <w:sz w:val="30"/>
          <w:szCs w:val="30"/>
          <w:highlight w:val="none"/>
          <w:lang w:eastAsia="zh-CN"/>
        </w:rPr>
        <w:t>或单位</w:t>
      </w:r>
      <w:r>
        <w:rPr>
          <w:rFonts w:hint="eastAsia" w:ascii="仿宋_GB2312" w:hAnsi="黑体" w:eastAsia="仿宋_GB2312" w:cs="方正小标宋简体"/>
          <w:sz w:val="30"/>
          <w:szCs w:val="30"/>
          <w:highlight w:val="none"/>
        </w:rPr>
        <w:t>当年通过本级财政拨款和以前年度财政拨款结转结余资金安排的因公出国（境）费</w:t>
      </w:r>
      <w:r>
        <w:rPr>
          <w:rFonts w:hint="eastAsia" w:ascii="仿宋_GB2312" w:hAnsi="黑体" w:eastAsia="仿宋_GB2312" w:cs="方正小标宋简体"/>
          <w:sz w:val="30"/>
          <w:szCs w:val="30"/>
          <w:highlight w:val="none"/>
          <w:lang w:val="en-US" w:eastAsia="zh-CN"/>
        </w:rPr>
        <w:t>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14:paraId="59DFE517">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14:paraId="562D1FAC">
      <w:pPr>
        <w:ind w:firstLine="600" w:firstLineChars="200"/>
        <w:jc w:val="left"/>
        <w:rPr>
          <w:highlight w:val="none"/>
        </w:rPr>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F24B7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088E4F84">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aGmCS9MAAAAFAQAADwAAAAAAAAABACAAAAAiAAAAZHJzL2Rvd25y&#10;ZXYueG1sUEsBAhQAFAAAAAgAh07iQFq6k8jKAQAAlwMAAA4AAAAAAAAAAQAgAAAAIgEAAGRycy9l&#10;Mm9Eb2MueG1sUEsFBgAAAAAGAAYAWQEAAF4FAAAAAA==&#10;">
              <v:fill on="f" focussize="0,0"/>
              <v:stroke on="f" weight="1.25pt"/>
              <v:imagedata o:title=""/>
              <o:lock v:ext="edit" aspectratio="f"/>
              <v:textbox inset="0mm,0mm,0mm,0mm" style="mso-fit-shape-to-text:t;">
                <w:txbxContent>
                  <w:p w14:paraId="088E4F84">
                    <w:pPr>
                      <w:pStyle w:val="3"/>
                      <w:rPr>
                        <w:rStyle w:val="8"/>
                      </w:rPr>
                    </w:pPr>
                    <w:r>
                      <w:rPr>
                        <w:rStyle w:val="8"/>
                        <w:sz w:val="28"/>
                        <w:szCs w:val="28"/>
                      </w:rPr>
                      <w:fldChar w:fldCharType="begin"/>
                    </w:r>
                    <w:r>
                      <w:rPr>
                        <w:rStyle w:val="8"/>
                        <w:sz w:val="28"/>
                        <w:szCs w:val="28"/>
                      </w:rPr>
                      <w:instrText xml:space="preserve">PAGE  </w:instrText>
                    </w:r>
                    <w:r>
                      <w:rPr>
                        <w:sz w:val="28"/>
                        <w:szCs w:val="28"/>
                      </w:rPr>
                      <w:fldChar w:fldCharType="separate"/>
                    </w:r>
                    <w:r>
                      <w:rPr>
                        <w:rStyle w:val="8"/>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17D38">
    <w:pPr>
      <w:pStyle w:val="3"/>
      <w:framePr w:wrap="around" w:vAnchor="text" w:hAnchor="margin" w:xAlign="center" w:y="1"/>
      <w:rPr>
        <w:rStyle w:val="8"/>
      </w:rPr>
    </w:pPr>
    <w:r>
      <w:rPr>
        <w:rStyle w:val="8"/>
      </w:rPr>
      <w:fldChar w:fldCharType="begin"/>
    </w:r>
    <w:r>
      <w:rPr>
        <w:rStyle w:val="8"/>
      </w:rPr>
      <w:instrText xml:space="preserve">PAGE  </w:instrText>
    </w:r>
    <w:r>
      <w:fldChar w:fldCharType="separate"/>
    </w:r>
    <w:r>
      <w:fldChar w:fldCharType="end"/>
    </w:r>
  </w:p>
  <w:p w14:paraId="316E4E72">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CA538">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singleLevel"/>
    <w:tmpl w:val="0053208E"/>
    <w:lvl w:ilvl="0" w:tentative="0">
      <w:start w:val="4"/>
      <w:numFmt w:val="chineseCounting"/>
      <w:suff w:val="nothing"/>
      <w:lvlText w:val="%1、"/>
      <w:lvlJc w:val="left"/>
      <w:rPr>
        <w:rFonts w:hint="eastAsia"/>
      </w:rPr>
    </w:lvl>
  </w:abstractNum>
  <w:abstractNum w:abstractNumId="1">
    <w:nsid w:val="5FAF1FD3"/>
    <w:multiLevelType w:val="singleLevel"/>
    <w:tmpl w:val="5FAF1FD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1A6E39"/>
    <w:rsid w:val="06E471AF"/>
    <w:rsid w:val="0B1D6BEE"/>
    <w:rsid w:val="0B494416"/>
    <w:rsid w:val="0ED941F9"/>
    <w:rsid w:val="109F4D8D"/>
    <w:rsid w:val="15903CC0"/>
    <w:rsid w:val="1DA93B7A"/>
    <w:rsid w:val="1E0D4708"/>
    <w:rsid w:val="27A27EAB"/>
    <w:rsid w:val="27E014F2"/>
    <w:rsid w:val="2AFD0BD7"/>
    <w:rsid w:val="32902268"/>
    <w:rsid w:val="3406288E"/>
    <w:rsid w:val="3A4552F6"/>
    <w:rsid w:val="3CBA010B"/>
    <w:rsid w:val="425671EF"/>
    <w:rsid w:val="42764AD5"/>
    <w:rsid w:val="498F1B59"/>
    <w:rsid w:val="49DD4852"/>
    <w:rsid w:val="4E0631B0"/>
    <w:rsid w:val="50A40622"/>
    <w:rsid w:val="51BB61A6"/>
    <w:rsid w:val="57404EC4"/>
    <w:rsid w:val="60D62CAD"/>
    <w:rsid w:val="6134408D"/>
    <w:rsid w:val="670D469D"/>
    <w:rsid w:val="69C2222A"/>
    <w:rsid w:val="6CF138B2"/>
    <w:rsid w:val="79010FFE"/>
    <w:rsid w:val="796C0E43"/>
    <w:rsid w:val="79AB7D57"/>
    <w:rsid w:val="7A811B9F"/>
    <w:rsid w:val="7C297A9E"/>
    <w:rsid w:val="7DA612CB"/>
    <w:rsid w:val="7F194149"/>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D45296F7F2444F3C8CDB43DA2E9FADD3</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8fa0522-aad8-4386-82c6-bbba4177b550}">
  <ds:schemaRefs/>
</ds:datastoreItem>
</file>

<file path=docProps/app.xml><?xml version="1.0" encoding="utf-8"?>
<Properties xmlns="http://schemas.openxmlformats.org/officeDocument/2006/extended-properties" xmlns:vt="http://schemas.openxmlformats.org/officeDocument/2006/docPropsVTypes">
  <Template>Normal.dotm</Template>
  <Company>云南省财政厅</Company>
  <Pages>14</Pages>
  <Words>1151</Words>
  <Characters>1180</Characters>
  <Lines>0</Lines>
  <Paragraphs>0</Paragraphs>
  <TotalTime>1</TotalTime>
  <ScaleCrop>false</ScaleCrop>
  <LinksUpToDate>false</LinksUpToDate>
  <CharactersWithSpaces>1194</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2024-06-03T01:34:00Z</dcterms:created>
  <dc:creator>李瑞婷_x0028_拟稿_x0029_</dc:creator>
  <cp:lastModifiedBy>Administrator</cp:lastModifiedBy>
  <cp:lastPrinted>2024-07-30T06:24:00Z</cp:lastPrinted>
  <dcterms:modified xsi:type="dcterms:W3CDTF">2026-10-27T02:41:29Z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D45296F7F2444F3C8CDB43DA2E9FADD3</vt:lpwstr>
  </property>
  <property fmtid="{D5CDD505-2E9C-101B-9397-08002B2CF9AE}" pid="4" name="KSOTemplateDocerSaveRecord">
    <vt:lpwstr>eyJoZGlkIjoiYmU2ZTIyNGEzNWY2YTBmY2ZmNWNlYTE4ZTQ3M2ZkNjEifQ==</vt:lpwstr>
  </property>
</Properties>
</file>