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90128">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富民县散旦中心小学</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45AA78F2">
      <w:pPr>
        <w:jc w:val="center"/>
        <w:rPr>
          <w:rFonts w:hint="eastAsia" w:ascii="方正小标宋简体" w:hAnsi="方正小标宋简体" w:eastAsia="方正小标宋简体" w:cs="方正小标宋简体"/>
          <w:sz w:val="36"/>
          <w:szCs w:val="36"/>
          <w:highlight w:val="none"/>
        </w:rPr>
      </w:pPr>
    </w:p>
    <w:p w14:paraId="69573B4D">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21D7728B">
      <w:pPr>
        <w:jc w:val="left"/>
        <w:rPr>
          <w:rFonts w:hint="eastAsia" w:ascii="黑体" w:hAnsi="黑体" w:eastAsia="黑体"/>
          <w:sz w:val="30"/>
          <w:szCs w:val="30"/>
          <w:highlight w:val="none"/>
        </w:rPr>
      </w:pPr>
    </w:p>
    <w:p w14:paraId="0BF4F8F4">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2A8BF5B8">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3CB76512">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7B800E9E">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7548D5CF">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59D88FA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1D424A4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20FB89F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4BC1DF5D">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0E4D1C1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536AEA9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7B2B964C">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52F7E00B">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667208A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1A65636F">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24610064">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14:paraId="387E9ED3">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十二、国有资产使用情况表</w:t>
      </w:r>
    </w:p>
    <w:p w14:paraId="490F1D1E">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十三、部门整体支出绩效自评情况</w:t>
      </w:r>
    </w:p>
    <w:p w14:paraId="437E19AA">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十四、部门整体支出绩效自评表</w:t>
      </w:r>
    </w:p>
    <w:p w14:paraId="40E8A7C7">
      <w:pPr>
        <w:jc w:val="left"/>
        <w:outlineLvl w:val="1"/>
        <w:rPr>
          <w:rFonts w:hint="eastAsia" w:ascii="黑体" w:hAnsi="黑体" w:eastAsia="黑体"/>
          <w:sz w:val="30"/>
          <w:szCs w:val="30"/>
          <w:highlight w:val="none"/>
        </w:rPr>
      </w:pPr>
      <w:r>
        <w:rPr>
          <w:rFonts w:hint="eastAsia" w:ascii="楷体" w:hAnsi="楷体" w:eastAsia="楷体"/>
          <w:sz w:val="30"/>
          <w:szCs w:val="30"/>
          <w:highlight w:val="none"/>
          <w:lang w:val="en-US" w:eastAsia="zh-CN"/>
        </w:rPr>
        <w:t>十五、项目支出绩效自评表</w:t>
      </w:r>
    </w:p>
    <w:p w14:paraId="44E9454F">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1844C9EA">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602C799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462C5006">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43393BB9">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5E6C6284">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4F77E738">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1C1619D9">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39969213">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3C55A930">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4B9021FD">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7582F8A3">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33DEFFD2">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5D33BEAA">
      <w:pPr>
        <w:jc w:val="center"/>
        <w:rPr>
          <w:rFonts w:hint="eastAsia" w:ascii="黑体" w:hAnsi="黑体" w:eastAsia="黑体"/>
          <w:sz w:val="32"/>
          <w:szCs w:val="32"/>
          <w:highlight w:val="none"/>
        </w:rPr>
      </w:pPr>
    </w:p>
    <w:p w14:paraId="1576CE18">
      <w:pPr>
        <w:jc w:val="center"/>
        <w:rPr>
          <w:rFonts w:hint="eastAsia" w:ascii="黑体" w:hAnsi="黑体" w:eastAsia="黑体"/>
          <w:sz w:val="32"/>
          <w:szCs w:val="32"/>
          <w:highlight w:val="none"/>
        </w:rPr>
      </w:pPr>
    </w:p>
    <w:p w14:paraId="215256B0">
      <w:pPr>
        <w:jc w:val="center"/>
        <w:rPr>
          <w:rFonts w:hint="eastAsia" w:ascii="黑体" w:hAnsi="黑体" w:eastAsia="黑体"/>
          <w:sz w:val="32"/>
          <w:szCs w:val="32"/>
          <w:highlight w:val="none"/>
        </w:rPr>
      </w:pPr>
    </w:p>
    <w:p w14:paraId="1A277E6B">
      <w:pPr>
        <w:jc w:val="center"/>
        <w:rPr>
          <w:rFonts w:hint="eastAsia" w:ascii="黑体" w:hAnsi="黑体" w:eastAsia="黑体"/>
          <w:sz w:val="32"/>
          <w:szCs w:val="32"/>
          <w:highlight w:val="none"/>
        </w:rPr>
      </w:pPr>
    </w:p>
    <w:p w14:paraId="5163200D">
      <w:pPr>
        <w:jc w:val="center"/>
        <w:rPr>
          <w:rFonts w:hint="eastAsia" w:ascii="黑体" w:hAnsi="黑体" w:eastAsia="黑体"/>
          <w:sz w:val="32"/>
          <w:szCs w:val="32"/>
          <w:highlight w:val="none"/>
        </w:rPr>
      </w:pPr>
    </w:p>
    <w:p w14:paraId="277CCEE9">
      <w:pPr>
        <w:jc w:val="center"/>
        <w:rPr>
          <w:rFonts w:hint="eastAsia" w:ascii="黑体" w:hAnsi="黑体" w:eastAsia="黑体"/>
          <w:sz w:val="32"/>
          <w:szCs w:val="32"/>
          <w:highlight w:val="none"/>
        </w:rPr>
      </w:pPr>
    </w:p>
    <w:p w14:paraId="4B228C71">
      <w:pPr>
        <w:jc w:val="center"/>
        <w:rPr>
          <w:rFonts w:hint="eastAsia" w:ascii="黑体" w:hAnsi="黑体" w:eastAsia="黑体"/>
          <w:sz w:val="32"/>
          <w:szCs w:val="32"/>
          <w:highlight w:val="none"/>
        </w:rPr>
      </w:pPr>
    </w:p>
    <w:p w14:paraId="436176AB">
      <w:pPr>
        <w:jc w:val="both"/>
        <w:rPr>
          <w:rFonts w:hint="eastAsia" w:ascii="黑体" w:hAnsi="黑体" w:eastAsia="黑体"/>
          <w:sz w:val="32"/>
          <w:szCs w:val="32"/>
          <w:highlight w:val="none"/>
        </w:rPr>
      </w:pPr>
    </w:p>
    <w:p w14:paraId="452FC125">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7EC4BA57">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64F87C0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600"/>
        <w:jc w:val="both"/>
        <w:rPr>
          <w:rFonts w:hint="eastAsia" w:ascii="仿宋_GB2312" w:hAnsi="Times New Roman" w:eastAsia="仿宋_GB2312" w:cs="Times New Roman"/>
          <w:kern w:val="2"/>
          <w:sz w:val="30"/>
          <w:szCs w:val="30"/>
          <w:highlight w:val="none"/>
          <w:lang w:val="en-US" w:eastAsia="zh-CN" w:bidi="ar-SA"/>
        </w:rPr>
      </w:pPr>
      <w:r>
        <w:rPr>
          <w:rFonts w:hint="eastAsia" w:ascii="仿宋_GB2312" w:hAnsi="Times New Roman" w:eastAsia="仿宋_GB2312" w:cs="Times New Roman"/>
          <w:kern w:val="2"/>
          <w:sz w:val="30"/>
          <w:szCs w:val="30"/>
          <w:highlight w:val="none"/>
          <w:lang w:val="en-US" w:eastAsia="zh-CN" w:bidi="ar-SA"/>
        </w:rPr>
        <w:t>实施小学义务教育、促进基础教育发展、开办具有小学资格教育教学；按照国家法律法规及政策开展教学活动，遵守国家教育部门和相关教育法律法规及政策，按照省市县教育的规定，认真开展义务教育及相关活动。认真组织和开展基础教育，办人民满意的教育。</w:t>
      </w:r>
    </w:p>
    <w:p w14:paraId="38CC37F9">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14:paraId="0AABC062">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4036E297">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富民县散旦中心小学共设置7个内设机构，包括：教师发展中心、学生成长中心、行政管理中心、后勤服务中心、财务中心、餐厅、数据中心。</w:t>
      </w:r>
    </w:p>
    <w:p w14:paraId="774CDCBE">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kern w:val="0"/>
          <w:sz w:val="30"/>
          <w:szCs w:val="30"/>
          <w:highlight w:val="none"/>
          <w:lang w:eastAsia="zh-CN"/>
        </w:rPr>
        <w:t>富民县散旦中心小学</w:t>
      </w:r>
      <w:r>
        <w:rPr>
          <w:rFonts w:hint="eastAsia" w:ascii="仿宋_GB2312" w:hAnsi="宋体" w:eastAsia="仿宋_GB2312" w:cs="Arial"/>
          <w:kern w:val="0"/>
          <w:sz w:val="30"/>
          <w:szCs w:val="30"/>
          <w:highlight w:val="none"/>
          <w:lang w:val="en-US" w:eastAsia="zh-CN"/>
        </w:rPr>
        <w:t>为基层预算单位，无下属单位。</w:t>
      </w:r>
    </w:p>
    <w:p w14:paraId="7D77EB82">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5409D511">
      <w:pPr>
        <w:spacing w:line="600" w:lineRule="exact"/>
        <w:ind w:firstLine="600" w:firstLineChars="200"/>
        <w:rPr>
          <w:rFonts w:hint="eastAsia" w:ascii="仿宋_GB2312" w:eastAsia="仿宋_GB2312"/>
          <w:sz w:val="30"/>
          <w:szCs w:val="30"/>
          <w:highlight w:val="none"/>
        </w:rPr>
      </w:pPr>
      <w:r>
        <w:rPr>
          <w:rFonts w:hint="eastAsia" w:ascii="仿宋_GB2312" w:hAnsi="宋体" w:eastAsia="仿宋_GB2312" w:cs="Arial"/>
          <w:kern w:val="0"/>
          <w:sz w:val="30"/>
          <w:szCs w:val="30"/>
          <w:highlight w:val="none"/>
          <w:lang w:val="en-US" w:eastAsia="zh-CN"/>
        </w:rPr>
        <w:t>我单位</w:t>
      </w:r>
      <w:r>
        <w:rPr>
          <w:rFonts w:hint="eastAsia" w:ascii="仿宋_GB2312" w:hAnsi="宋体" w:eastAsia="仿宋_GB2312" w:cs="Arial"/>
          <w:kern w:val="0"/>
          <w:sz w:val="30"/>
          <w:szCs w:val="30"/>
          <w:highlight w:val="none"/>
          <w:lang w:val="en-US"/>
        </w:rPr>
        <w:t>作为</w:t>
      </w:r>
      <w:r>
        <w:rPr>
          <w:rFonts w:hint="eastAsia" w:ascii="仿宋_GB2312" w:hAnsi="宋体" w:eastAsia="仿宋_GB2312" w:cs="Arial"/>
          <w:kern w:val="0"/>
          <w:sz w:val="30"/>
          <w:szCs w:val="30"/>
          <w:highlight w:val="none"/>
          <w:lang w:val="en-US" w:eastAsia="zh-CN"/>
        </w:rPr>
        <w:t>富民县教育体育局的</w:t>
      </w:r>
      <w:r>
        <w:rPr>
          <w:rFonts w:hint="eastAsia" w:ascii="仿宋_GB2312" w:hAnsi="宋体" w:eastAsia="仿宋_GB2312" w:cs="Arial"/>
          <w:kern w:val="0"/>
          <w:sz w:val="30"/>
          <w:szCs w:val="30"/>
          <w:highlight w:val="none"/>
          <w:lang w:val="en-US"/>
        </w:rPr>
        <w:t>二级预算单位纳入</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378707FA">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1EEDE92F">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39</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39</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4AE08673">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1B8899AF">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48</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48</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396</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13</w:t>
      </w:r>
      <w:r>
        <w:rPr>
          <w:rFonts w:hint="eastAsia" w:ascii="仿宋_GB2312" w:hAnsi="宋体" w:eastAsia="仿宋_GB2312" w:cs="Arial"/>
          <w:kern w:val="0"/>
          <w:sz w:val="30"/>
          <w:szCs w:val="30"/>
          <w:highlight w:val="none"/>
          <w:lang w:val="en-US" w:eastAsia="zh-CN"/>
        </w:rPr>
        <w:t>人。</w:t>
      </w:r>
    </w:p>
    <w:p w14:paraId="0591FE9C">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车辆编制0辆，在编实有车辆0辆，超编0辆。</w:t>
      </w:r>
    </w:p>
    <w:p w14:paraId="51A0E686">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14:paraId="64D324DE">
      <w:pPr>
        <w:spacing w:line="600" w:lineRule="exact"/>
        <w:ind w:firstLine="600" w:firstLineChars="200"/>
        <w:jc w:val="left"/>
        <w:rPr>
          <w:rFonts w:hint="eastAsia" w:ascii="仿宋_GB2312" w:hAnsi="宋体" w:eastAsia="仿宋_GB2312" w:cs="Arial"/>
          <w:kern w:val="0"/>
          <w:sz w:val="30"/>
          <w:szCs w:val="30"/>
          <w:highlight w:val="none"/>
        </w:rPr>
      </w:pPr>
    </w:p>
    <w:p w14:paraId="4805C6A9">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0B98FBF2">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0DD3C9C8">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除涉密信息外，《收入决算表》、《支出决算表》、《一般公共预算财政拨款支出决算表》、《政府性基金预算财政拨款收入支出决算表》和《国有资本经营预算财政拨款支出决算表》、应当细化公开到功能分类项级科目，《一般公共预算财政拨款基本支出决算明细表》应当细化公开到经济分类款级科目。没有数据的表格要零报告，即要求公开的表格为空表，要在该部分文档和公开附表中对应的空表备注说明原因并注明为空表。</w:t>
      </w:r>
      <w:r>
        <w:rPr>
          <w:rFonts w:hint="eastAsia" w:ascii="仿宋_GB2312" w:eastAsia="仿宋_GB2312"/>
          <w:b/>
          <w:bCs/>
          <w:sz w:val="30"/>
          <w:szCs w:val="30"/>
          <w:highlight w:val="none"/>
          <w:lang w:eastAsia="zh-CN"/>
        </w:rPr>
        <w:t>例如</w:t>
      </w:r>
      <w:r>
        <w:rPr>
          <w:rFonts w:hint="eastAsia" w:ascii="仿宋_GB2312" w:eastAsia="仿宋_GB2312"/>
          <w:sz w:val="30"/>
          <w:szCs w:val="30"/>
          <w:highlight w:val="none"/>
          <w:lang w:eastAsia="zh-CN"/>
        </w:rPr>
        <w:t>：本单位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lang w:eastAsia="zh-CN"/>
        </w:rPr>
        <w:t>年度无国有资本经营预算财政拨款收入，《国有资本经营预算财政拨款收入支出决算表》为空表。</w:t>
      </w:r>
    </w:p>
    <w:p w14:paraId="408D100D">
      <w:pPr>
        <w:spacing w:line="600" w:lineRule="exact"/>
        <w:ind w:firstLine="600" w:firstLineChars="200"/>
        <w:jc w:val="left"/>
        <w:rPr>
          <w:rFonts w:hint="eastAsia" w:ascii="仿宋_GB2312" w:eastAsia="仿宋_GB2312"/>
          <w:sz w:val="30"/>
          <w:szCs w:val="30"/>
          <w:highlight w:val="none"/>
          <w:lang w:eastAsia="zh-CN"/>
        </w:rPr>
      </w:pPr>
    </w:p>
    <w:p w14:paraId="5818C0DD">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2EA62177">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18CB9715">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富民县散旦中心小学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9379716.35</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8787134.77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93.68</w:t>
      </w:r>
      <w:r>
        <w:rPr>
          <w:rFonts w:hint="eastAsia" w:ascii="仿宋_GB2312" w:eastAsia="仿宋_GB2312"/>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592581.58</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6.32</w:t>
      </w:r>
      <w:r>
        <w:rPr>
          <w:rFonts w:hint="eastAsia" w:ascii="仿宋_GB2312" w:eastAsia="仿宋_GB2312"/>
          <w:sz w:val="30"/>
          <w:szCs w:val="30"/>
          <w:highlight w:val="none"/>
        </w:rPr>
        <w:t>%。</w:t>
      </w:r>
    </w:p>
    <w:p w14:paraId="6D9C0C5C">
      <w:pPr>
        <w:widowControl/>
        <w:snapToGrid w:val="0"/>
        <w:spacing w:before="100" w:after="100" w:line="600" w:lineRule="exact"/>
        <w:ind w:firstLine="538"/>
        <w:jc w:val="left"/>
        <w:rPr>
          <w:rFonts w:hint="eastAsia" w:ascii="仿宋_GB2312" w:hAnsi="宋体" w:eastAsia="仿宋_GB2312" w:cs="Arial"/>
          <w:color w:val="000000" w:themeColor="text1"/>
          <w:kern w:val="0"/>
          <w:sz w:val="30"/>
          <w:szCs w:val="30"/>
          <w:highlight w:val="none"/>
          <w14:textFill>
            <w14:solidFill>
              <w14:schemeClr w14:val="tx1"/>
            </w14:solidFill>
          </w14:textFill>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5886517.22</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38.56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4864114.94</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35.63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；事业收入增加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；附属单位上缴收入增加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；其他收入</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1022402.28</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63.</w:t>
      </w:r>
      <w:r>
        <w:rPr>
          <w:rFonts w:hint="eastAsia" w:ascii="仿宋_GB2312" w:hAnsi="仿宋_GB2312" w:eastAsia="仿宋_GB2312" w:cs="仿宋_GB2312"/>
          <w:color w:val="000000" w:themeColor="text1"/>
          <w:sz w:val="30"/>
          <w:lang w:val="zh-CN"/>
          <w14:textFill>
            <w14:solidFill>
              <w14:schemeClr w14:val="tx1"/>
            </w14:solidFill>
          </w14:textFill>
        </w:rPr>
        <w:t>31</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主要原因</w:t>
      </w:r>
      <w:r>
        <w:rPr>
          <w:rFonts w:hint="eastAsia" w:ascii="仿宋_GB2312" w:eastAsia="仿宋_GB2312"/>
          <w:color w:val="000000" w:themeColor="text1"/>
          <w:sz w:val="30"/>
          <w:szCs w:val="30"/>
          <w:highlight w:val="none"/>
          <w:lang w:eastAsia="zh-CN"/>
          <w14:textFill>
            <w14:solidFill>
              <w14:schemeClr w14:val="tx1"/>
            </w14:solidFill>
          </w14:textFill>
        </w:rPr>
        <w:t>是</w:t>
      </w:r>
      <w:r>
        <w:rPr>
          <w:rFonts w:hint="eastAsia" w:ascii="仿宋_GB2312" w:eastAsia="仿宋_GB2312"/>
          <w:color w:val="000000" w:themeColor="text1"/>
          <w:sz w:val="30"/>
          <w:szCs w:val="30"/>
          <w:highlight w:val="none"/>
          <w:lang w:val="en-US" w:eastAsia="zh-CN"/>
          <w14:textFill>
            <w14:solidFill>
              <w14:schemeClr w14:val="tx1"/>
            </w14:solidFill>
          </w14:textFill>
        </w:rPr>
        <w:t>教职工人数减少，学生人数减少</w:t>
      </w:r>
      <w:r>
        <w:rPr>
          <w:rFonts w:hint="eastAsia" w:ascii="仿宋_GB2312" w:eastAsia="仿宋_GB2312"/>
          <w:color w:val="000000" w:themeColor="text1"/>
          <w:sz w:val="30"/>
          <w:szCs w:val="30"/>
          <w:highlight w:val="none"/>
          <w14:textFill>
            <w14:solidFill>
              <w14:schemeClr w14:val="tx1"/>
            </w14:solidFill>
          </w14:textFill>
        </w:rPr>
        <w:t>。</w:t>
      </w:r>
    </w:p>
    <w:p w14:paraId="20A7C5EA">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362870DD">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富民县散旦中心小学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9334065.43</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7918183.14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84.83</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1415882.29</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15.17</w:t>
      </w:r>
      <w:r>
        <w:rPr>
          <w:rFonts w:hint="eastAsia" w:ascii="仿宋_GB2312" w:hAnsi="宋体" w:eastAsia="仿宋_GB2312" w:cs="Arial"/>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kern w:val="0"/>
          <w:sz w:val="30"/>
          <w:szCs w:val="30"/>
          <w:highlight w:val="none"/>
        </w:rPr>
        <w:t>％。</w:t>
      </w:r>
    </w:p>
    <w:p w14:paraId="7FA78197">
      <w:pPr>
        <w:spacing w:line="600" w:lineRule="exact"/>
        <w:ind w:firstLine="600" w:firstLineChars="200"/>
        <w:rPr>
          <w:rFonts w:hint="eastAsia" w:ascii="仿宋_GB2312" w:eastAsia="仿宋_GB2312"/>
          <w:color w:val="FF0000"/>
          <w:sz w:val="30"/>
          <w:szCs w:val="30"/>
          <w:highlight w:val="none"/>
          <w:lang w:eastAsia="zh-CN"/>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6099085.68</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39.52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112197.45</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1.44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w:t>
      </w:r>
      <w:r>
        <w:rPr>
          <w:rFonts w:hint="eastAsia" w:ascii="仿宋_GB2312" w:eastAsia="仿宋_GB2312"/>
          <w:sz w:val="30"/>
          <w:szCs w:val="30"/>
          <w:highlight w:val="none"/>
          <w:lang w:val="en-US" w:eastAsia="zh-CN"/>
        </w:rPr>
        <w:t>减少</w:t>
      </w:r>
      <w:r>
        <w:rPr>
          <w:rFonts w:hint="eastAsia" w:ascii="仿宋_GB2312" w:hAnsi="仿宋_GB2312" w:eastAsia="仿宋_GB2312" w:cs="仿宋_GB2312"/>
          <w:color w:val="auto"/>
          <w:sz w:val="30"/>
          <w:lang w:val="zh-CN"/>
        </w:rPr>
        <w:t>6211283.13</w:t>
      </w:r>
      <w:r>
        <w:rPr>
          <w:rFonts w:hint="eastAsia" w:ascii="仿宋_GB2312" w:eastAsia="仿宋_GB2312"/>
          <w:sz w:val="30"/>
          <w:szCs w:val="30"/>
          <w:highlight w:val="none"/>
          <w:lang w:eastAsia="zh-CN"/>
        </w:rPr>
        <w:t>元，</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81.44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；上缴上级支出增加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；经营支出增加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；对附属单位补助支出增加</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color w:val="000000" w:themeColor="text1"/>
          <w:sz w:val="30"/>
          <w:szCs w:val="30"/>
          <w:highlight w:val="none"/>
          <w:lang w:val="en-US" w:eastAsia="zh-CN"/>
          <w14:textFill>
            <w14:solidFill>
              <w14:schemeClr w14:val="tx1"/>
            </w14:solidFill>
          </w14:textFill>
        </w:rPr>
        <w:t>人员变动，工资档次变动，支出增加。</w:t>
      </w:r>
    </w:p>
    <w:p w14:paraId="3CF6E279">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0B95176F">
      <w:pPr>
        <w:widowControl/>
        <w:snapToGrid w:val="0"/>
        <w:spacing w:before="100" w:after="100" w:line="600" w:lineRule="exact"/>
        <w:ind w:firstLine="538"/>
        <w:jc w:val="left"/>
        <w:rPr>
          <w:rFonts w:hint="default" w:ascii="仿宋_GB2312" w:hAnsi="仿宋_GB2312" w:eastAsia="仿宋_GB2312" w:cs="仿宋_GB2312"/>
          <w:color w:val="000000" w:themeColor="text1"/>
          <w:sz w:val="30"/>
          <w:szCs w:val="30"/>
          <w:highlight w:val="none"/>
          <w:lang w:val="en-US" w:eastAsia="zh-CN"/>
          <w14:textFill>
            <w14:solidFill>
              <w14:schemeClr w14:val="tx1"/>
            </w14:solidFill>
          </w14:textFill>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富民县散旦中心小学</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7918183.14</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7787384.90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98.35</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130798.24</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1.65</w:t>
      </w:r>
      <w:r>
        <w:rPr>
          <w:rFonts w:hint="eastAsia" w:ascii="仿宋_GB2312" w:hAnsi="仿宋_GB2312" w:eastAsia="仿宋_GB2312" w:cs="仿宋_GB2312"/>
          <w:color w:val="000000" w:themeColor="text1"/>
          <w:sz w:val="30"/>
          <w:szCs w:val="30"/>
          <w:highlight w:val="none"/>
          <w14:textFill>
            <w14:solidFill>
              <w14:schemeClr w14:val="tx1"/>
            </w14:solidFill>
          </w14:textFill>
        </w:rPr>
        <w:t>％。</w:t>
      </w:r>
      <w:r>
        <w:rPr>
          <w:rFonts w:hint="eastAsia" w:ascii="仿宋_GB2312" w:hAnsi="仿宋_GB2312" w:eastAsia="仿宋_GB2312" w:cs="仿宋_GB2312"/>
          <w:color w:val="000000" w:themeColor="text1"/>
          <w:sz w:val="30"/>
          <w:szCs w:val="30"/>
          <w:highlight w:val="none"/>
          <w:lang w:val="en-US" w:eastAsia="zh-CN"/>
          <w14:textFill>
            <w14:solidFill>
              <w14:schemeClr w14:val="tx1"/>
            </w14:solidFill>
          </w14:textFill>
        </w:rPr>
        <w:t>人均203030.34元。</w:t>
      </w:r>
    </w:p>
    <w:p w14:paraId="1A6D9DB6">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7962CA83">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富民县散旦中心小学</w:t>
      </w:r>
      <w:r>
        <w:rPr>
          <w:rFonts w:hint="eastAsia" w:ascii="仿宋_GB2312" w:eastAsia="仿宋_GB2312"/>
          <w:sz w:val="30"/>
          <w:szCs w:val="30"/>
          <w:highlight w:val="none"/>
        </w:rPr>
        <w:t>为完成特定的行政工作任务或事业发展目标，用于专项业务工作的经费支</w:t>
      </w:r>
      <w:r>
        <w:rPr>
          <w:rFonts w:hint="eastAsia" w:ascii="仿宋_GB2312" w:eastAsia="仿宋_GB2312"/>
          <w:color w:val="000000" w:themeColor="text1"/>
          <w:sz w:val="30"/>
          <w:szCs w:val="30"/>
          <w:highlight w:val="none"/>
          <w14:textFill>
            <w14:solidFill>
              <w14:schemeClr w14:val="tx1"/>
            </w14:solidFill>
          </w14:textFill>
        </w:rPr>
        <w:t>出</w:t>
      </w:r>
      <w:r>
        <w:rPr>
          <w:rFonts w:hint="eastAsia" w:ascii="仿宋_GB2312" w:hAnsi="仿宋_GB2312" w:eastAsia="仿宋_GB2312" w:cs="仿宋_GB2312"/>
          <w:color w:val="000000" w:themeColor="text1"/>
          <w:sz w:val="30"/>
          <w:lang w:val="en-US" w:eastAsia="zh-CN"/>
          <w14:textFill>
            <w14:solidFill>
              <w14:schemeClr w14:val="tx1"/>
            </w14:solidFill>
          </w14:textFill>
        </w:rPr>
        <w:t>1415882.29</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06375DC4">
      <w:pPr>
        <w:widowControl/>
        <w:snapToGrid w:val="0"/>
        <w:spacing w:before="100" w:after="100" w:line="360" w:lineRule="auto"/>
        <w:ind w:firstLine="600" w:firstLineChars="200"/>
        <w:jc w:val="left"/>
        <w:rPr>
          <w:rFonts w:hint="default" w:ascii="仿宋_GB2312" w:hAnsi="宋体" w:eastAsia="仿宋_GB2312" w:cs="Arial"/>
          <w:color w:val="000000" w:themeColor="text1"/>
          <w:kern w:val="0"/>
          <w:sz w:val="30"/>
          <w:szCs w:val="30"/>
          <w:highlight w:val="none"/>
          <w:lang w:val="en-US" w:eastAsia="zh-CN"/>
          <w14:textFill>
            <w14:solidFill>
              <w14:schemeClr w14:val="tx1"/>
            </w14:solidFill>
          </w14:textFill>
        </w:rPr>
      </w:pP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（1）公用经费</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357318.81</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元，其中：办公费1</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7</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75</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.00元，</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水费31588</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.00</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元，电费</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70241.4</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元，邮电费</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2916.00</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元，会议费924</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.00元，</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维修（护）费204190.17元</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劳务费56630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.00元，</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委托业务费</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10795.00</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元，工会经费42000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.00元，其他商品和服务支出67057.48元</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w:t>
      </w:r>
    </w:p>
    <w:p w14:paraId="7B014931">
      <w:pPr>
        <w:widowControl/>
        <w:snapToGrid w:val="0"/>
        <w:spacing w:before="100" w:after="100" w:line="360" w:lineRule="auto"/>
        <w:ind w:firstLine="600" w:firstLineChars="200"/>
        <w:jc w:val="left"/>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pP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2</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）对个人和家庭的补助</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1028563.48</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元：其中：</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学前教育资助15000元，小学生</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生活补助</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516623.27</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助学金174062.50元、营养餐342560.77元），宗物资496940.21。</w:t>
      </w:r>
    </w:p>
    <w:p w14:paraId="6F1E886B">
      <w:pPr>
        <w:widowControl/>
        <w:snapToGrid w:val="0"/>
        <w:spacing w:before="100" w:after="100" w:line="360" w:lineRule="auto"/>
        <w:ind w:firstLine="600" w:firstLineChars="200"/>
        <w:jc w:val="left"/>
        <w:rPr>
          <w:rFonts w:hint="default" w:ascii="仿宋_GB2312" w:hAnsi="宋体" w:eastAsia="仿宋_GB2312" w:cs="Arial"/>
          <w:color w:val="000000" w:themeColor="text1"/>
          <w:kern w:val="0"/>
          <w:sz w:val="30"/>
          <w:szCs w:val="30"/>
          <w:highlight w:val="none"/>
          <w:lang w:val="en-US" w:eastAsia="zh-CN"/>
          <w14:textFill>
            <w14:solidFill>
              <w14:schemeClr w14:val="tx1"/>
            </w14:solidFill>
          </w14:textFill>
        </w:rPr>
      </w:pP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3</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彩票公益金</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支出</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30000.00</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元（</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乡村少年宫资金）</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w:t>
      </w:r>
    </w:p>
    <w:p w14:paraId="42437F9C">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3720FB1C">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760B8763">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富民县散旦中心小学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8806925.22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94.35</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减少</w:t>
      </w:r>
      <w:r>
        <w:rPr>
          <w:rFonts w:hint="eastAsia" w:ascii="仿宋_GB2312" w:hAnsi="仿宋_GB2312" w:eastAsia="仿宋_GB2312" w:cs="仿宋_GB2312"/>
          <w:color w:val="auto"/>
          <w:kern w:val="0"/>
          <w:sz w:val="30"/>
          <w:lang w:val="zh-CN"/>
        </w:rPr>
        <w:t>4732081.14</w:t>
      </w:r>
      <w:r>
        <w:rPr>
          <w:rFonts w:hint="eastAsia" w:ascii="仿宋_GB2312" w:hAnsi="宋体" w:eastAsia="仿宋_GB2312" w:cs="Arial"/>
          <w:kern w:val="0"/>
          <w:sz w:val="30"/>
          <w:szCs w:val="30"/>
          <w:highlight w:val="none"/>
        </w:rPr>
        <w:t>元，下降</w:t>
      </w:r>
      <w:r>
        <w:rPr>
          <w:rFonts w:hint="eastAsia" w:ascii="仿宋_GB2312" w:hAnsi="仿宋_GB2312" w:eastAsia="仿宋_GB2312" w:cs="仿宋_GB2312"/>
          <w:color w:val="auto"/>
          <w:kern w:val="0"/>
          <w:sz w:val="30"/>
          <w:lang w:val="zh-CN"/>
        </w:rPr>
        <w:t>34.95</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112.95</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38E14A8B">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3ACA4A7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551AD5A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0476BF4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60146AB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13458C8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6497344.85</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73.78</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115.73</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color w:val="auto"/>
          <w:kern w:val="0"/>
          <w:sz w:val="30"/>
          <w:szCs w:val="30"/>
          <w:highlight w:val="none"/>
          <w:lang w:val="zh-CN"/>
        </w:rPr>
        <w:t>工资福利支</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出</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6371725.61</w:t>
      </w:r>
      <w:r>
        <w:rPr>
          <w:rFonts w:hint="eastAsia" w:ascii="仿宋_GB2312" w:hAnsi="宋体" w:eastAsia="仿宋_GB2312" w:cs="Arial"/>
          <w:color w:val="000000" w:themeColor="text1"/>
          <w:kern w:val="0"/>
          <w:sz w:val="30"/>
          <w:szCs w:val="30"/>
          <w:highlight w:val="none"/>
          <w:lang w:val="zh-CN"/>
          <w14:textFill>
            <w14:solidFill>
              <w14:schemeClr w14:val="tx1"/>
            </w14:solidFill>
          </w14:textFill>
        </w:rPr>
        <w:t>元；商品服务支出125619.24元</w:t>
      </w:r>
      <w:r>
        <w:rPr>
          <w:rFonts w:hint="eastAsia" w:ascii="仿宋_GB2312" w:hAnsi="宋体" w:eastAsia="仿宋_GB2312" w:cs="Arial"/>
          <w:color w:val="auto"/>
          <w:kern w:val="0"/>
          <w:sz w:val="30"/>
          <w:szCs w:val="30"/>
          <w:highlight w:val="none"/>
          <w:lang w:val="zh-CN"/>
        </w:rPr>
        <w:t>，主要用于学校日常办公及正常运转的支出。</w:t>
      </w:r>
    </w:p>
    <w:p w14:paraId="5B80D0E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147E87F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460AAB74">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947196.72</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10.76</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112.36</w:t>
      </w:r>
      <w:r>
        <w:rPr>
          <w:rFonts w:hint="eastAsia" w:ascii="仿宋_GB2312" w:eastAsia="仿宋_GB2312"/>
          <w:sz w:val="30"/>
          <w:szCs w:val="30"/>
          <w:highlight w:val="none"/>
          <w:lang w:val="en-US" w:eastAsia="zh-CN"/>
        </w:rPr>
        <w:t>%，</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color w:val="auto"/>
          <w:kern w:val="0"/>
          <w:sz w:val="30"/>
          <w:szCs w:val="30"/>
          <w:highlight w:val="none"/>
          <w:lang w:val="zh-CN"/>
        </w:rPr>
        <w:t>本单位基本养老保险缴费、死亡抚恤支出等。</w:t>
      </w:r>
    </w:p>
    <w:p w14:paraId="10C29DE9">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809945.65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9.20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101.32</w:t>
      </w:r>
      <w:r>
        <w:rPr>
          <w:rFonts w:hint="eastAsia" w:ascii="仿宋_GB2312" w:eastAsia="仿宋_GB2312"/>
          <w:sz w:val="30"/>
          <w:szCs w:val="30"/>
          <w:highlight w:val="none"/>
          <w:lang w:val="en-US" w:eastAsia="zh-CN"/>
        </w:rPr>
        <w:t>%，</w:t>
      </w:r>
      <w:r>
        <w:rPr>
          <w:rFonts w:hint="eastAsia" w:ascii="仿宋_GB2312" w:hAnsi="宋体" w:eastAsia="仿宋_GB2312" w:cs="Arial"/>
          <w:color w:val="auto"/>
          <w:kern w:val="0"/>
          <w:sz w:val="30"/>
          <w:szCs w:val="30"/>
          <w:highlight w:val="none"/>
        </w:rPr>
        <w:t>主要用于本单位职工医疗保险公务员补助缴费支出</w:t>
      </w:r>
      <w:r>
        <w:rPr>
          <w:rFonts w:hint="eastAsia" w:ascii="仿宋_GB2312" w:hAnsi="宋体" w:eastAsia="仿宋_GB2312" w:cs="Arial"/>
          <w:color w:val="auto"/>
          <w:kern w:val="0"/>
          <w:sz w:val="30"/>
          <w:szCs w:val="30"/>
          <w:highlight w:val="none"/>
          <w:lang w:eastAsia="zh-CN"/>
        </w:rPr>
        <w:t>。</w:t>
      </w:r>
    </w:p>
    <w:p w14:paraId="2DA6E4D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4811C07D">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0A7D17C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0FFCEF89">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2A326C1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0FA3F64C">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7577C700">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5965878F">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3CFC461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779724BB">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552438.00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6.27</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102.22</w:t>
      </w:r>
      <w:r>
        <w:rPr>
          <w:rFonts w:hint="eastAsia" w:ascii="仿宋_GB2312" w:eastAsia="仿宋_GB2312"/>
          <w:sz w:val="30"/>
          <w:szCs w:val="30"/>
          <w:highlight w:val="none"/>
          <w:lang w:val="en-US" w:eastAsia="zh-CN"/>
        </w:rPr>
        <w:t>%，</w:t>
      </w:r>
      <w:r>
        <w:rPr>
          <w:rFonts w:hint="eastAsia" w:ascii="仿宋_GB2312" w:hAnsi="宋体" w:eastAsia="仿宋_GB2312" w:cs="Arial"/>
          <w:color w:val="000000" w:themeColor="text1"/>
          <w:kern w:val="0"/>
          <w:sz w:val="30"/>
          <w:szCs w:val="30"/>
          <w:highlight w:val="none"/>
          <w14:textFill>
            <w14:solidFill>
              <w14:schemeClr w14:val="tx1"/>
            </w14:solidFill>
          </w14:textFill>
        </w:rPr>
        <w:t>主要用于本单位职工住房公积金缴费支出</w:t>
      </w:r>
      <w:r>
        <w:rPr>
          <w:rFonts w:hint="eastAsia" w:ascii="仿宋_GB2312" w:hAnsi="宋体" w:eastAsia="仿宋_GB2312" w:cs="Arial"/>
          <w:kern w:val="0"/>
          <w:sz w:val="30"/>
          <w:szCs w:val="30"/>
          <w:highlight w:val="none"/>
          <w:lang w:eastAsia="zh-CN"/>
        </w:rPr>
        <w:t>。</w:t>
      </w:r>
    </w:p>
    <w:p w14:paraId="143C6EB5">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6AA2FE41">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0C3EA683">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6A5B8CC6">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3B03E20A">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3C142D2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545482D2">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kern w:val="0"/>
          <w:sz w:val="30"/>
          <w:szCs w:val="30"/>
          <w:highlight w:val="none"/>
          <w:lang w:eastAsia="zh-CN"/>
        </w:rPr>
        <w:t>。</w:t>
      </w:r>
    </w:p>
    <w:p w14:paraId="16524B22">
      <w:pPr>
        <w:widowControl/>
        <w:numPr>
          <w:ilvl w:val="0"/>
          <w:numId w:val="1"/>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74B05D9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14:paraId="15E6827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p>
    <w:p w14:paraId="34CEEDE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hAnsi="宋体" w:eastAsia="仿宋_GB2312" w:cs="Arial"/>
          <w:kern w:val="0"/>
          <w:sz w:val="30"/>
          <w:szCs w:val="30"/>
          <w:highlight w:val="none"/>
        </w:rPr>
        <w:t>因公出国（境）费支出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w:t>
      </w:r>
      <w:r>
        <w:rPr>
          <w:rFonts w:hint="eastAsia" w:ascii="仿宋_GB2312" w:eastAsia="仿宋_GB2312"/>
          <w:sz w:val="30"/>
          <w:szCs w:val="30"/>
          <w:highlight w:val="none"/>
        </w:rPr>
        <w:t>因公出国（境）费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公务用车购置费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公务用车</w:t>
      </w:r>
      <w:r>
        <w:rPr>
          <w:rFonts w:hint="eastAsia" w:ascii="仿宋_GB2312" w:eastAsia="仿宋_GB2312"/>
          <w:color w:val="000000" w:themeColor="text1"/>
          <w:sz w:val="30"/>
          <w:szCs w:val="30"/>
          <w:highlight w:val="none"/>
          <w:lang w:eastAsia="zh-CN"/>
          <w14:textFill>
            <w14:solidFill>
              <w14:schemeClr w14:val="tx1"/>
            </w14:solidFill>
          </w14:textFill>
        </w:rPr>
        <w:t>运行维护费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公务接待费</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支出决算较上年增加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元，增长</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；具体是国内接待费支出决算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元（其中：外事接待费支出决算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国（境）外接待费支出决算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元，较上年增加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201E695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p>
    <w:p w14:paraId="4863D770">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14:paraId="743E00E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p>
    <w:p w14:paraId="457B050D">
      <w:pPr>
        <w:widowControl/>
        <w:snapToGrid w:val="0"/>
        <w:spacing w:before="100" w:after="100" w:line="360" w:lineRule="auto"/>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年度一般公共预算财政拨款“三公”经费支出决算数</w:t>
      </w:r>
      <w:r>
        <w:rPr>
          <w:rFonts w:hint="eastAsia" w:ascii="仿宋_GB2312" w:eastAsia="仿宋_GB2312"/>
          <w:sz w:val="30"/>
          <w:szCs w:val="30"/>
          <w:highlight w:val="none"/>
          <w:lang w:val="en-US" w:eastAsia="zh-CN"/>
        </w:rPr>
        <w:t>没有</w:t>
      </w:r>
      <w:r>
        <w:rPr>
          <w:rFonts w:hint="eastAsia" w:ascii="仿宋_GB2312" w:eastAsia="仿宋_GB2312"/>
          <w:sz w:val="30"/>
          <w:szCs w:val="30"/>
          <w:highlight w:val="none"/>
        </w:rPr>
        <w:t>增加</w:t>
      </w:r>
      <w:r>
        <w:rPr>
          <w:rFonts w:hint="eastAsia" w:ascii="仿宋_GB2312" w:eastAsia="仿宋_GB2312"/>
          <w:sz w:val="30"/>
          <w:szCs w:val="30"/>
          <w:highlight w:val="none"/>
          <w:lang w:eastAsia="zh-CN"/>
        </w:rPr>
        <w:t>。</w:t>
      </w:r>
    </w:p>
    <w:p w14:paraId="78A86288">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000000" w:themeColor="text1"/>
          <w:sz w:val="30"/>
          <w:szCs w:val="30"/>
          <w:highlight w:val="none"/>
          <w:lang w:eastAsia="zh-CN"/>
          <w14:textFill>
            <w14:solidFill>
              <w14:schemeClr w14:val="tx1"/>
            </w14:solidFill>
          </w14:textFill>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因公出国（境）费支出决算增</w:t>
      </w:r>
      <w:r>
        <w:rPr>
          <w:rFonts w:hint="eastAsia" w:ascii="仿宋_GB2312" w:eastAsia="仿宋_GB2312"/>
          <w:color w:val="000000" w:themeColor="text1"/>
          <w:sz w:val="30"/>
          <w:szCs w:val="30"/>
          <w:highlight w:val="none"/>
          <w14:textFill>
            <w14:solidFill>
              <w14:schemeClr w14:val="tx1"/>
            </w14:solidFill>
          </w14:textFill>
        </w:rPr>
        <w:t>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eastAsia="仿宋_GB2312"/>
          <w:color w:val="000000" w:themeColor="text1"/>
          <w:sz w:val="30"/>
          <w:szCs w:val="30"/>
          <w:highlight w:val="none"/>
          <w14:textFill>
            <w14:solidFill>
              <w14:schemeClr w14:val="tx1"/>
            </w14:solidFill>
          </w14:textFill>
        </w:rPr>
        <w:t>；公务用车购置费支出决算增加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eastAsia="仿宋_GB2312"/>
          <w:color w:val="000000" w:themeColor="text1"/>
          <w:sz w:val="30"/>
          <w:szCs w:val="30"/>
          <w:highlight w:val="none"/>
          <w14:textFill>
            <w14:solidFill>
              <w14:schemeClr w14:val="tx1"/>
            </w14:solidFill>
          </w14:textFill>
        </w:rPr>
        <w:t>；公务用车</w:t>
      </w:r>
      <w:r>
        <w:rPr>
          <w:rFonts w:hint="eastAsia" w:ascii="仿宋_GB2312" w:eastAsia="仿宋_GB2312"/>
          <w:color w:val="000000" w:themeColor="text1"/>
          <w:sz w:val="30"/>
          <w:szCs w:val="30"/>
          <w:highlight w:val="none"/>
          <w:lang w:eastAsia="zh-CN"/>
          <w14:textFill>
            <w14:solidFill>
              <w14:schemeClr w14:val="tx1"/>
            </w14:solidFill>
          </w14:textFill>
        </w:rPr>
        <w:t>运行维护费</w:t>
      </w:r>
      <w:r>
        <w:rPr>
          <w:rFonts w:hint="eastAsia" w:ascii="仿宋_GB2312" w:eastAsia="仿宋_GB2312"/>
          <w:color w:val="000000" w:themeColor="text1"/>
          <w:sz w:val="30"/>
          <w:szCs w:val="30"/>
          <w:highlight w:val="none"/>
          <w14:textFill>
            <w14:solidFill>
              <w14:schemeClr w14:val="tx1"/>
            </w14:solidFill>
          </w14:textFill>
        </w:rPr>
        <w:t>支出决算增加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eastAsia="仿宋_GB2312"/>
          <w:color w:val="000000" w:themeColor="text1"/>
          <w:sz w:val="30"/>
          <w:szCs w:val="30"/>
          <w:highlight w:val="none"/>
          <w14:textFill>
            <w14:solidFill>
              <w14:schemeClr w14:val="tx1"/>
            </w14:solidFill>
          </w14:textFill>
        </w:rPr>
        <w:t>；公务接待费支出决算增加</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eastAsia="仿宋_GB2312"/>
          <w:color w:val="000000" w:themeColor="text1"/>
          <w:sz w:val="30"/>
          <w:szCs w:val="30"/>
          <w:highlight w:val="none"/>
          <w:lang w:eastAsia="zh-CN"/>
          <w14:textFill>
            <w14:solidFill>
              <w14:schemeClr w14:val="tx1"/>
            </w14:solidFill>
          </w14:textFill>
        </w:rPr>
        <w:t>元</w:t>
      </w:r>
      <w:r>
        <w:rPr>
          <w:rFonts w:hint="eastAsia" w:ascii="仿宋_GB2312" w:eastAsia="仿宋_GB2312"/>
          <w:color w:val="000000" w:themeColor="text1"/>
          <w:sz w:val="30"/>
          <w:szCs w:val="30"/>
          <w:highlight w:val="none"/>
          <w14:textFill>
            <w14:solidFill>
              <w14:schemeClr w14:val="tx1"/>
            </w14:solidFill>
          </w14:textFill>
        </w:rPr>
        <w:t>，</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具体是国内接待费支出决算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元（其中：外事接待费支出决算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元），较上年增加</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0元，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国（境）外接待费支出决算</w:t>
      </w:r>
      <w:r>
        <w:rPr>
          <w:rFonts w:hint="eastAsia" w:ascii="仿宋_GB2312" w:hAnsi="仿宋_GB2312" w:eastAsia="仿宋_GB2312" w:cs="仿宋_GB2312"/>
          <w:color w:val="000000" w:themeColor="text1"/>
          <w:sz w:val="30"/>
          <w:lang w:val="zh-CN"/>
          <w14:textFill>
            <w14:solidFill>
              <w14:schemeClr w14:val="tx1"/>
            </w14:solidFill>
          </w14:textFill>
        </w:rPr>
        <w:t>0.00</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元较上年增加</w:t>
      </w:r>
      <w:r>
        <w:rPr>
          <w:rFonts w:hint="eastAsia" w:ascii="仿宋_GB2312" w:hAnsi="宋体" w:eastAsia="仿宋_GB2312" w:cs="Arial"/>
          <w:color w:val="000000" w:themeColor="text1"/>
          <w:kern w:val="0"/>
          <w:sz w:val="30"/>
          <w:szCs w:val="30"/>
          <w:highlight w:val="none"/>
          <w:lang w:val="en-US" w:eastAsia="zh-CN"/>
          <w14:textFill>
            <w14:solidFill>
              <w14:schemeClr w14:val="tx1"/>
            </w14:solidFill>
          </w14:textFill>
        </w:rPr>
        <w:t>0元，</w:t>
      </w:r>
      <w:r>
        <w:rPr>
          <w:rFonts w:hint="eastAsia" w:ascii="仿宋_GB2312" w:eastAsia="仿宋_GB2312"/>
          <w:color w:val="000000" w:themeColor="text1"/>
          <w:sz w:val="30"/>
          <w:szCs w:val="30"/>
          <w:lang w:eastAsia="zh-CN"/>
          <w14:textFill>
            <w14:solidFill>
              <w14:schemeClr w14:val="tx1"/>
            </w14:solidFill>
          </w14:textFill>
        </w:rPr>
        <w:t>上年无此项支出</w:t>
      </w:r>
      <w:r>
        <w:rPr>
          <w:rFonts w:hint="eastAsia" w:ascii="仿宋_GB2312" w:hAnsi="宋体" w:eastAsia="仿宋_GB2312" w:cs="Arial"/>
          <w:color w:val="000000" w:themeColor="text1"/>
          <w:kern w:val="0"/>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lang w:val="en-US" w:eastAsia="zh-CN"/>
          <w14:textFill>
            <w14:solidFill>
              <w14:schemeClr w14:val="tx1"/>
            </w14:solidFill>
          </w14:textFill>
        </w:rPr>
        <w:t>2025</w:t>
      </w:r>
      <w:r>
        <w:rPr>
          <w:rFonts w:hint="eastAsia" w:ascii="仿宋_GB2312" w:eastAsia="仿宋_GB2312"/>
          <w:color w:val="000000" w:themeColor="text1"/>
          <w:sz w:val="30"/>
          <w:szCs w:val="30"/>
          <w:highlight w:val="none"/>
          <w14:textFill>
            <w14:solidFill>
              <w14:schemeClr w14:val="tx1"/>
            </w14:solidFill>
          </w14:textFill>
        </w:rPr>
        <w:t>年度一般公共预算财政拨款“三公”经费支出决算</w:t>
      </w:r>
      <w:r>
        <w:rPr>
          <w:rFonts w:hint="eastAsia" w:ascii="仿宋_GB2312" w:eastAsia="仿宋_GB2312"/>
          <w:color w:val="000000" w:themeColor="text1"/>
          <w:sz w:val="30"/>
          <w:szCs w:val="30"/>
          <w:highlight w:val="none"/>
          <w:lang w:val="en-US" w:eastAsia="zh-CN"/>
          <w14:textFill>
            <w14:solidFill>
              <w14:schemeClr w14:val="tx1"/>
            </w14:solidFill>
          </w14:textFill>
        </w:rPr>
        <w:t>没有</w:t>
      </w:r>
      <w:r>
        <w:rPr>
          <w:rFonts w:hint="eastAsia" w:ascii="仿宋_GB2312" w:eastAsia="仿宋_GB2312"/>
          <w:color w:val="000000" w:themeColor="text1"/>
          <w:sz w:val="30"/>
          <w:szCs w:val="30"/>
          <w:highlight w:val="none"/>
          <w14:textFill>
            <w14:solidFill>
              <w14:schemeClr w14:val="tx1"/>
            </w14:solidFill>
          </w14:textFill>
        </w:rPr>
        <w:t>增加</w:t>
      </w:r>
      <w:r>
        <w:rPr>
          <w:rFonts w:hint="eastAsia" w:ascii="仿宋_GB2312" w:eastAsia="仿宋_GB2312"/>
          <w:color w:val="000000" w:themeColor="text1"/>
          <w:sz w:val="30"/>
          <w:szCs w:val="30"/>
          <w:highlight w:val="none"/>
          <w:lang w:eastAsia="zh-CN"/>
          <w14:textFill>
            <w14:solidFill>
              <w14:schemeClr w14:val="tx1"/>
            </w14:solidFill>
          </w14:textFill>
        </w:rPr>
        <w:t>。</w:t>
      </w:r>
      <w:r>
        <w:rPr>
          <w:rFonts w:hint="eastAsia" w:ascii="仿宋_GB2312" w:eastAsia="仿宋_GB2312"/>
          <w:color w:val="000000" w:themeColor="text1"/>
          <w:sz w:val="30"/>
          <w:szCs w:val="30"/>
          <w:highlight w:val="none"/>
          <w14:textFill>
            <w14:solidFill>
              <w14:schemeClr w14:val="tx1"/>
            </w14:solidFill>
          </w14:textFill>
        </w:rPr>
        <w:t>一般公共预算财政拨款“三公”经费支出</w:t>
      </w:r>
      <w:r>
        <w:rPr>
          <w:rFonts w:hint="eastAsia" w:ascii="仿宋_GB2312" w:eastAsia="仿宋_GB2312"/>
          <w:color w:val="000000" w:themeColor="text1"/>
          <w:sz w:val="30"/>
          <w:szCs w:val="30"/>
          <w:highlight w:val="none"/>
          <w:lang w:eastAsia="zh-CN"/>
          <w14:textFill>
            <w14:solidFill>
              <w14:schemeClr w14:val="tx1"/>
            </w14:solidFill>
          </w14:textFill>
        </w:rPr>
        <w:t>实物量的</w:t>
      </w:r>
      <w:r>
        <w:rPr>
          <w:rFonts w:hint="eastAsia" w:ascii="仿宋_GB2312" w:eastAsia="仿宋_GB2312"/>
          <w:color w:val="000000" w:themeColor="text1"/>
          <w:sz w:val="30"/>
          <w:szCs w:val="30"/>
          <w:highlight w:val="none"/>
          <w14:textFill>
            <w14:solidFill>
              <w14:schemeClr w14:val="tx1"/>
            </w14:solidFill>
          </w14:textFill>
        </w:rPr>
        <w:t>具体情况</w:t>
      </w:r>
      <w:r>
        <w:rPr>
          <w:rFonts w:hint="eastAsia" w:ascii="仿宋_GB2312" w:eastAsia="仿宋_GB2312"/>
          <w:color w:val="000000" w:themeColor="text1"/>
          <w:sz w:val="30"/>
          <w:szCs w:val="30"/>
          <w:highlight w:val="none"/>
          <w:lang w:eastAsia="zh-CN"/>
          <w14:textFill>
            <w14:solidFill>
              <w14:schemeClr w14:val="tx1"/>
            </w14:solidFill>
          </w14:textFill>
        </w:rPr>
        <w:t>：</w:t>
      </w:r>
    </w:p>
    <w:p w14:paraId="777D94D2">
      <w:pPr>
        <w:widowControl/>
        <w:snapToGrid w:val="0"/>
        <w:spacing w:before="100" w:after="100" w:line="360" w:lineRule="auto"/>
        <w:ind w:firstLine="600" w:firstLineChars="200"/>
        <w:jc w:val="left"/>
        <w:rPr>
          <w:rFonts w:hint="eastAsia" w:ascii="仿宋_GB2312" w:eastAsia="仿宋_GB2312"/>
          <w:b w:val="0"/>
          <w:bCs/>
          <w:color w:val="000000" w:themeColor="text1"/>
          <w:sz w:val="30"/>
          <w:szCs w:val="30"/>
          <w:highlight w:val="none"/>
          <w14:textFill>
            <w14:solidFill>
              <w14:schemeClr w14:val="tx1"/>
            </w14:solidFill>
          </w14:textFill>
        </w:rPr>
      </w:pPr>
      <w:r>
        <w:rPr>
          <w:rFonts w:hint="eastAsia" w:ascii="仿宋_GB2312" w:eastAsia="仿宋_GB2312"/>
          <w:b w:val="0"/>
          <w:bCs/>
          <w:color w:val="000000" w:themeColor="text1"/>
          <w:sz w:val="30"/>
          <w:szCs w:val="30"/>
          <w:highlight w:val="none"/>
          <w14:textFill>
            <w14:solidFill>
              <w14:schemeClr w14:val="tx1"/>
            </w14:solidFill>
          </w14:textFill>
        </w:rPr>
        <w:t>1.安排因公出国（境）团组</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b w:val="0"/>
          <w:bCs/>
          <w:color w:val="000000" w:themeColor="text1"/>
          <w:sz w:val="30"/>
          <w:szCs w:val="30"/>
          <w:highlight w:val="none"/>
          <w14:textFill>
            <w14:solidFill>
              <w14:schemeClr w14:val="tx1"/>
            </w14:solidFill>
          </w14:textFill>
        </w:rPr>
        <w:t>个，累计</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b w:val="0"/>
          <w:bCs/>
          <w:color w:val="000000" w:themeColor="text1"/>
          <w:sz w:val="30"/>
          <w:szCs w:val="30"/>
          <w:highlight w:val="none"/>
          <w14:textFill>
            <w14:solidFill>
              <w14:schemeClr w14:val="tx1"/>
            </w14:solidFill>
          </w14:textFill>
        </w:rPr>
        <w:t>人次。开展内容包括：具体出国开支及开展工作情况</w:t>
      </w:r>
      <w:r>
        <w:rPr>
          <w:rFonts w:hint="eastAsia" w:ascii="仿宋_GB2312" w:eastAsia="仿宋_GB2312"/>
          <w:b w:val="0"/>
          <w:bCs/>
          <w:color w:val="000000" w:themeColor="text1"/>
          <w:sz w:val="30"/>
          <w:szCs w:val="30"/>
          <w:highlight w:val="none"/>
          <w:lang w:val="en-US" w:eastAsia="zh-CN"/>
          <w14:textFill>
            <w14:solidFill>
              <w14:schemeClr w14:val="tx1"/>
            </w14:solidFill>
          </w14:textFill>
        </w:rPr>
        <w:t>等</w:t>
      </w:r>
      <w:r>
        <w:rPr>
          <w:rFonts w:hint="eastAsia" w:ascii="仿宋_GB2312" w:eastAsia="仿宋_GB2312"/>
          <w:b w:val="0"/>
          <w:bCs/>
          <w:color w:val="000000" w:themeColor="text1"/>
          <w:sz w:val="30"/>
          <w:szCs w:val="30"/>
          <w:highlight w:val="none"/>
          <w14:textFill>
            <w14:solidFill>
              <w14:schemeClr w14:val="tx1"/>
            </w14:solidFill>
          </w14:textFill>
        </w:rPr>
        <w:t>。</w:t>
      </w:r>
    </w:p>
    <w:p w14:paraId="60F4E94C">
      <w:pPr>
        <w:widowControl/>
        <w:snapToGrid w:val="0"/>
        <w:spacing w:before="100" w:after="100" w:line="360" w:lineRule="auto"/>
        <w:ind w:firstLine="600" w:firstLineChars="200"/>
        <w:jc w:val="left"/>
        <w:rPr>
          <w:rFonts w:hint="eastAsia" w:ascii="仿宋_GB2312" w:eastAsia="仿宋_GB2312"/>
          <w:b w:val="0"/>
          <w:bCs/>
          <w:color w:val="000000" w:themeColor="text1"/>
          <w:sz w:val="30"/>
          <w:szCs w:val="30"/>
          <w:highlight w:val="none"/>
          <w14:textFill>
            <w14:solidFill>
              <w14:schemeClr w14:val="tx1"/>
            </w14:solidFill>
          </w14:textFill>
        </w:rPr>
      </w:pPr>
      <w:r>
        <w:rPr>
          <w:rFonts w:hint="eastAsia" w:ascii="仿宋_GB2312" w:eastAsia="仿宋_GB2312"/>
          <w:b w:val="0"/>
          <w:bCs/>
          <w:color w:val="000000" w:themeColor="text1"/>
          <w:sz w:val="30"/>
          <w:szCs w:val="30"/>
          <w:highlight w:val="none"/>
          <w14:textFill>
            <w14:solidFill>
              <w14:schemeClr w14:val="tx1"/>
            </w14:solidFill>
          </w14:textFill>
        </w:rPr>
        <w:t>2.购置车辆</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b w:val="0"/>
          <w:bCs/>
          <w:color w:val="000000" w:themeColor="text1"/>
          <w:sz w:val="30"/>
          <w:szCs w:val="30"/>
          <w:highlight w:val="none"/>
          <w14:textFill>
            <w14:solidFill>
              <w14:schemeClr w14:val="tx1"/>
            </w14:solidFill>
          </w14:textFill>
        </w:rPr>
        <w:t>辆。开支一般公共预算财政拨款的公务用车保有量为</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b w:val="0"/>
          <w:bCs/>
          <w:color w:val="000000" w:themeColor="text1"/>
          <w:sz w:val="30"/>
          <w:szCs w:val="30"/>
          <w:highlight w:val="none"/>
          <w14:textFill>
            <w14:solidFill>
              <w14:schemeClr w14:val="tx1"/>
            </w14:solidFill>
          </w14:textFill>
        </w:rPr>
        <w:t>辆。</w:t>
      </w:r>
    </w:p>
    <w:p w14:paraId="6F45B3F8">
      <w:pPr>
        <w:widowControl/>
        <w:snapToGrid w:val="0"/>
        <w:spacing w:before="100" w:after="100" w:line="360" w:lineRule="auto"/>
        <w:ind w:firstLine="600" w:firstLineChars="200"/>
        <w:jc w:val="left"/>
        <w:rPr>
          <w:rFonts w:hint="eastAsia" w:ascii="仿宋_GB2312" w:eastAsia="仿宋_GB2312"/>
          <w:b w:val="0"/>
          <w:bCs/>
          <w:color w:val="FF0000"/>
          <w:sz w:val="30"/>
          <w:szCs w:val="30"/>
          <w:highlight w:val="none"/>
          <w:lang w:eastAsia="zh-CN"/>
        </w:rPr>
      </w:pPr>
      <w:r>
        <w:rPr>
          <w:rFonts w:hint="eastAsia" w:ascii="仿宋_GB2312" w:eastAsia="仿宋_GB2312"/>
          <w:b w:val="0"/>
          <w:bCs/>
          <w:color w:val="000000" w:themeColor="text1"/>
          <w:sz w:val="30"/>
          <w:szCs w:val="30"/>
          <w:highlight w:val="none"/>
          <w14:textFill>
            <w14:solidFill>
              <w14:schemeClr w14:val="tx1"/>
            </w14:solidFill>
          </w14:textFill>
        </w:rPr>
        <w:t>3.安排</w:t>
      </w:r>
      <w:r>
        <w:rPr>
          <w:rFonts w:hint="eastAsia" w:ascii="仿宋_GB2312" w:eastAsia="仿宋_GB2312"/>
          <w:color w:val="000000" w:themeColor="text1"/>
          <w:sz w:val="30"/>
          <w:szCs w:val="30"/>
          <w:highlight w:val="none"/>
          <w14:textFill>
            <w14:solidFill>
              <w14:schemeClr w14:val="tx1"/>
            </w14:solidFill>
          </w14:textFill>
        </w:rPr>
        <w:t>国内公务接待</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color w:val="000000" w:themeColor="text1"/>
          <w:sz w:val="30"/>
          <w:szCs w:val="30"/>
          <w:highlight w:val="none"/>
          <w14:textFill>
            <w14:solidFill>
              <w14:schemeClr w14:val="tx1"/>
            </w14:solidFill>
          </w14:textFill>
        </w:rPr>
        <w:t>批次（其中：外事接待</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color w:val="000000" w:themeColor="text1"/>
          <w:sz w:val="30"/>
          <w:szCs w:val="30"/>
          <w:highlight w:val="none"/>
          <w14:textFill>
            <w14:solidFill>
              <w14:schemeClr w14:val="tx1"/>
            </w14:solidFill>
          </w14:textFill>
        </w:rPr>
        <w:t>批次），接待人次</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color w:val="000000" w:themeColor="text1"/>
          <w:sz w:val="30"/>
          <w:szCs w:val="30"/>
          <w:highlight w:val="none"/>
          <w14:textFill>
            <w14:solidFill>
              <w14:schemeClr w14:val="tx1"/>
            </w14:solidFill>
          </w14:textFill>
        </w:rPr>
        <w:t>人（其中：外事接待人次</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color w:val="000000" w:themeColor="text1"/>
          <w:sz w:val="30"/>
          <w:szCs w:val="30"/>
          <w:highlight w:val="none"/>
          <w14:textFill>
            <w14:solidFill>
              <w14:schemeClr w14:val="tx1"/>
            </w14:solidFill>
          </w14:textFill>
        </w:rPr>
        <w:t>人）。主要用于XX（相关工作，产生的接待批次及人次等）发生的接待支出。安排国（境）外公务接待</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color w:val="000000" w:themeColor="text1"/>
          <w:sz w:val="30"/>
          <w:szCs w:val="30"/>
          <w:highlight w:val="none"/>
          <w14:textFill>
            <w14:solidFill>
              <w14:schemeClr w14:val="tx1"/>
            </w14:solidFill>
          </w14:textFill>
        </w:rPr>
        <w:t>批次，接待人次</w:t>
      </w:r>
      <w:r>
        <w:rPr>
          <w:rFonts w:hint="eastAsia" w:ascii="仿宋_GB2312" w:hAnsi="仿宋_GB2312" w:eastAsia="仿宋_GB2312" w:cs="仿宋_GB2312"/>
          <w:color w:val="000000" w:themeColor="text1"/>
          <w:sz w:val="30"/>
          <w:lang w:val="zh-CN"/>
          <w14:textFill>
            <w14:solidFill>
              <w14:schemeClr w14:val="tx1"/>
            </w14:solidFill>
          </w14:textFill>
        </w:rPr>
        <w:t>0.0</w:t>
      </w:r>
      <w:r>
        <w:rPr>
          <w:rFonts w:hint="eastAsia" w:ascii="仿宋_GB2312" w:eastAsia="仿宋_GB2312"/>
          <w:color w:val="000000" w:themeColor="text1"/>
          <w:sz w:val="30"/>
          <w:szCs w:val="30"/>
          <w:highlight w:val="none"/>
          <w14:textFill>
            <w14:solidFill>
              <w14:schemeClr w14:val="tx1"/>
            </w14:solidFill>
          </w14:textFill>
        </w:rPr>
        <w:t>人。</w:t>
      </w:r>
    </w:p>
    <w:p w14:paraId="4CC55D9E">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00A73287">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hAnsi="仿宋_GB2312" w:eastAsia="仿宋_GB2312" w:cs="仿宋_GB2312"/>
          <w:color w:val="000000" w:themeColor="text1"/>
          <w:kern w:val="2"/>
          <w:sz w:val="30"/>
          <w:szCs w:val="30"/>
          <w:highlight w:val="none"/>
          <w:lang w:val="en-US" w:eastAsia="zh-CN" w:bidi="ar-SA"/>
          <w14:textFill>
            <w14:solidFill>
              <w14:schemeClr w14:val="tx1"/>
            </w14:solidFill>
          </w14:textFill>
        </w:rPr>
        <w:t>富民县散旦中心小学2025年</w:t>
      </w:r>
      <w:r>
        <w:rPr>
          <w:rFonts w:hint="eastAsia" w:ascii="仿宋_GB2312" w:eastAsia="仿宋_GB2312"/>
          <w:color w:val="000000" w:themeColor="text1"/>
          <w:sz w:val="30"/>
          <w:szCs w:val="30"/>
          <w:highlight w:val="none"/>
          <w:lang w:eastAsia="zh-CN"/>
          <w14:textFill>
            <w14:solidFill>
              <w14:schemeClr w14:val="tx1"/>
            </w14:solidFill>
          </w14:textFill>
        </w:rPr>
        <w:t>不存在需要说明的事项。</w:t>
      </w:r>
    </w:p>
    <w:p w14:paraId="625305B1">
      <w:pPr>
        <w:widowControl/>
        <w:snapToGrid w:val="0"/>
        <w:spacing w:before="100" w:after="100" w:line="360" w:lineRule="auto"/>
        <w:ind w:firstLine="640" w:firstLineChars="200"/>
        <w:jc w:val="left"/>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22F3C750">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7C205BE7">
      <w:pPr>
        <w:ind w:firstLine="600" w:firstLineChars="200"/>
        <w:jc w:val="left"/>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富民县散旦中心小学</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eastAsia="仿宋_GB2312"/>
          <w:sz w:val="30"/>
          <w:szCs w:val="30"/>
          <w:highlight w:val="none"/>
          <w:lang w:val="en-US" w:eastAsia="zh-CN"/>
        </w:rPr>
        <w:t>0.00</w:t>
      </w:r>
      <w:r>
        <w:rPr>
          <w:rFonts w:hint="eastAsia" w:ascii="仿宋_GB2312" w:eastAsia="仿宋_GB2312"/>
          <w:sz w:val="30"/>
          <w:szCs w:val="30"/>
          <w:highlight w:val="none"/>
        </w:rPr>
        <w:t>%</w:t>
      </w:r>
      <w:r>
        <w:rPr>
          <w:rFonts w:hint="eastAsia" w:ascii="仿宋_GB2312" w:hAnsi="黑体" w:eastAsia="仿宋_GB2312" w:cs="方正小标宋简体"/>
          <w:sz w:val="30"/>
          <w:szCs w:val="30"/>
          <w:highlight w:val="none"/>
        </w:rPr>
        <w:t>。</w:t>
      </w:r>
    </w:p>
    <w:p w14:paraId="0D718B20">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08D5F8BA">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富民县散旦中心小学</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43378627.68</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364555.46</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38486226.46</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4527845.76</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w:t>
      </w:r>
      <w:r>
        <w:rPr>
          <w:rFonts w:hint="eastAsia" w:ascii="仿宋_GB2312" w:hAnsi="黑体" w:eastAsia="仿宋_GB2312" w:cs="方正小标宋简体"/>
          <w:color w:val="000000"/>
          <w:kern w:val="0"/>
          <w:sz w:val="30"/>
          <w:szCs w:val="30"/>
          <w:highlight w:val="none"/>
          <w:lang w:val="en-US" w:eastAsia="zh-CN"/>
        </w:rPr>
        <w:t>增加2794451.95</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，其中固定资产增加</w:t>
      </w:r>
      <w:r>
        <w:rPr>
          <w:rFonts w:hint="eastAsia" w:ascii="仿宋_GB2312" w:hAnsi="黑体" w:eastAsia="仿宋_GB2312" w:cs="方正小标宋简体"/>
          <w:color w:val="000000"/>
          <w:kern w:val="0"/>
          <w:sz w:val="30"/>
          <w:szCs w:val="30"/>
          <w:highlight w:val="none"/>
          <w:lang w:val="en-US" w:eastAsia="zh-CN"/>
        </w:rPr>
        <w:t>36243</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lang w:val="en-US" w:eastAsia="zh-CN"/>
        </w:rPr>
        <w:t>无形资产增加4599798元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9</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49500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14:paraId="72A58CB0">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6"/>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259C354A">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689A058F">
            <w:pPr>
              <w:widowControl/>
              <w:jc w:val="left"/>
              <w:rPr>
                <w:rFonts w:ascii="宋体" w:hAnsi="宋体" w:cs="宋体"/>
                <w:color w:val="000000"/>
                <w:kern w:val="0"/>
                <w:sz w:val="17"/>
                <w:szCs w:val="17"/>
                <w:highlight w:val="none"/>
              </w:rPr>
            </w:pPr>
          </w:p>
        </w:tc>
      </w:tr>
      <w:tr w14:paraId="589E6C93">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48EB0D98">
            <w:pPr>
              <w:widowControl/>
              <w:jc w:val="left"/>
              <w:rPr>
                <w:rFonts w:ascii="宋体" w:hAnsi="宋体" w:cs="宋体"/>
                <w:color w:val="000000"/>
                <w:kern w:val="0"/>
                <w:sz w:val="17"/>
                <w:szCs w:val="17"/>
                <w:highlight w:val="none"/>
              </w:rPr>
            </w:pPr>
          </w:p>
        </w:tc>
      </w:tr>
      <w:tr w14:paraId="6B8BA937">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76F42C7B">
            <w:pPr>
              <w:widowControl/>
              <w:jc w:val="left"/>
              <w:rPr>
                <w:rFonts w:ascii="宋体" w:hAnsi="宋体" w:cs="宋体"/>
                <w:color w:val="000000"/>
                <w:kern w:val="0"/>
                <w:sz w:val="17"/>
                <w:szCs w:val="17"/>
                <w:highlight w:val="none"/>
              </w:rPr>
            </w:pPr>
          </w:p>
        </w:tc>
      </w:tr>
      <w:tr w14:paraId="425F4B17">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728386E0">
            <w:pPr>
              <w:widowControl/>
              <w:jc w:val="left"/>
              <w:rPr>
                <w:rFonts w:ascii="宋体" w:hAnsi="宋体" w:cs="宋体"/>
                <w:color w:val="000000"/>
                <w:kern w:val="0"/>
                <w:sz w:val="17"/>
                <w:szCs w:val="17"/>
                <w:highlight w:val="none"/>
              </w:rPr>
            </w:pPr>
          </w:p>
        </w:tc>
      </w:tr>
      <w:tr w14:paraId="0C3A5B65">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166D90E0">
            <w:pPr>
              <w:widowControl/>
              <w:jc w:val="left"/>
              <w:rPr>
                <w:rFonts w:ascii="宋体" w:hAnsi="宋体" w:cs="宋体"/>
                <w:color w:val="000000"/>
                <w:kern w:val="0"/>
                <w:sz w:val="17"/>
                <w:szCs w:val="17"/>
                <w:highlight w:val="none"/>
              </w:rPr>
            </w:pPr>
          </w:p>
        </w:tc>
      </w:tr>
      <w:tr w14:paraId="1E23A204">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7891A188">
            <w:pPr>
              <w:widowControl/>
              <w:jc w:val="left"/>
              <w:rPr>
                <w:rFonts w:ascii="宋体" w:hAnsi="宋体" w:cs="宋体"/>
                <w:color w:val="000000"/>
                <w:kern w:val="0"/>
                <w:sz w:val="17"/>
                <w:szCs w:val="17"/>
                <w:highlight w:val="none"/>
              </w:rPr>
            </w:pPr>
          </w:p>
        </w:tc>
      </w:tr>
      <w:tr w14:paraId="5B0B11C9">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3C09F65C">
            <w:pPr>
              <w:widowControl/>
              <w:jc w:val="left"/>
              <w:rPr>
                <w:rFonts w:ascii="宋体" w:hAnsi="宋体" w:cs="宋体"/>
                <w:color w:val="000000"/>
                <w:kern w:val="0"/>
                <w:sz w:val="17"/>
                <w:szCs w:val="17"/>
                <w:highlight w:val="none"/>
              </w:rPr>
            </w:pPr>
          </w:p>
        </w:tc>
      </w:tr>
      <w:tr w14:paraId="02AE3287">
        <w:tblPrEx>
          <w:tblCellMar>
            <w:top w:w="0" w:type="dxa"/>
            <w:left w:w="0" w:type="dxa"/>
            <w:bottom w:w="0" w:type="dxa"/>
            <w:right w:w="0" w:type="dxa"/>
          </w:tblCellMar>
        </w:tblPrEx>
        <w:trPr>
          <w:trHeight w:val="495" w:hRule="atLeast"/>
        </w:trPr>
        <w:tc>
          <w:tcPr>
            <w:tcW w:w="142" w:type="dxa"/>
            <w:noWrap w:val="0"/>
            <w:vAlign w:val="center"/>
          </w:tcPr>
          <w:p w14:paraId="59FED23A">
            <w:pPr>
              <w:widowControl/>
              <w:jc w:val="left"/>
              <w:rPr>
                <w:rFonts w:ascii="Times New Roman" w:hAnsi="Times New Roman" w:eastAsia="Times New Roman"/>
                <w:kern w:val="0"/>
                <w:sz w:val="20"/>
                <w:szCs w:val="20"/>
                <w:highlight w:val="none"/>
              </w:rPr>
            </w:pPr>
          </w:p>
        </w:tc>
      </w:tr>
    </w:tbl>
    <w:p w14:paraId="0D022939">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023C336A">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en-US" w:eastAsia="zh-CN"/>
        </w:rPr>
        <w:t>1013563.48</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en-US" w:eastAsia="zh-CN"/>
        </w:rPr>
        <w:t>1013563.48</w:t>
      </w:r>
      <w:r>
        <w:rPr>
          <w:rFonts w:hint="eastAsia" w:ascii="仿宋_GB2312" w:hAnsi="仿宋_GB2312" w:eastAsia="仿宋_GB2312" w:cs="仿宋_GB2312"/>
          <w:sz w:val="30"/>
          <w:szCs w:val="30"/>
          <w:highlight w:val="none"/>
          <w:lang w:val="en-US" w:eastAsia="zh-CN"/>
        </w:rPr>
        <w:t>元（包含营养餐和普通餐货物支出）；政府采购工程支出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66B47ECC">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bookmarkStart w:id="0" w:name="_GoBack"/>
      <w:bookmarkEnd w:id="0"/>
    </w:p>
    <w:p w14:paraId="5CDA768B">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534322F2">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76F3F69F">
      <w:pPr>
        <w:widowControl/>
        <w:snapToGrid w:val="0"/>
        <w:spacing w:before="100" w:after="100" w:line="360" w:lineRule="auto"/>
        <w:ind w:firstLine="600" w:firstLineChars="200"/>
        <w:jc w:val="left"/>
        <w:outlineLvl w:val="1"/>
        <w:rPr>
          <w:rFonts w:hint="eastAsia" w:ascii="仿宋_GB2312" w:hAnsi="仿宋_GB2312" w:eastAsia="仿宋_GB2312" w:cs="仿宋_GB2312"/>
          <w:kern w:val="2"/>
          <w:sz w:val="30"/>
          <w:szCs w:val="30"/>
          <w:highlight w:val="none"/>
          <w:lang w:val="en-US" w:eastAsia="zh-CN" w:bidi="ar-SA"/>
        </w:rPr>
      </w:pPr>
      <w:r>
        <w:rPr>
          <w:rFonts w:hint="eastAsia" w:ascii="仿宋_GB2312" w:hAnsi="仿宋_GB2312" w:eastAsia="仿宋_GB2312" w:cs="仿宋_GB2312"/>
          <w:kern w:val="2"/>
          <w:sz w:val="30"/>
          <w:szCs w:val="30"/>
          <w:highlight w:val="none"/>
          <w:lang w:val="en-US" w:eastAsia="zh-CN" w:bidi="ar-SA"/>
        </w:rPr>
        <w:t>富民县散旦中心小学2025年无其他重要事项情况说明。</w:t>
      </w:r>
    </w:p>
    <w:p w14:paraId="77E03992">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132461FA">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6886E448">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23AAEC2F">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1B185AE1">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5E90A278">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27BB40E6">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1992E64B">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rPr>
        <w:t>情况说明里涉及到需要解释说明的决算相关专用名词，在此进行说明解释。</w:t>
      </w:r>
      <w:r>
        <w:rPr>
          <w:rFonts w:hint="eastAsia" w:ascii="仿宋_GB2312" w:hAnsi="黑体" w:eastAsia="仿宋_GB2312" w:cs="方正小标宋简体"/>
          <w:sz w:val="30"/>
          <w:szCs w:val="30"/>
          <w:highlight w:val="none"/>
          <w:lang w:eastAsia="zh-CN"/>
        </w:rPr>
        <w:t>若没有涉及专用名词，</w:t>
      </w:r>
      <w:r>
        <w:rPr>
          <w:rFonts w:hint="eastAsia" w:ascii="仿宋_GB2312" w:hAnsi="黑体" w:eastAsia="仿宋_GB2312" w:cs="方正小标宋简体"/>
          <w:b/>
          <w:bCs/>
          <w:sz w:val="30"/>
          <w:szCs w:val="30"/>
          <w:highlight w:val="none"/>
          <w:lang w:eastAsia="zh-CN"/>
        </w:rPr>
        <w:t>应</w:t>
      </w:r>
      <w:r>
        <w:rPr>
          <w:rFonts w:hint="eastAsia" w:ascii="仿宋_GB2312" w:hAnsi="仿宋_GB2312" w:eastAsia="仿宋_GB2312" w:cs="仿宋_GB2312"/>
          <w:b/>
          <w:bCs/>
          <w:sz w:val="30"/>
          <w:szCs w:val="30"/>
          <w:highlight w:val="none"/>
          <w:u w:val="none"/>
          <w:lang w:val="en-US" w:eastAsia="zh-CN"/>
        </w:rPr>
        <w:t>至少公开一条与决算相关的财务专业名词解释，或</w:t>
      </w:r>
      <w:r>
        <w:rPr>
          <w:rFonts w:hint="eastAsia" w:ascii="仿宋_GB2312" w:hAnsi="黑体" w:eastAsia="仿宋_GB2312" w:cs="方正小标宋简体"/>
          <w:sz w:val="30"/>
          <w:szCs w:val="30"/>
          <w:highlight w:val="none"/>
          <w:lang w:eastAsia="zh-CN"/>
        </w:rPr>
        <w:t>请直接保留模板提供专用名词。</w:t>
      </w:r>
    </w:p>
    <w:p w14:paraId="7DC577BB">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2F94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5BCAD1F">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15BCAD1F">
                    <w:pPr>
                      <w:pStyle w:val="3"/>
                      <w:rPr>
                        <w:rStyle w:val="9"/>
                      </w:rPr>
                    </w:pPr>
                    <w:r>
                      <w:rPr>
                        <w:rStyle w:val="9"/>
                        <w:sz w:val="28"/>
                        <w:szCs w:val="28"/>
                      </w:rPr>
                      <w:fldChar w:fldCharType="begin"/>
                    </w:r>
                    <w:r>
                      <w:rPr>
                        <w:rStyle w:val="9"/>
                        <w:sz w:val="28"/>
                        <w:szCs w:val="28"/>
                      </w:rPr>
                      <w:instrText xml:space="preserve">PAGE  </w:instrText>
                    </w:r>
                    <w:r>
                      <w:rPr>
                        <w:sz w:val="28"/>
                        <w:szCs w:val="28"/>
                      </w:rPr>
                      <w:fldChar w:fldCharType="separate"/>
                    </w:r>
                    <w:r>
                      <w:rPr>
                        <w:rStyle w:val="9"/>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39F08">
    <w:pPr>
      <w:pStyle w:val="3"/>
      <w:framePr w:wrap="around" w:vAnchor="text" w:hAnchor="margin" w:xAlign="center" w:y="1"/>
      <w:rPr>
        <w:rStyle w:val="9"/>
      </w:rPr>
    </w:pPr>
    <w:r>
      <w:rPr>
        <w:rStyle w:val="9"/>
      </w:rPr>
      <w:fldChar w:fldCharType="begin"/>
    </w:r>
    <w:r>
      <w:rPr>
        <w:rStyle w:val="9"/>
      </w:rPr>
      <w:instrText xml:space="preserve">PAGE  </w:instrText>
    </w:r>
    <w:r>
      <w:fldChar w:fldCharType="separate"/>
    </w:r>
    <w:r>
      <w:fldChar w:fldCharType="end"/>
    </w:r>
  </w:p>
  <w:p w14:paraId="3100817D">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49B85">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6715F"/>
    <w:rsid w:val="0563540A"/>
    <w:rsid w:val="081A6AA8"/>
    <w:rsid w:val="08915791"/>
    <w:rsid w:val="094822F4"/>
    <w:rsid w:val="117E00B3"/>
    <w:rsid w:val="12525F91"/>
    <w:rsid w:val="18602A8A"/>
    <w:rsid w:val="1E6D7CAF"/>
    <w:rsid w:val="211A2370"/>
    <w:rsid w:val="21CA5B44"/>
    <w:rsid w:val="25A20B86"/>
    <w:rsid w:val="28A30E9D"/>
    <w:rsid w:val="38591578"/>
    <w:rsid w:val="3CD411CD"/>
    <w:rsid w:val="44AC2A30"/>
    <w:rsid w:val="45EC3A2B"/>
    <w:rsid w:val="4F532425"/>
    <w:rsid w:val="52220CDE"/>
    <w:rsid w:val="56606030"/>
    <w:rsid w:val="569A6B8C"/>
    <w:rsid w:val="5A403EEE"/>
    <w:rsid w:val="67F77B51"/>
    <w:rsid w:val="697D0C62"/>
    <w:rsid w:val="6BC421A4"/>
    <w:rsid w:val="723D0FE7"/>
    <w:rsid w:val="7BF81114"/>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57ebb7-be69-4f9d-b431-ac5c020d9abc}">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15</Pages>
  <Words>5665</Words>
  <Characters>6751</Characters>
  <Lines>0</Lines>
  <Paragraphs>0</Paragraphs>
  <TotalTime>23</TotalTime>
  <ScaleCrop>false</ScaleCrop>
  <LinksUpToDate>false</LinksUpToDate>
  <CharactersWithSpaces>6773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灰雨</cp:lastModifiedBy>
  <cp:lastPrinted>2024-07-30T06:24:00Z</cp:lastPrinted>
  <dcterms:modified xsi:type="dcterms:W3CDTF">2026-10-27T08:07:01Z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D45296F7F2444F3C8CDB43DA2E9FADD3</vt:lpwstr>
  </property>
  <property fmtid="{D5CDD505-2E9C-101B-9397-08002B2CF9AE}" pid="4" name="KSOTemplateDocerSaveRecord">
    <vt:lpwstr>eyJoZGlkIjoiZDgwMmMyMzhmNDBlMzM3MDc3MzliZTg4YzBlOTBlM2UiLCJ1c2VySWQiOiI2Nzc1MDk0ODEifQ==</vt:lpwstr>
  </property>
</Properties>
</file>