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8611DB">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富民县款庄中心小学</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40C56490">
      <w:pPr>
        <w:jc w:val="center"/>
        <w:rPr>
          <w:rFonts w:hint="eastAsia" w:ascii="方正小标宋简体" w:hAnsi="方正小标宋简体" w:eastAsia="方正小标宋简体" w:cs="方正小标宋简体"/>
          <w:sz w:val="36"/>
          <w:szCs w:val="36"/>
          <w:highlight w:val="none"/>
        </w:rPr>
      </w:pPr>
    </w:p>
    <w:p w14:paraId="18CE3CD9">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44ADBCC4">
      <w:pPr>
        <w:jc w:val="left"/>
        <w:rPr>
          <w:rFonts w:hint="eastAsia" w:ascii="黑体" w:hAnsi="黑体" w:eastAsia="黑体"/>
          <w:sz w:val="30"/>
          <w:szCs w:val="30"/>
          <w:highlight w:val="none"/>
        </w:rPr>
      </w:pPr>
    </w:p>
    <w:p w14:paraId="47AFF04D">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78AFB0E7">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192F9D94">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7ACEC18F">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3F181CF3">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035AEF32">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37139D18">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2187F7D1">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4696B16B">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0F6A2DA1">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63D999A8">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41F360BD">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220FA30C">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4800FB72">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1AFE9FBB">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39500487">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十一、一般公共预算财政拨款“三公”经费情况表</w:t>
      </w:r>
    </w:p>
    <w:p w14:paraId="4FB627F6">
      <w:pPr>
        <w:pStyle w:val="2"/>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十二、国有资产使用情况表</w:t>
      </w:r>
    </w:p>
    <w:p w14:paraId="2AE5E4B4">
      <w:pPr>
        <w:pStyle w:val="3"/>
        <w:ind w:left="0" w:leftChars="0" w:firstLine="0" w:firstLineChars="0"/>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十三、整体支出绩效自评情况</w:t>
      </w:r>
    </w:p>
    <w:p w14:paraId="2F9CD37E">
      <w:pPr>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十四、部门整体支出绩效自评表</w:t>
      </w:r>
    </w:p>
    <w:p w14:paraId="2B6B6F13">
      <w:pPr>
        <w:pStyle w:val="2"/>
        <w:rPr>
          <w:rFonts w:hint="eastAsia" w:ascii="楷体" w:hAnsi="楷体" w:eastAsia="楷体" w:cs="Times New Roman"/>
          <w:kern w:val="2"/>
          <w:sz w:val="30"/>
          <w:szCs w:val="30"/>
          <w:highlight w:val="none"/>
          <w:lang w:val="en-US" w:eastAsia="zh-CN" w:bidi="ar-SA"/>
        </w:rPr>
      </w:pPr>
      <w:r>
        <w:rPr>
          <w:rFonts w:hint="eastAsia" w:ascii="楷体" w:hAnsi="楷体" w:eastAsia="楷体" w:cs="Times New Roman"/>
          <w:kern w:val="2"/>
          <w:sz w:val="30"/>
          <w:szCs w:val="30"/>
          <w:highlight w:val="none"/>
          <w:lang w:val="en-US" w:eastAsia="zh-CN" w:bidi="ar-SA"/>
        </w:rPr>
        <w:t>十五、项目支出绩效自评表</w:t>
      </w:r>
    </w:p>
    <w:p w14:paraId="1E0DEF1F">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46388181">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0EB03B3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5D0A3842">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628EC537">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7CF133F3">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01DB9CCB">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573E2E73">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02E7A559">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4623F07C">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1CAFF7AE">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53B31425">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78DF7D5B">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6D4290CD">
      <w:pPr>
        <w:jc w:val="center"/>
        <w:rPr>
          <w:rFonts w:hint="eastAsia" w:ascii="黑体" w:hAnsi="黑体" w:eastAsia="黑体"/>
          <w:sz w:val="32"/>
          <w:szCs w:val="32"/>
          <w:highlight w:val="none"/>
        </w:rPr>
      </w:pPr>
    </w:p>
    <w:p w14:paraId="6EF58FF8">
      <w:pPr>
        <w:jc w:val="center"/>
        <w:rPr>
          <w:rFonts w:hint="eastAsia" w:ascii="黑体" w:hAnsi="黑体" w:eastAsia="黑体"/>
          <w:sz w:val="32"/>
          <w:szCs w:val="32"/>
          <w:highlight w:val="none"/>
        </w:rPr>
      </w:pPr>
    </w:p>
    <w:p w14:paraId="7B0B2687">
      <w:pPr>
        <w:jc w:val="center"/>
        <w:rPr>
          <w:rFonts w:hint="eastAsia" w:ascii="黑体" w:hAnsi="黑体" w:eastAsia="黑体"/>
          <w:sz w:val="32"/>
          <w:szCs w:val="32"/>
          <w:highlight w:val="none"/>
        </w:rPr>
      </w:pPr>
    </w:p>
    <w:p w14:paraId="4C669885">
      <w:pPr>
        <w:jc w:val="both"/>
        <w:rPr>
          <w:rFonts w:hint="eastAsia" w:ascii="黑体" w:hAnsi="黑体" w:eastAsia="黑体"/>
          <w:sz w:val="32"/>
          <w:szCs w:val="32"/>
          <w:highlight w:val="none"/>
        </w:rPr>
      </w:pPr>
    </w:p>
    <w:p w14:paraId="17D0102D">
      <w:pPr>
        <w:jc w:val="both"/>
        <w:rPr>
          <w:rFonts w:hint="eastAsia" w:ascii="黑体" w:hAnsi="黑体" w:eastAsia="黑体"/>
          <w:sz w:val="32"/>
          <w:szCs w:val="32"/>
          <w:highlight w:val="none"/>
        </w:rPr>
      </w:pPr>
    </w:p>
    <w:p w14:paraId="0295CB95">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53D67B23">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57939782">
      <w:pPr>
        <w:autoSpaceDE w:val="0"/>
        <w:autoSpaceDN w:val="0"/>
        <w:spacing w:line="590" w:lineRule="atLeast"/>
        <w:ind w:left="0" w:firstLine="600"/>
        <w:rPr>
          <w:rFonts w:hint="eastAsia" w:ascii="仿宋_GB2312" w:hAnsi="Calibri" w:eastAsia="仿宋_GB2312" w:cs="Times New Roman"/>
          <w:color w:val="auto"/>
          <w:sz w:val="30"/>
          <w:szCs w:val="30"/>
          <w:highlight w:val="none"/>
          <w:lang w:val="en-US" w:eastAsia="zh-CN"/>
        </w:rPr>
      </w:pPr>
      <w:r>
        <w:rPr>
          <w:rFonts w:hint="eastAsia" w:ascii="仿宋_GB2312" w:hAnsi="Calibri" w:eastAsia="仿宋_GB2312" w:cs="Times New Roman"/>
          <w:color w:val="auto"/>
          <w:sz w:val="30"/>
          <w:szCs w:val="30"/>
          <w:highlight w:val="none"/>
          <w:lang w:val="en-US" w:eastAsia="zh-CN"/>
        </w:rPr>
        <w:t>实施小学义务教育，促进基础教育发展。小学学历教育（相关社会服务）</w:t>
      </w:r>
    </w:p>
    <w:p w14:paraId="71E949A8">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173BA2CA">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16569B64">
      <w:pPr>
        <w:spacing w:line="600" w:lineRule="exact"/>
        <w:ind w:firstLine="600" w:firstLineChars="200"/>
        <w:rPr>
          <w:rFonts w:hint="eastAsia" w:ascii="仿宋_GB2312" w:hAnsi="Calibri" w:eastAsia="仿宋_GB2312"/>
          <w:sz w:val="30"/>
          <w:szCs w:val="30"/>
          <w:highlight w:val="none"/>
          <w:lang w:val="en-US" w:eastAsia="zh-CN"/>
        </w:rPr>
      </w:pPr>
      <w:r>
        <w:rPr>
          <w:rFonts w:hint="eastAsia" w:ascii="仿宋_GB2312" w:hAnsi="Calibri" w:eastAsia="仿宋_GB2312"/>
          <w:sz w:val="30"/>
          <w:szCs w:val="30"/>
          <w:highlight w:val="none"/>
          <w:lang w:val="en-US" w:eastAsia="zh-CN"/>
        </w:rPr>
        <w:t>我单位共设置5个内设机构，包括：总务处、教务处、安全科、大队部、教科室。</w:t>
      </w:r>
    </w:p>
    <w:p w14:paraId="292C86EF">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我单位为基层预算单位，无下属单位。</w:t>
      </w:r>
    </w:p>
    <w:p w14:paraId="4EE90FCD">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13725DA2">
      <w:pPr>
        <w:spacing w:line="600" w:lineRule="exact"/>
        <w:ind w:firstLine="600" w:firstLineChars="200"/>
        <w:rPr>
          <w:rFonts w:hint="eastAsia" w:ascii="仿宋_GB2312" w:hAnsi="Calibri" w:eastAsia="仿宋_GB2312"/>
          <w:sz w:val="30"/>
          <w:szCs w:val="30"/>
          <w:highlight w:val="none"/>
          <w:lang w:val="en-US" w:eastAsia="zh-CN"/>
        </w:rPr>
      </w:pPr>
      <w:r>
        <w:rPr>
          <w:rFonts w:hint="eastAsia" w:ascii="仿宋_GB2312" w:hAnsi="Calibri" w:eastAsia="仿宋_GB2312"/>
          <w:sz w:val="30"/>
          <w:szCs w:val="30"/>
          <w:highlight w:val="none"/>
          <w:lang w:val="zh-CN" w:eastAsia="zh-CN"/>
        </w:rPr>
        <w:t>我单位作为</w:t>
      </w:r>
      <w:r>
        <w:rPr>
          <w:rFonts w:hint="eastAsia" w:ascii="仿宋_GB2312" w:hAnsi="Calibri" w:eastAsia="仿宋_GB2312"/>
          <w:sz w:val="30"/>
          <w:szCs w:val="30"/>
          <w:highlight w:val="none"/>
          <w:lang w:val="en-US" w:eastAsia="zh-CN"/>
        </w:rPr>
        <w:t>富民县教育体育局的</w:t>
      </w:r>
      <w:r>
        <w:rPr>
          <w:rFonts w:hint="eastAsia" w:ascii="仿宋_GB2312" w:hAnsi="Calibri" w:eastAsia="仿宋_GB2312"/>
          <w:sz w:val="30"/>
          <w:szCs w:val="30"/>
          <w:highlight w:val="none"/>
          <w:lang w:val="zh-CN" w:eastAsia="zh-CN"/>
        </w:rPr>
        <w:t>二级预算单位</w:t>
      </w:r>
      <w:r>
        <w:rPr>
          <w:rFonts w:hint="eastAsia" w:ascii="仿宋_GB2312" w:hAnsi="Calibri" w:eastAsia="仿宋_GB2312"/>
          <w:sz w:val="30"/>
          <w:szCs w:val="30"/>
          <w:highlight w:val="none"/>
          <w:lang w:val="zh-CN"/>
        </w:rPr>
        <w:t>纳入</w:t>
      </w:r>
      <w:r>
        <w:rPr>
          <w:rFonts w:hint="eastAsia" w:ascii="仿宋_GB2312" w:hAnsi="Calibri" w:eastAsia="仿宋_GB2312"/>
          <w:sz w:val="30"/>
          <w:szCs w:val="30"/>
          <w:highlight w:val="none"/>
          <w:lang w:val="en-US" w:eastAsia="zh-CN"/>
        </w:rPr>
        <w:t>2025</w:t>
      </w:r>
      <w:r>
        <w:rPr>
          <w:rFonts w:hint="eastAsia" w:ascii="仿宋_GB2312" w:hAnsi="Calibri" w:eastAsia="仿宋_GB2312"/>
          <w:sz w:val="30"/>
          <w:szCs w:val="30"/>
          <w:highlight w:val="none"/>
          <w:lang w:val="zh-CN"/>
        </w:rPr>
        <w:t>年度部门决算编报</w:t>
      </w:r>
      <w:r>
        <w:rPr>
          <w:rFonts w:hint="eastAsia" w:ascii="仿宋_GB2312" w:hAnsi="Calibri" w:eastAsia="仿宋_GB2312"/>
          <w:sz w:val="30"/>
          <w:szCs w:val="30"/>
          <w:highlight w:val="none"/>
          <w:lang w:val="zh-CN" w:eastAsia="zh-CN"/>
        </w:rPr>
        <w:t>范围</w:t>
      </w:r>
      <w:r>
        <w:rPr>
          <w:rFonts w:hint="eastAsia" w:ascii="仿宋_GB2312" w:hAnsi="Calibri" w:eastAsia="仿宋_GB2312"/>
          <w:sz w:val="30"/>
          <w:szCs w:val="30"/>
          <w:highlight w:val="none"/>
          <w:lang w:val="zh-CN"/>
        </w:rPr>
        <w:t>。</w:t>
      </w:r>
    </w:p>
    <w:p w14:paraId="0D90760B">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2551F89E">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75</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75</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28280D07">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14:paraId="349016CA">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51</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51</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777</w:t>
      </w:r>
      <w:r>
        <w:rPr>
          <w:rFonts w:hint="eastAsia" w:ascii="仿宋_GB2312" w:hAnsi="宋体" w:eastAsia="仿宋_GB2312" w:cs="Arial"/>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17</w:t>
      </w:r>
      <w:r>
        <w:rPr>
          <w:rFonts w:hint="eastAsia" w:ascii="仿宋_GB2312" w:hAnsi="宋体" w:eastAsia="仿宋_GB2312" w:cs="Arial"/>
          <w:kern w:val="0"/>
          <w:sz w:val="30"/>
          <w:szCs w:val="30"/>
          <w:highlight w:val="none"/>
          <w:lang w:val="en-US" w:eastAsia="zh-CN"/>
        </w:rPr>
        <w:t>人。</w:t>
      </w:r>
    </w:p>
    <w:p w14:paraId="3340153D">
      <w:pPr>
        <w:spacing w:line="600" w:lineRule="exact"/>
        <w:ind w:firstLine="600" w:firstLineChars="200"/>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车辆编制0辆，在编实有车辆0辆，超编0辆。</w:t>
      </w:r>
    </w:p>
    <w:p w14:paraId="7AB1B3F2">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1FC27673">
      <w:pPr>
        <w:spacing w:line="600" w:lineRule="exact"/>
        <w:ind w:firstLine="600" w:firstLineChars="200"/>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（一）党建引领强根基</w:t>
      </w:r>
      <w:r>
        <w:rPr>
          <w:rFonts w:hint="eastAsia" w:ascii="楷体" w:hAnsi="楷体" w:eastAsia="楷体"/>
          <w:sz w:val="30"/>
          <w:szCs w:val="30"/>
          <w:highlight w:val="none"/>
          <w:lang w:val="en-US" w:eastAsia="zh-CN"/>
        </w:rPr>
        <w:t xml:space="preserve">  </w:t>
      </w:r>
      <w:r>
        <w:rPr>
          <w:rFonts w:hint="eastAsia" w:ascii="楷体" w:hAnsi="楷体" w:eastAsia="楷体"/>
          <w:sz w:val="30"/>
          <w:szCs w:val="30"/>
          <w:highlight w:val="none"/>
          <w:lang w:eastAsia="zh-CN"/>
        </w:rPr>
        <w:t>筑牢育人政治保障</w:t>
      </w:r>
    </w:p>
    <w:p w14:paraId="14E2BCCD">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eastAsia="zh-CN"/>
        </w:rPr>
        <w:t>学校领导班子始终坚持以习近平新时代中国特色社会主义思想为指导，全面加强党的建设，将党建工作与教育教学深度融合。严格落实党组织领导的校长负责制，确保学校重大决策方向正确。扎实开展理论学习，理论集中学习延伸至完小例会，深入推进党纪学习教育和中央八项规定精神学习教育，提升学习教育实效。通过“调优扩先提中治软”行动，学校党支部已退出中间支部行列。落实意识形态工作责任制，开展专项整治，严格执行阵地管理和信息发布“三校三审”制度，全年无重大舆情发生。加强家校社协同育人“教联体”建设，实行全员家访制，加强与属地社区、政府的沟通联系，家校社协同育人成效凸显，学生学业质量显著提升。健全制度，完善学校治理体系建设，修订完善学校管理制度</w:t>
      </w:r>
      <w:r>
        <w:rPr>
          <w:rFonts w:hint="eastAsia" w:ascii="仿宋_GB2312" w:hAnsi="宋体" w:eastAsia="仿宋_GB2312" w:cs="Arial"/>
          <w:kern w:val="0"/>
          <w:sz w:val="30"/>
          <w:szCs w:val="30"/>
          <w:highlight w:val="none"/>
          <w:lang w:val="en-US" w:eastAsia="zh-CN"/>
        </w:rPr>
        <w:t>80余个</w:t>
      </w:r>
      <w:r>
        <w:rPr>
          <w:rFonts w:hint="eastAsia" w:ascii="仿宋_GB2312" w:hAnsi="宋体" w:eastAsia="仿宋_GB2312" w:cs="Arial"/>
          <w:kern w:val="0"/>
          <w:sz w:val="30"/>
          <w:szCs w:val="30"/>
          <w:highlight w:val="none"/>
          <w:lang w:eastAsia="zh-CN"/>
        </w:rPr>
        <w:t>，完成巡视巡察反馈问题整改12项，推进“清廉学校”建设。</w:t>
      </w:r>
    </w:p>
    <w:p w14:paraId="2187DED0">
      <w:pPr>
        <w:spacing w:line="600" w:lineRule="exact"/>
        <w:ind w:firstLine="600" w:firstLineChars="200"/>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（二）德育为先培育新人</w:t>
      </w:r>
      <w:r>
        <w:rPr>
          <w:rFonts w:hint="eastAsia" w:ascii="楷体" w:hAnsi="楷体" w:eastAsia="楷体"/>
          <w:sz w:val="30"/>
          <w:szCs w:val="30"/>
          <w:highlight w:val="none"/>
          <w:lang w:val="en-US" w:eastAsia="zh-CN"/>
        </w:rPr>
        <w:t xml:space="preserve">  </w:t>
      </w:r>
      <w:r>
        <w:rPr>
          <w:rFonts w:hint="eastAsia" w:ascii="楷体" w:hAnsi="楷体" w:eastAsia="楷体"/>
          <w:sz w:val="30"/>
          <w:szCs w:val="30"/>
          <w:highlight w:val="none"/>
          <w:lang w:eastAsia="zh-CN"/>
        </w:rPr>
        <w:t>构建全方位育人体系</w:t>
      </w:r>
    </w:p>
    <w:p w14:paraId="1D254BF3">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eastAsia="zh-CN"/>
        </w:rPr>
        <w:t>落实立德树人根本任务，构建全方位、多层次的德育体系。加强教师思想政治与师德师风建设，开展专题培训4次、每学期开学典礼进行师德师风宣誓、签订师德师风承诺书75份，开展教师职业道德考核，考核优秀率达100%，树立师德标兵2名，未发生师德失范行为。完善德育体系构建，围绕重要节日、纪念日，常态化开展主题队会、升旗仪式等活动。融入传统文化、红色教育等内容。强化学生行为规范养成，开展行为规范教育周活动2次，举办一年级“开笔礼”和六年级“毕业礼”特色活动，加强心理健康教育，配备兼职心理教师29名，心理咨询室每周开放5天，开设每两周1课时的心理健康课程，组织专题讲座4次。</w:t>
      </w:r>
    </w:p>
    <w:p w14:paraId="51471038">
      <w:pPr>
        <w:spacing w:line="600" w:lineRule="exact"/>
        <w:ind w:firstLine="600" w:firstLineChars="200"/>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（三）精细管理提效能</w:t>
      </w:r>
      <w:r>
        <w:rPr>
          <w:rFonts w:hint="eastAsia" w:ascii="楷体" w:hAnsi="楷体" w:eastAsia="楷体"/>
          <w:sz w:val="30"/>
          <w:szCs w:val="30"/>
          <w:highlight w:val="none"/>
          <w:lang w:val="en-US" w:eastAsia="zh-CN"/>
        </w:rPr>
        <w:t xml:space="preserve">  </w:t>
      </w:r>
      <w:r>
        <w:rPr>
          <w:rFonts w:hint="eastAsia" w:ascii="楷体" w:hAnsi="楷体" w:eastAsia="楷体"/>
          <w:sz w:val="30"/>
          <w:szCs w:val="30"/>
          <w:highlight w:val="none"/>
          <w:lang w:eastAsia="zh-CN"/>
        </w:rPr>
        <w:t>保障学校有序发展</w:t>
      </w:r>
    </w:p>
    <w:p w14:paraId="70EC1B9D">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eastAsia="zh-CN"/>
        </w:rPr>
        <w:t>深化教育领域综合改革，围绕“好校长、好老师、好机制、好品牌”目标推进工作，本学年入学率和巩固率均达100%。严格执行“双减”和“五项管理”规定，未发生任何违纪违规情况。落实义务教育招生政策，坚持“免试、就近或相对就近入学”原则，妥善安置外来务工随迁子女和现役军人子女就学。为合理配置教育资源，广泛征求家长意见建议，和平小学、青平小学一年级并入马街小学就读。</w:t>
      </w:r>
    </w:p>
    <w:p w14:paraId="02A4144B">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eastAsia="zh-CN"/>
        </w:rPr>
        <w:t>高度重视教师培训工作，组织教师参加“国培”、“五华跟岗”等各级各类培训，同时积极开展与五华区红云小学的结对帮扶。扎实推进控辍保学工作，成立专项领导小组，落实“双线十人制”，制定“一生一案”送教上门方案，实现三类人员适龄儿童少年零辍学。</w:t>
      </w:r>
    </w:p>
    <w:p w14:paraId="5A87E01A">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eastAsia="zh-CN"/>
        </w:rPr>
        <w:t>严格规范经费与物资管理，按照年度公用经费预算总额的10%专项安排教师培训经费，严格执行集体议事决策制度，公开透明经费使用情况，确保无任何违规收费行为；全面落实教育惠民工程，营养改善计划、家庭经济困难学生资助等政策落实率均达100%；有序推进校舍修缮工程，保障校园设施安全完好。</w:t>
      </w:r>
    </w:p>
    <w:p w14:paraId="698F9DB3">
      <w:pPr>
        <w:spacing w:line="600" w:lineRule="exact"/>
        <w:ind w:firstLine="600" w:firstLineChars="200"/>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（四）教学为核促提升</w:t>
      </w:r>
      <w:r>
        <w:rPr>
          <w:rFonts w:hint="eastAsia" w:ascii="楷体" w:hAnsi="楷体" w:eastAsia="楷体"/>
          <w:sz w:val="30"/>
          <w:szCs w:val="30"/>
          <w:highlight w:val="none"/>
          <w:lang w:val="en-US" w:eastAsia="zh-CN"/>
        </w:rPr>
        <w:t xml:space="preserve">  </w:t>
      </w:r>
      <w:r>
        <w:rPr>
          <w:rFonts w:hint="eastAsia" w:ascii="楷体" w:hAnsi="楷体" w:eastAsia="楷体"/>
          <w:sz w:val="30"/>
          <w:szCs w:val="30"/>
          <w:highlight w:val="none"/>
          <w:lang w:eastAsia="zh-CN"/>
        </w:rPr>
        <w:t>深化教育教学改革</w:t>
      </w:r>
    </w:p>
    <w:p w14:paraId="02B61573">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eastAsia="zh-CN"/>
        </w:rPr>
        <w:t>狠抓教学管理与改革，全面提升教育教学质量。规范教学计划与课程实施，严格执行国家课程方案，确保开齐开足各类课程，全年开展课程实施情况专项检查4次，积极探索“本真”校本课程体系建设。</w:t>
      </w:r>
    </w:p>
    <w:p w14:paraId="68E7B1AC">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eastAsia="zh-CN"/>
        </w:rPr>
        <w:t>强化教学常规管理，建立月度检查制度，将备课、上课等关键教学环节纳入教师考核体系；常态化开展听评课活动，人均听课达20节；创新引入“AI教研员”系统，构建教师专业发展新模式；规范考试管理，有序组织各类质量监测并做好数据分析与应用。</w:t>
      </w:r>
    </w:p>
    <w:p w14:paraId="1ACE94EF">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eastAsia="zh-CN"/>
        </w:rPr>
        <w:t>加强教研科研工作，成立12个学科教研组，开展集体备课、专题研讨活动48次；市级小课题《农村小学语文高段古诗词群文阅读教学研究与策略》以”优秀”等次顺利结题；积极组织教师参加各级教学竞赛，获县级以上奖项2人次。</w:t>
      </w:r>
    </w:p>
    <w:p w14:paraId="2E0D6B92">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eastAsia="zh-CN"/>
        </w:rPr>
        <w:t>开足开齐体育课程，积极开展阳光体育运动和晨跑活动，定期召开学生运动会，完善体育器材管理，落实体育教师待遇，组织学生体质健康测试、健康体检和视力测试。</w:t>
      </w:r>
    </w:p>
    <w:p w14:paraId="4DA7A712">
      <w:pPr>
        <w:spacing w:line="600" w:lineRule="exact"/>
        <w:ind w:firstLine="600" w:firstLineChars="200"/>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（五）安全第一守底线</w:t>
      </w:r>
      <w:r>
        <w:rPr>
          <w:rFonts w:hint="eastAsia" w:ascii="楷体" w:hAnsi="楷体" w:eastAsia="楷体"/>
          <w:sz w:val="30"/>
          <w:szCs w:val="30"/>
          <w:highlight w:val="none"/>
          <w:lang w:val="en-US" w:eastAsia="zh-CN"/>
        </w:rPr>
        <w:t xml:space="preserve"> </w:t>
      </w:r>
      <w:r>
        <w:rPr>
          <w:rFonts w:hint="eastAsia" w:ascii="楷体" w:hAnsi="楷体" w:eastAsia="楷体"/>
          <w:sz w:val="30"/>
          <w:szCs w:val="30"/>
          <w:highlight w:val="none"/>
          <w:lang w:eastAsia="zh-CN"/>
        </w:rPr>
        <w:t>筑牢校园安全防线</w:t>
      </w:r>
    </w:p>
    <w:p w14:paraId="613C84AE">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eastAsia="zh-CN"/>
        </w:rPr>
        <w:t>始终坚持“安全第一</w:t>
      </w:r>
      <w:r>
        <w:rPr>
          <w:rFonts w:hint="eastAsia" w:ascii="仿宋_GB2312" w:hAnsi="宋体" w:eastAsia="仿宋_GB2312" w:cs="Arial"/>
          <w:kern w:val="0"/>
          <w:sz w:val="30"/>
          <w:szCs w:val="30"/>
          <w:highlight w:val="none"/>
          <w:lang w:val="en-US" w:eastAsia="zh-CN"/>
        </w:rPr>
        <w:t xml:space="preserve"> </w:t>
      </w:r>
      <w:r>
        <w:rPr>
          <w:rFonts w:hint="eastAsia" w:ascii="仿宋_GB2312" w:hAnsi="宋体" w:eastAsia="仿宋_GB2312" w:cs="Arial"/>
          <w:kern w:val="0"/>
          <w:sz w:val="30"/>
          <w:szCs w:val="30"/>
          <w:highlight w:val="none"/>
          <w:lang w:eastAsia="zh-CN"/>
        </w:rPr>
        <w:t>预防为主”的工作理念，全力筑牢校园安全防线。健全安全管理组织体系，成立安全工作领导小组，明确分工、责任到人，形成全校齐抓共管的安全工作格局。加强安全隐患排查整治，牢固树立“隐患就是事故”的理念，常态化开展排查治理工作。完善安全管理制度体系，制定和完善各类安全方案、应急预案，确保各项安全措施落实到位。强化安全教育宣传，充分利用国旗下讲话、班队会等形式，开展交通安全、防溺水、预防野生菌中毒等专题教育活动；严格落实1530安全教育制度，深入推进法制教育进校园、进课堂，有效提升师生自我保护能力和法制意识。全年无涉生涉校重大安全事故发生，校园平安稳定。</w:t>
      </w:r>
    </w:p>
    <w:p w14:paraId="381D789A">
      <w:pPr>
        <w:spacing w:line="600" w:lineRule="exact"/>
        <w:ind w:firstLine="600" w:firstLineChars="200"/>
        <w:jc w:val="left"/>
        <w:rPr>
          <w:rFonts w:hint="eastAsia" w:ascii="仿宋_GB2312" w:hAnsi="宋体" w:eastAsia="仿宋_GB2312" w:cs="Arial"/>
          <w:kern w:val="0"/>
          <w:sz w:val="30"/>
          <w:szCs w:val="30"/>
          <w:highlight w:val="none"/>
        </w:rPr>
      </w:pPr>
    </w:p>
    <w:p w14:paraId="543E8BE9">
      <w:pPr>
        <w:spacing w:line="600" w:lineRule="exact"/>
        <w:ind w:firstLine="600" w:firstLineChars="200"/>
        <w:jc w:val="left"/>
        <w:rPr>
          <w:rFonts w:hint="eastAsia" w:ascii="仿宋_GB2312" w:hAnsi="宋体" w:eastAsia="仿宋_GB2312" w:cs="Arial"/>
          <w:kern w:val="0"/>
          <w:sz w:val="30"/>
          <w:szCs w:val="30"/>
          <w:highlight w:val="none"/>
        </w:rPr>
      </w:pPr>
    </w:p>
    <w:p w14:paraId="754C0A13">
      <w:pPr>
        <w:spacing w:line="600" w:lineRule="exact"/>
        <w:ind w:firstLine="600" w:firstLineChars="200"/>
        <w:jc w:val="left"/>
        <w:rPr>
          <w:rFonts w:hint="eastAsia" w:ascii="仿宋_GB2312" w:hAnsi="宋体" w:eastAsia="仿宋_GB2312" w:cs="Arial"/>
          <w:kern w:val="0"/>
          <w:sz w:val="30"/>
          <w:szCs w:val="30"/>
          <w:highlight w:val="none"/>
        </w:rPr>
      </w:pPr>
    </w:p>
    <w:p w14:paraId="4BDB896A">
      <w:pPr>
        <w:spacing w:line="600" w:lineRule="exact"/>
        <w:ind w:firstLine="600" w:firstLineChars="200"/>
        <w:jc w:val="left"/>
        <w:rPr>
          <w:rFonts w:hint="eastAsia" w:ascii="仿宋_GB2312" w:hAnsi="宋体" w:eastAsia="仿宋_GB2312" w:cs="Arial"/>
          <w:kern w:val="0"/>
          <w:sz w:val="30"/>
          <w:szCs w:val="30"/>
          <w:highlight w:val="none"/>
        </w:rPr>
      </w:pPr>
    </w:p>
    <w:p w14:paraId="6090CB15">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7383770D">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0162D358">
      <w:pPr>
        <w:spacing w:line="600" w:lineRule="exact"/>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本单位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lang w:eastAsia="zh-CN"/>
        </w:rPr>
        <w:t>年度无国有资本经营预算财政拨款收入，《国有资本经营预算财政拨款收入支出决算表》为空表。</w:t>
      </w:r>
    </w:p>
    <w:p w14:paraId="38D2B7C1">
      <w:pPr>
        <w:spacing w:line="600" w:lineRule="exact"/>
        <w:ind w:firstLine="600" w:firstLineChars="200"/>
        <w:rPr>
          <w:rFonts w:hint="eastAsia" w:ascii="仿宋_GB2312" w:hAnsi="仿宋_GB2312" w:eastAsia="仿宋_GB2312" w:cs="仿宋_GB2312"/>
          <w:b w:val="0"/>
          <w:bCs w:val="0"/>
          <w:color w:val="auto"/>
          <w:sz w:val="30"/>
          <w:szCs w:val="30"/>
          <w:highlight w:val="none"/>
          <w:u w:val="none"/>
          <w:lang w:val="en-US" w:eastAsia="zh-CN"/>
        </w:rPr>
      </w:pPr>
      <w:r>
        <w:rPr>
          <w:rFonts w:hint="eastAsia" w:ascii="仿宋_GB2312" w:hAnsi="仿宋_GB2312" w:eastAsia="仿宋_GB2312" w:cs="仿宋_GB2312"/>
          <w:b w:val="0"/>
          <w:bCs w:val="0"/>
          <w:color w:val="auto"/>
          <w:sz w:val="30"/>
          <w:szCs w:val="30"/>
          <w:highlight w:val="none"/>
          <w:u w:val="none"/>
          <w:lang w:val="en-US" w:eastAsia="zh-CN"/>
        </w:rPr>
        <w:t>本单位2025年度无政府性基金预算财政拨款收入，《政府性基金预算财政拨款收入支出决算表》为空表。</w:t>
      </w:r>
    </w:p>
    <w:p w14:paraId="6199645C">
      <w:pPr>
        <w:spacing w:line="600" w:lineRule="exact"/>
        <w:ind w:firstLine="600" w:firstLineChars="200"/>
        <w:jc w:val="left"/>
        <w:rPr>
          <w:rFonts w:hint="eastAsia" w:ascii="仿宋_GB2312" w:hAnsi="仿宋_GB2312" w:eastAsia="仿宋_GB2312" w:cs="仿宋_GB2312"/>
          <w:b w:val="0"/>
          <w:bCs w:val="0"/>
          <w:color w:val="auto"/>
          <w:sz w:val="30"/>
          <w:szCs w:val="30"/>
          <w:highlight w:val="none"/>
          <w:u w:val="none"/>
          <w:lang w:val="en-US" w:eastAsia="zh-CN"/>
        </w:rPr>
      </w:pPr>
      <w:r>
        <w:rPr>
          <w:rFonts w:hint="eastAsia" w:ascii="仿宋_GB2312" w:hAnsi="仿宋_GB2312" w:eastAsia="仿宋_GB2312" w:cs="仿宋_GB2312"/>
          <w:b w:val="0"/>
          <w:bCs w:val="0"/>
          <w:color w:val="auto"/>
          <w:sz w:val="30"/>
          <w:szCs w:val="30"/>
          <w:highlight w:val="none"/>
          <w:u w:val="none"/>
          <w:lang w:val="en-US" w:eastAsia="zh-CN"/>
        </w:rPr>
        <w:t>本单位2025年无财政拨款“三公”经费、行政参公单位机关运行经费，《财政拨款“三公”经费、行政参公单位机关运行经费情况表》为空表。</w:t>
      </w:r>
    </w:p>
    <w:p w14:paraId="53482DFB">
      <w:pPr>
        <w:spacing w:line="600" w:lineRule="exact"/>
        <w:ind w:firstLine="600" w:firstLineChars="200"/>
        <w:jc w:val="left"/>
        <w:rPr>
          <w:rFonts w:hint="eastAsia" w:ascii="仿宋_GB2312" w:hAnsi="仿宋_GB2312" w:eastAsia="仿宋_GB2312" w:cs="仿宋_GB2312"/>
          <w:b w:val="0"/>
          <w:bCs w:val="0"/>
          <w:color w:val="auto"/>
          <w:sz w:val="30"/>
          <w:szCs w:val="30"/>
          <w:highlight w:val="none"/>
          <w:u w:val="none"/>
          <w:lang w:val="en-US" w:eastAsia="zh-CN"/>
        </w:rPr>
      </w:pPr>
      <w:r>
        <w:rPr>
          <w:rFonts w:hint="eastAsia" w:ascii="仿宋_GB2312" w:hAnsi="仿宋_GB2312" w:eastAsia="仿宋_GB2312" w:cs="仿宋_GB2312"/>
          <w:b w:val="0"/>
          <w:bCs w:val="0"/>
          <w:color w:val="auto"/>
          <w:sz w:val="30"/>
          <w:szCs w:val="30"/>
          <w:highlight w:val="none"/>
          <w:u w:val="none"/>
          <w:lang w:val="en-US" w:eastAsia="zh-CN"/>
        </w:rPr>
        <w:t>本单位2025年无一般公共预算财政拨款“三公”经费，《一般公共预算财政拨款“三公”经费情况表》为空表。</w:t>
      </w:r>
    </w:p>
    <w:p w14:paraId="52B82624">
      <w:pPr>
        <w:spacing w:line="600" w:lineRule="exact"/>
        <w:ind w:firstLine="600" w:firstLineChars="200"/>
        <w:jc w:val="left"/>
        <w:rPr>
          <w:rFonts w:hint="eastAsia" w:ascii="仿宋_GB2312" w:eastAsia="仿宋_GB2312"/>
          <w:sz w:val="30"/>
          <w:szCs w:val="30"/>
          <w:highlight w:val="none"/>
          <w:lang w:eastAsia="zh-CN"/>
        </w:rPr>
      </w:pPr>
    </w:p>
    <w:p w14:paraId="009B5656">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49B4EF6E">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4E8A14DD">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富民县款庄中心小学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19418269.31</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18488362.42</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95.21</w:t>
      </w:r>
      <w:r>
        <w:rPr>
          <w:rFonts w:hint="eastAsia" w:ascii="仿宋_GB2312" w:eastAsia="仿宋_GB2312"/>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%；事业收入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929906.89</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4.79</w:t>
      </w:r>
      <w:r>
        <w:rPr>
          <w:rFonts w:hint="eastAsia" w:ascii="仿宋_GB2312" w:eastAsia="仿宋_GB2312"/>
          <w:sz w:val="30"/>
          <w:szCs w:val="30"/>
          <w:highlight w:val="none"/>
        </w:rPr>
        <w:t>%。</w:t>
      </w:r>
    </w:p>
    <w:p w14:paraId="1F47947D">
      <w:pPr>
        <w:widowControl/>
        <w:snapToGrid w:val="0"/>
        <w:spacing w:before="100" w:after="100" w:line="600" w:lineRule="exact"/>
        <w:ind w:firstLine="538"/>
        <w:jc w:val="left"/>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3190947.77</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14.11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4119413.35</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18.22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事业收入；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经营收入；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附属单位上缴收入；其他收入增加</w:t>
      </w:r>
      <w:r>
        <w:rPr>
          <w:rFonts w:hint="eastAsia" w:ascii="仿宋_GB2312" w:hAnsi="仿宋_GB2312" w:eastAsia="仿宋_GB2312" w:cs="仿宋_GB2312"/>
          <w:color w:val="auto"/>
          <w:sz w:val="30"/>
          <w:lang w:val="zh-CN"/>
        </w:rPr>
        <w:t>928465.58</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64418.17</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。主要原因是</w:t>
      </w:r>
      <w:r>
        <w:rPr>
          <w:rFonts w:hint="eastAsia" w:ascii="仿宋_GB2312" w:eastAsia="仿宋_GB2312"/>
          <w:sz w:val="30"/>
          <w:szCs w:val="30"/>
          <w:highlight w:val="none"/>
          <w:lang w:val="en-US" w:eastAsia="zh-CN"/>
        </w:rPr>
        <w:t>2025年</w:t>
      </w:r>
      <w:r>
        <w:rPr>
          <w:rFonts w:hint="eastAsia" w:ascii="仿宋_GB2312" w:eastAsia="仿宋_GB2312"/>
          <w:sz w:val="30"/>
          <w:szCs w:val="30"/>
          <w:highlight w:val="none"/>
          <w:lang w:eastAsia="zh-CN"/>
        </w:rPr>
        <w:t>学校项目减少，项目支出减少。维修维护等减少，公用经费减少。退休4人，调出7人，调入5人，合计减少6人，人员经费减少，</w:t>
      </w:r>
      <w:r>
        <w:rPr>
          <w:rFonts w:hint="eastAsia" w:ascii="仿宋_GB2312" w:eastAsia="仿宋_GB2312"/>
          <w:sz w:val="30"/>
          <w:szCs w:val="30"/>
          <w:highlight w:val="none"/>
          <w:lang w:val="en-US" w:eastAsia="zh-CN"/>
        </w:rPr>
        <w:t>总</w:t>
      </w:r>
      <w:r>
        <w:rPr>
          <w:rFonts w:hint="eastAsia" w:ascii="仿宋_GB2312" w:eastAsia="仿宋_GB2312"/>
          <w:sz w:val="30"/>
          <w:szCs w:val="30"/>
          <w:highlight w:val="none"/>
          <w:lang w:eastAsia="zh-CN"/>
        </w:rPr>
        <w:t>收入减少。</w:t>
      </w:r>
    </w:p>
    <w:p w14:paraId="205EA136">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61CEE15A">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富民县款庄中心小学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19418269.31</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16957940.59</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87.33</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2460328.72</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12.67</w:t>
      </w:r>
      <w:r>
        <w:rPr>
          <w:rFonts w:hint="eastAsia" w:ascii="仿宋_GB2312" w:hAnsi="宋体" w:eastAsia="仿宋_GB2312" w:cs="Arial"/>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w:t>
      </w:r>
    </w:p>
    <w:p w14:paraId="6614B7D3">
      <w:pPr>
        <w:widowControl/>
        <w:snapToGrid w:val="0"/>
        <w:spacing w:before="100" w:after="100" w:line="600" w:lineRule="exact"/>
        <w:ind w:firstLine="538"/>
        <w:jc w:val="left"/>
        <w:rPr>
          <w:rFonts w:hint="eastAsia" w:ascii="仿宋_GB2312" w:eastAsia="仿宋_GB2312"/>
          <w:color w:val="FF0000"/>
          <w:sz w:val="30"/>
          <w:szCs w:val="30"/>
          <w:highlight w:val="none"/>
          <w:lang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3190947.77</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14.11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237003.73</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1.38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2953944.04</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-54.56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上缴上级支出；</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经营支出；</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对附属单位补助支出，</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2025年</w:t>
      </w:r>
      <w:r>
        <w:rPr>
          <w:rFonts w:hint="eastAsia" w:ascii="仿宋_GB2312" w:eastAsia="仿宋_GB2312"/>
          <w:sz w:val="30"/>
          <w:szCs w:val="30"/>
          <w:highlight w:val="none"/>
          <w:lang w:eastAsia="zh-CN"/>
        </w:rPr>
        <w:t>学校项目减少，项目支出减少。维修维护等</w:t>
      </w:r>
      <w:r>
        <w:rPr>
          <w:rFonts w:hint="eastAsia" w:ascii="仿宋_GB2312" w:eastAsia="仿宋_GB2312"/>
          <w:sz w:val="30"/>
          <w:szCs w:val="30"/>
          <w:highlight w:val="none"/>
          <w:lang w:val="en-US" w:eastAsia="zh-CN"/>
        </w:rPr>
        <w:t>支出</w:t>
      </w:r>
      <w:r>
        <w:rPr>
          <w:rFonts w:hint="eastAsia" w:ascii="仿宋_GB2312" w:eastAsia="仿宋_GB2312"/>
          <w:sz w:val="30"/>
          <w:szCs w:val="30"/>
          <w:highlight w:val="none"/>
          <w:lang w:eastAsia="zh-CN"/>
        </w:rPr>
        <w:t>减少，公用经费减少。退休4人，调出7人，调入5人，合计减少6人，人员经费</w:t>
      </w:r>
      <w:r>
        <w:rPr>
          <w:rFonts w:hint="eastAsia" w:ascii="仿宋_GB2312" w:eastAsia="仿宋_GB2312"/>
          <w:sz w:val="30"/>
          <w:szCs w:val="30"/>
          <w:highlight w:val="none"/>
          <w:lang w:val="en-US" w:eastAsia="zh-CN"/>
        </w:rPr>
        <w:t>支出</w:t>
      </w:r>
      <w:r>
        <w:rPr>
          <w:rFonts w:hint="eastAsia" w:ascii="仿宋_GB2312" w:eastAsia="仿宋_GB2312"/>
          <w:sz w:val="30"/>
          <w:szCs w:val="30"/>
          <w:highlight w:val="none"/>
          <w:lang w:eastAsia="zh-CN"/>
        </w:rPr>
        <w:t>减少，</w:t>
      </w:r>
      <w:r>
        <w:rPr>
          <w:rFonts w:hint="eastAsia" w:ascii="仿宋_GB2312" w:eastAsia="仿宋_GB2312"/>
          <w:sz w:val="30"/>
          <w:szCs w:val="30"/>
          <w:highlight w:val="none"/>
          <w:lang w:val="en-US" w:eastAsia="zh-CN"/>
        </w:rPr>
        <w:t>总支出</w:t>
      </w:r>
      <w:r>
        <w:rPr>
          <w:rFonts w:hint="eastAsia" w:ascii="仿宋_GB2312" w:eastAsia="仿宋_GB2312"/>
          <w:sz w:val="30"/>
          <w:szCs w:val="30"/>
          <w:highlight w:val="none"/>
          <w:lang w:eastAsia="zh-CN"/>
        </w:rPr>
        <w:t>减少。</w:t>
      </w:r>
    </w:p>
    <w:p w14:paraId="4550DDAF">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24133BFA">
      <w:pPr>
        <w:widowControl/>
        <w:snapToGrid w:val="0"/>
        <w:spacing w:before="100" w:after="100" w:line="600" w:lineRule="exact"/>
        <w:ind w:firstLine="538"/>
        <w:jc w:val="left"/>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富民县款庄中心小学</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16957940.59</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16764809.38</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98.86</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193131.21</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1.14</w:t>
      </w:r>
      <w:r>
        <w:rPr>
          <w:rFonts w:hint="eastAsia" w:ascii="仿宋_GB2312" w:hAnsi="仿宋_GB2312" w:eastAsia="仿宋_GB2312" w:cs="仿宋_GB2312"/>
          <w:sz w:val="30"/>
          <w:szCs w:val="30"/>
          <w:highlight w:val="none"/>
        </w:rPr>
        <w:t>％。</w:t>
      </w:r>
    </w:p>
    <w:p w14:paraId="03DCF99D">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280EAFF4">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富民县款庄中心小学</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2460328.72</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7126C76B">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hAnsi="Calibri" w:eastAsia="仿宋_GB2312" w:cs="Times New Roman"/>
          <w:color w:val="auto"/>
          <w:kern w:val="2"/>
          <w:sz w:val="30"/>
          <w:szCs w:val="30"/>
          <w:highlight w:val="none"/>
          <w:lang w:val="en-US" w:eastAsia="zh-CN" w:bidi="ar-SA"/>
        </w:rPr>
        <w:t>城乡义务教育公用经费</w:t>
      </w:r>
      <w:r>
        <w:rPr>
          <w:rFonts w:hint="eastAsia" w:ascii="仿宋_GB2312" w:hAnsi="仿宋_GB2312" w:eastAsia="仿宋_GB2312" w:cs="仿宋_GB2312"/>
          <w:color w:val="auto"/>
          <w:sz w:val="30"/>
          <w:lang w:val="en-US" w:eastAsia="zh-CN"/>
        </w:rPr>
        <w:t>456296.68</w:t>
      </w:r>
      <w:r>
        <w:rPr>
          <w:rFonts w:hint="eastAsia" w:ascii="仿宋_GB2312" w:hAnsi="Calibri" w:eastAsia="仿宋_GB2312" w:cs="Times New Roman"/>
          <w:color w:val="auto"/>
          <w:kern w:val="2"/>
          <w:sz w:val="30"/>
          <w:szCs w:val="30"/>
          <w:highlight w:val="none"/>
          <w:lang w:val="en-US" w:eastAsia="zh-CN" w:bidi="ar-SA"/>
        </w:rPr>
        <w:t>元，主要用于办公费、维修维护费、水费、电费、培训费、差旅费、委托业务费、物业管理费等费用支出。</w:t>
      </w:r>
    </w:p>
    <w:p w14:paraId="793D63D6">
      <w:pPr>
        <w:widowControl/>
        <w:snapToGrid w:val="0"/>
        <w:spacing w:before="100" w:after="100" w:line="600" w:lineRule="exact"/>
        <w:ind w:firstLine="538"/>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家庭经济困难学生生活补助经费386250.00元，主要用于义务教育家庭经济困难学生生活补助。</w:t>
      </w:r>
    </w:p>
    <w:p w14:paraId="0B61FE9A">
      <w:pPr>
        <w:widowControl/>
        <w:snapToGrid w:val="0"/>
        <w:spacing w:before="100" w:after="100" w:line="600" w:lineRule="exact"/>
        <w:ind w:firstLine="538"/>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城乡义务教育学生营养改善计划补助经费677325.15元，主要用于学生营养改善计划补助支出。</w:t>
      </w:r>
    </w:p>
    <w:p w14:paraId="513256C3">
      <w:pPr>
        <w:widowControl/>
        <w:snapToGrid w:val="0"/>
        <w:spacing w:before="100" w:after="100" w:line="600" w:lineRule="exact"/>
        <w:ind w:firstLine="538"/>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公办学校食堂大宗物资采购专项资金919906.89元，主要用于学生生活餐食材费支出。</w:t>
      </w:r>
    </w:p>
    <w:p w14:paraId="443BD388">
      <w:pPr>
        <w:widowControl/>
        <w:snapToGrid w:val="0"/>
        <w:spacing w:before="100" w:after="100" w:line="600" w:lineRule="exact"/>
        <w:ind w:firstLine="538"/>
        <w:jc w:val="left"/>
        <w:rPr>
          <w:rFonts w:hint="default"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学前教育家庭经济困难学生资助专项资金20550.00元，主要用于学前教育家庭经济困难学生生活补助。</w:t>
      </w:r>
      <w:bookmarkStart w:id="0" w:name="_GoBack"/>
      <w:bookmarkEnd w:id="0"/>
    </w:p>
    <w:p w14:paraId="2E6F8123">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684308BF">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16680472">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富民县款庄中心小学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18488362.42</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95.21</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减少</w:t>
      </w:r>
      <w:r>
        <w:rPr>
          <w:rFonts w:hint="eastAsia" w:ascii="仿宋_GB2312" w:hAnsi="仿宋_GB2312" w:eastAsia="仿宋_GB2312" w:cs="仿宋_GB2312"/>
          <w:color w:val="auto"/>
          <w:kern w:val="0"/>
          <w:sz w:val="30"/>
          <w:lang w:val="zh-CN"/>
        </w:rPr>
        <w:t>4119413.35</w:t>
      </w:r>
      <w:r>
        <w:rPr>
          <w:rFonts w:hint="eastAsia" w:ascii="仿宋_GB2312" w:hAnsi="宋体" w:eastAsia="仿宋_GB2312" w:cs="Arial"/>
          <w:kern w:val="0"/>
          <w:sz w:val="30"/>
          <w:szCs w:val="30"/>
          <w:highlight w:val="none"/>
        </w:rPr>
        <w:t>元，下降</w:t>
      </w:r>
      <w:r>
        <w:rPr>
          <w:rFonts w:hint="eastAsia" w:ascii="仿宋_GB2312" w:hAnsi="仿宋_GB2312" w:eastAsia="仿宋_GB2312" w:cs="仿宋_GB2312"/>
          <w:color w:val="auto"/>
          <w:kern w:val="0"/>
          <w:sz w:val="30"/>
          <w:lang w:val="zh-CN"/>
        </w:rPr>
        <w:t>18.22</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106.76</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14:paraId="1849DB75">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3A35FD9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51FF067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5C3F1652">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566C466E">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4EA96E24">
      <w:pPr>
        <w:widowControl/>
        <w:snapToGrid w:val="0"/>
        <w:spacing w:before="100" w:after="100" w:line="360" w:lineRule="auto"/>
        <w:ind w:firstLine="600" w:firstLineChars="200"/>
        <w:jc w:val="left"/>
        <w:rPr>
          <w:rFonts w:hint="default" w:ascii="仿宋_GB2312" w:hAnsi="宋体" w:eastAsia="仿宋_GB2312" w:cs="Arial"/>
          <w:kern w:val="0"/>
          <w:sz w:val="30"/>
          <w:szCs w:val="30"/>
          <w:highlight w:val="none"/>
          <w:lang w:val="en-US"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13954575.98</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75.48</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112.24</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主要用于主要用于</w:t>
      </w:r>
      <w:r>
        <w:rPr>
          <w:rFonts w:hint="eastAsia" w:ascii="仿宋_GB2312" w:hAnsi="宋体" w:eastAsia="仿宋_GB2312" w:cs="Arial"/>
          <w:color w:val="auto"/>
          <w:kern w:val="0"/>
          <w:sz w:val="30"/>
          <w:szCs w:val="30"/>
          <w:highlight w:val="none"/>
          <w:lang w:val="en-US" w:eastAsia="zh-CN" w:bidi="ar-SA"/>
        </w:rPr>
        <w:t>工资福利支出、商品服务支出、对个人和家庭的补助</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lang w:val="en-US" w:eastAsia="zh-CN"/>
        </w:rPr>
        <w:t>2025年职工工资调标，补发2024年7月-2025年1月工资。</w:t>
      </w:r>
    </w:p>
    <w:p w14:paraId="2EB9580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71CED98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770E955E">
      <w:pPr>
        <w:widowControl/>
        <w:snapToGrid w:val="0"/>
        <w:spacing w:before="100" w:after="100" w:line="360" w:lineRule="auto"/>
        <w:ind w:firstLine="600" w:firstLineChars="200"/>
        <w:jc w:val="left"/>
        <w:rPr>
          <w:rFonts w:hint="eastAsia" w:ascii="仿宋_GB2312" w:eastAsia="仿宋_GB2312"/>
          <w:sz w:val="30"/>
          <w:szCs w:val="30"/>
          <w:highlight w:val="none"/>
          <w:lang w:val="en-US"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1878039.03</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10.16</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90.86</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主要用于主要用于</w:t>
      </w:r>
      <w:r>
        <w:rPr>
          <w:rFonts w:hint="eastAsia" w:ascii="仿宋_GB2312" w:hAnsi="宋体" w:eastAsia="仿宋_GB2312" w:cs="Arial"/>
          <w:color w:val="auto"/>
          <w:kern w:val="0"/>
          <w:sz w:val="30"/>
          <w:szCs w:val="30"/>
          <w:highlight w:val="none"/>
          <w:lang w:val="en-US" w:eastAsia="zh-CN" w:bidi="ar-SA"/>
        </w:rPr>
        <w:t>职工养老保险、职业年金、退休死亡人员的抚恤金支出</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w:t>
      </w:r>
      <w:r>
        <w:rPr>
          <w:rFonts w:hint="eastAsia" w:ascii="仿宋_GB2312" w:eastAsia="仿宋_GB2312"/>
          <w:sz w:val="30"/>
          <w:szCs w:val="30"/>
          <w:highlight w:val="none"/>
          <w:lang w:eastAsia="zh-CN"/>
        </w:rPr>
        <w:t>因</w:t>
      </w:r>
      <w:r>
        <w:rPr>
          <w:rFonts w:hint="eastAsia" w:ascii="仿宋_GB2312" w:eastAsia="仿宋_GB2312"/>
          <w:sz w:val="30"/>
          <w:szCs w:val="30"/>
          <w:highlight w:val="none"/>
        </w:rPr>
        <w:t>2025年退休4人，调出7人，调入5人，合计减少6人。</w:t>
      </w:r>
      <w:r>
        <w:rPr>
          <w:rFonts w:hint="eastAsia" w:ascii="仿宋_GB2312" w:hAnsi="仿宋_GB2312" w:eastAsia="仿宋_GB2312" w:cs="仿宋_GB2312"/>
          <w:color w:val="auto"/>
          <w:kern w:val="0"/>
          <w:sz w:val="30"/>
          <w:lang w:val="en-US"/>
        </w:rPr>
        <w:t>社会保障和就业（类）支出</w:t>
      </w:r>
      <w:r>
        <w:rPr>
          <w:rFonts w:hint="eastAsia" w:ascii="仿宋_GB2312" w:hAnsi="仿宋_GB2312" w:eastAsia="仿宋_GB2312" w:cs="仿宋_GB2312"/>
          <w:color w:val="auto"/>
          <w:kern w:val="0"/>
          <w:sz w:val="30"/>
          <w:lang w:val="en-US" w:eastAsia="zh-CN"/>
        </w:rPr>
        <w:t>减少。</w:t>
      </w:r>
    </w:p>
    <w:p w14:paraId="1C25807F">
      <w:pPr>
        <w:widowControl/>
        <w:snapToGrid w:val="0"/>
        <w:spacing w:before="100" w:after="100" w:line="360" w:lineRule="auto"/>
        <w:ind w:firstLine="600" w:firstLineChars="200"/>
        <w:jc w:val="left"/>
        <w:rPr>
          <w:rFonts w:hint="eastAsia" w:ascii="仿宋_GB2312" w:eastAsia="仿宋_GB2312"/>
          <w:sz w:val="30"/>
          <w:szCs w:val="30"/>
          <w:highlight w:val="none"/>
          <w:lang w:val="en-US"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1532252.41</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8.29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98.10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color w:val="auto"/>
          <w:kern w:val="0"/>
          <w:sz w:val="30"/>
          <w:szCs w:val="30"/>
          <w:highlight w:val="none"/>
          <w:lang w:val="en-US" w:eastAsia="zh-CN" w:bidi="ar-SA"/>
        </w:rPr>
        <w:t>职工医疗补助、公务员医疗补助、大病保险支出</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w:t>
      </w:r>
      <w:r>
        <w:rPr>
          <w:rFonts w:hint="eastAsia" w:ascii="仿宋_GB2312" w:eastAsia="仿宋_GB2312"/>
          <w:sz w:val="30"/>
          <w:szCs w:val="30"/>
          <w:highlight w:val="none"/>
        </w:rPr>
        <w:t>2025年退休4人，调出7人，调入5人，合计减少6人。</w:t>
      </w:r>
    </w:p>
    <w:p w14:paraId="69BA73E6">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213A80A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1D33F12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41135C71">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592227A9">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79200B52">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3E36A52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6523BBD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3404EE0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6F901FBA">
      <w:pPr>
        <w:widowControl/>
        <w:snapToGrid w:val="0"/>
        <w:spacing w:before="100" w:after="100" w:line="360" w:lineRule="auto"/>
        <w:ind w:firstLine="600" w:firstLineChars="200"/>
        <w:jc w:val="left"/>
        <w:rPr>
          <w:rFonts w:hint="eastAsia" w:ascii="仿宋_GB2312" w:eastAsia="仿宋_GB2312"/>
          <w:sz w:val="30"/>
          <w:szCs w:val="30"/>
          <w:highlight w:val="none"/>
          <w:lang w:val="en-US"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1123495.00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6.08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89.40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color w:val="auto"/>
          <w:kern w:val="0"/>
          <w:sz w:val="30"/>
          <w:szCs w:val="30"/>
          <w:highlight w:val="none"/>
          <w:lang w:val="en-US" w:eastAsia="zh-CN" w:bidi="ar-SA"/>
        </w:rPr>
        <w:t>教职工公积金缴费</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eastAsia="仿宋_GB2312"/>
          <w:sz w:val="30"/>
          <w:szCs w:val="30"/>
          <w:highlight w:val="none"/>
        </w:rPr>
        <w:t>2025年退休4人，调出7人，调入5人，合计减少6人。</w:t>
      </w:r>
    </w:p>
    <w:p w14:paraId="493550D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7630E47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3554838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6A0DAD79">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210F784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6A69071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15FFB691">
      <w:pPr>
        <w:widowControl/>
        <w:snapToGrid w:val="0"/>
        <w:spacing w:before="100" w:after="100" w:line="360" w:lineRule="auto"/>
        <w:ind w:firstLine="600" w:firstLineChars="200"/>
        <w:jc w:val="left"/>
        <w:rPr>
          <w:rFonts w:hint="eastAsia" w:ascii="仿宋_GB2312" w:eastAsia="仿宋_GB2312"/>
          <w:color w:val="FF0000"/>
          <w:sz w:val="30"/>
          <w:szCs w:val="30"/>
          <w:highlight w:val="none"/>
          <w:lang w:eastAsia="zh-CN"/>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02B19D45">
      <w:pPr>
        <w:widowControl/>
        <w:numPr>
          <w:ilvl w:val="0"/>
          <w:numId w:val="1"/>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7D76D06F">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67EB34DC">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仿宋_GB2312" w:eastAsia="仿宋_GB2312" w:cs="仿宋_GB2312"/>
          <w:color w:val="000000"/>
          <w:kern w:val="0"/>
          <w:sz w:val="30"/>
          <w:lang w:val="en-US" w:eastAsia="zh-CN"/>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rPr>
        <w:t>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kern w:val="0"/>
          <w:sz w:val="30"/>
          <w:lang w:val="en-US" w:eastAsia="zh-CN"/>
        </w:rPr>
        <w:t>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w:t>
      </w:r>
      <w:r>
        <w:rPr>
          <w:rFonts w:hint="eastAsia" w:ascii="仿宋_GB2312" w:hAnsi="仿宋_GB2312" w:eastAsia="仿宋_GB2312" w:cs="仿宋_GB2312"/>
          <w:color w:val="000000"/>
          <w:kern w:val="0"/>
          <w:sz w:val="30"/>
          <w:lang w:val="en-US" w:eastAsia="zh-CN"/>
        </w:rPr>
        <w:t xml:space="preserve">上年无此项支出。 </w:t>
      </w:r>
    </w:p>
    <w:p w14:paraId="3FE77783">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FF0000"/>
          <w:sz w:val="30"/>
          <w:szCs w:val="30"/>
          <w:lang w:eastAsia="zh-CN"/>
        </w:rPr>
      </w:pPr>
      <w:r>
        <w:rPr>
          <w:rFonts w:hint="eastAsia" w:ascii="仿宋_GB2312" w:hAnsi="宋体" w:eastAsia="仿宋_GB2312" w:cs="Arial"/>
          <w:kern w:val="0"/>
          <w:sz w:val="30"/>
          <w:szCs w:val="30"/>
          <w:highlight w:val="none"/>
        </w:rPr>
        <w:t>因公出国（境）费</w:t>
      </w:r>
      <w:r>
        <w:rPr>
          <w:rFonts w:hint="eastAsia" w:ascii="仿宋_GB2312" w:hAnsi="宋体" w:eastAsia="仿宋_GB2312" w:cs="Arial"/>
          <w:kern w:val="0"/>
          <w:sz w:val="30"/>
          <w:szCs w:val="30"/>
          <w:highlight w:val="none"/>
          <w:lang w:val="en-US" w:eastAsia="zh-CN"/>
        </w:rPr>
        <w:t>用用</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w:t>
      </w:r>
    </w:p>
    <w:p w14:paraId="46B8B94F">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lang w:val="zh-CN"/>
        </w:rPr>
        <w:t>.00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公务用车购置费</w:t>
      </w:r>
      <w:r>
        <w:rPr>
          <w:rFonts w:hint="eastAsia" w:ascii="仿宋_GB2312" w:eastAsia="仿宋_GB2312"/>
          <w:sz w:val="30"/>
          <w:szCs w:val="30"/>
          <w:highlight w:val="none"/>
          <w:lang w:eastAsia="zh-CN"/>
        </w:rPr>
        <w:t>支出决算较上年增加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运行维护费支出决算较上年增加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公务接待费</w:t>
      </w:r>
      <w:r>
        <w:rPr>
          <w:rFonts w:hint="eastAsia" w:ascii="仿宋_GB2312" w:eastAsia="仿宋_GB2312"/>
          <w:sz w:val="30"/>
          <w:szCs w:val="30"/>
          <w:highlight w:val="none"/>
          <w:lang w:eastAsia="zh-CN"/>
        </w:rPr>
        <w:t>支出决算较上年增加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上年无此项支出；具体是国内接待费支出决算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元（其中：外事接待费支出决算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上年无此项支出；国（境）外接待费支出决算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w:t>
      </w:r>
    </w:p>
    <w:p w14:paraId="734F230A">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707D125C">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rPr>
        <w:t>预算为</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支出决算较上年增加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w:t>
      </w:r>
    </w:p>
    <w:p w14:paraId="1EC2B651">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一般公共预算财政拨款“三公”经费支出决算数</w:t>
      </w:r>
      <w:r>
        <w:rPr>
          <w:rFonts w:hint="eastAsia" w:ascii="仿宋_GB2312" w:eastAsia="仿宋_GB2312"/>
          <w:sz w:val="30"/>
          <w:szCs w:val="30"/>
          <w:highlight w:val="none"/>
          <w:lang w:val="en-US" w:eastAsia="zh-CN"/>
        </w:rPr>
        <w:t>等于</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预算数</w:t>
      </w:r>
      <w:r>
        <w:rPr>
          <w:rFonts w:hint="eastAsia" w:ascii="仿宋_GB2312" w:eastAsia="仿宋_GB2312"/>
          <w:sz w:val="30"/>
          <w:szCs w:val="30"/>
          <w:highlight w:val="none"/>
          <w:lang w:eastAsia="zh-CN"/>
        </w:rPr>
        <w:t>。</w:t>
      </w:r>
    </w:p>
    <w:p w14:paraId="2E89A93A">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0.0</w:t>
      </w:r>
      <w:r>
        <w:rPr>
          <w:rFonts w:hint="eastAsia" w:ascii="仿宋_GB2312" w:eastAsia="仿宋_GB2312"/>
          <w:sz w:val="30"/>
          <w:szCs w:val="30"/>
          <w:highlight w:val="none"/>
          <w:lang w:val="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；公务用车购置费支出决算增加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支出决算增加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；公务接待费支出决算增加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上年无此项支出，具体是国内接待费支出决算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元（其中：外事接待费支出决算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元），较上年增加</w:t>
      </w:r>
      <w:r>
        <w:rPr>
          <w:rFonts w:hint="eastAsia" w:ascii="仿宋_GB2312" w:eastAsia="仿宋_GB2312"/>
          <w:sz w:val="30"/>
          <w:szCs w:val="30"/>
          <w:highlight w:val="none"/>
          <w:lang w:val="en-US" w:eastAsia="zh-CN"/>
        </w:rPr>
        <w:t>0.00元，</w:t>
      </w:r>
      <w:r>
        <w:rPr>
          <w:rFonts w:hint="eastAsia" w:ascii="仿宋_GB2312" w:eastAsia="仿宋_GB2312"/>
          <w:sz w:val="30"/>
          <w:szCs w:val="30"/>
          <w:highlight w:val="none"/>
          <w:lang w:eastAsia="zh-CN"/>
        </w:rPr>
        <w:t>上年无此项支出；国（境）外接待费支出决算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元较上年增加</w:t>
      </w:r>
      <w:r>
        <w:rPr>
          <w:rFonts w:hint="eastAsia" w:ascii="仿宋_GB2312" w:eastAsia="仿宋_GB2312"/>
          <w:sz w:val="30"/>
          <w:szCs w:val="30"/>
          <w:highlight w:val="none"/>
          <w:lang w:val="en-US" w:eastAsia="zh-CN"/>
        </w:rPr>
        <w:t>0.00元，</w:t>
      </w:r>
      <w:r>
        <w:rPr>
          <w:rFonts w:hint="eastAsia" w:ascii="仿宋_GB2312" w:eastAsia="仿宋_GB2312"/>
          <w:sz w:val="30"/>
          <w:szCs w:val="30"/>
          <w:highlight w:val="none"/>
          <w:lang w:eastAsia="zh-CN"/>
        </w:rPr>
        <w:t>上年无此项支出。</w:t>
      </w:r>
    </w:p>
    <w:p w14:paraId="6C56EA22">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14:paraId="0050CF8D">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1.安排因公出国（境）团组</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人次。</w:t>
      </w:r>
    </w:p>
    <w:p w14:paraId="4F4FBF56">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2.购置车辆</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w:t>
      </w:r>
    </w:p>
    <w:p w14:paraId="4BBE9973">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eastAsia="仿宋_GB2312"/>
          <w:b w:val="0"/>
          <w:bCs/>
          <w:sz w:val="30"/>
          <w:szCs w:val="30"/>
          <w:highlight w:val="none"/>
        </w:rPr>
        <w:t>3.安排</w:t>
      </w:r>
      <w:r>
        <w:rPr>
          <w:rFonts w:hint="eastAsia" w:ascii="仿宋_GB2312" w:eastAsia="仿宋_GB2312"/>
          <w:sz w:val="30"/>
          <w:szCs w:val="30"/>
          <w:highlight w:val="none"/>
        </w:rPr>
        <w:t>国内公务接待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w:t>
      </w:r>
    </w:p>
    <w:p w14:paraId="3B242FBE">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6A214580">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不存在需要说明的事项。</w:t>
      </w:r>
    </w:p>
    <w:p w14:paraId="5DB824F1">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p>
    <w:p w14:paraId="6933B686">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3D600443">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58EDD781">
      <w:pPr>
        <w:ind w:firstLine="600" w:firstLineChars="200"/>
        <w:jc w:val="left"/>
        <w:rPr>
          <w:rFonts w:hint="eastAsia" w:ascii="仿宋_GB2312" w:hAnsi="黑体" w:eastAsia="仿宋_GB2312" w:cs="方正小标宋简体"/>
          <w:sz w:val="30"/>
          <w:szCs w:val="30"/>
          <w:highlight w:val="none"/>
        </w:rPr>
      </w:pPr>
      <w:r>
        <w:rPr>
          <w:rFonts w:hint="eastAsia" w:ascii="仿宋_GB2312" w:hAnsi="仿宋_GB2312" w:eastAsia="仿宋_GB2312" w:cs="仿宋_GB2312"/>
          <w:color w:val="auto"/>
          <w:sz w:val="30"/>
          <w:lang w:val="zh-CN"/>
        </w:rPr>
        <w:t>富民县款庄中心小学</w:t>
      </w:r>
      <w:r>
        <w:rPr>
          <w:rFonts w:hint="eastAsia" w:ascii="仿宋_GB2312" w:hAnsi="黑体" w:eastAsia="仿宋_GB2312" w:cs="方正小标宋简体"/>
          <w:sz w:val="30"/>
          <w:szCs w:val="30"/>
          <w:highlight w:val="none"/>
          <w:lang w:val="en-US" w:eastAsia="zh-CN"/>
        </w:rPr>
        <w:t>2025</w:t>
      </w:r>
      <w:r>
        <w:rPr>
          <w:rFonts w:hint="eastAsia" w:ascii="仿宋_GB2312" w:hAnsi="黑体" w:eastAsia="仿宋_GB2312" w:cs="方正小标宋简体"/>
          <w:sz w:val="30"/>
          <w:szCs w:val="30"/>
          <w:highlight w:val="none"/>
        </w:rPr>
        <w:t>年机关运行经费支出</w:t>
      </w:r>
      <w:r>
        <w:rPr>
          <w:rFonts w:hint="eastAsia" w:ascii="仿宋_GB2312" w:hAnsi="仿宋_GB2312" w:eastAsia="仿宋_GB2312" w:cs="仿宋_GB2312"/>
          <w:color w:val="auto"/>
          <w:sz w:val="30"/>
          <w:lang w:val="en-US" w:eastAsia="zh-CN"/>
        </w:rPr>
        <w:t>0.00</w:t>
      </w:r>
      <w:r>
        <w:rPr>
          <w:rFonts w:hint="eastAsia" w:ascii="仿宋_GB2312" w:hAnsi="黑体" w:eastAsia="仿宋_GB2312" w:cs="方正小标宋简体"/>
          <w:sz w:val="30"/>
          <w:szCs w:val="30"/>
          <w:highlight w:val="none"/>
          <w:lang w:eastAsia="zh-CN"/>
        </w:rPr>
        <w:t>元</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eastAsia="zh-CN"/>
        </w:rPr>
        <w:t>比上年</w:t>
      </w:r>
      <w:r>
        <w:rPr>
          <w:rFonts w:hint="eastAsia" w:ascii="仿宋_GB2312" w:eastAsia="仿宋_GB2312"/>
          <w:color w:val="auto"/>
          <w:sz w:val="30"/>
          <w:szCs w:val="30"/>
          <w:highlight w:val="none"/>
        </w:rPr>
        <w:t>增加</w:t>
      </w:r>
      <w:r>
        <w:rPr>
          <w:rFonts w:hint="eastAsia" w:ascii="仿宋_GB2312" w:eastAsia="仿宋_GB2312"/>
          <w:color w:val="auto"/>
          <w:sz w:val="30"/>
          <w:szCs w:val="30"/>
          <w:highlight w:val="none"/>
          <w:lang w:val="en-US" w:eastAsia="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lang w:val="en-US" w:eastAsia="zh-CN"/>
        </w:rPr>
        <w:t>主要原因是：我部门为事业单位，无机关运行经费。</w:t>
      </w:r>
    </w:p>
    <w:p w14:paraId="41368874">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2615CBB4">
      <w:pPr>
        <w:widowControl/>
        <w:ind w:firstLine="600" w:firstLineChars="200"/>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lang w:val="zh-CN"/>
        </w:rPr>
        <w:t>富民县款庄中心小学</w:t>
      </w:r>
      <w:r>
        <w:rPr>
          <w:rFonts w:hint="eastAsia" w:ascii="仿宋_GB2312" w:hAnsi="仿宋_GB2312" w:eastAsia="仿宋_GB2312" w:cs="仿宋_GB2312"/>
          <w:sz w:val="30"/>
          <w:szCs w:val="30"/>
          <w:highlight w:val="none"/>
          <w:lang w:eastAsia="zh-CN"/>
        </w:rPr>
        <w:t>资产总额</w:t>
      </w:r>
      <w:r>
        <w:rPr>
          <w:rFonts w:hint="eastAsia" w:ascii="仿宋_GB2312" w:hAnsi="仿宋_GB2312" w:eastAsia="仿宋_GB2312" w:cs="仿宋_GB2312"/>
          <w:sz w:val="30"/>
          <w:szCs w:val="30"/>
          <w:highlight w:val="none"/>
          <w:lang w:val="en-US" w:eastAsia="zh-CN"/>
        </w:rPr>
        <w:t>34670936.69</w:t>
      </w:r>
      <w:r>
        <w:rPr>
          <w:rFonts w:hint="eastAsia" w:ascii="仿宋_GB2312" w:hAnsi="仿宋_GB2312" w:eastAsia="仿宋_GB2312" w:cs="仿宋_GB2312"/>
          <w:sz w:val="30"/>
          <w:szCs w:val="30"/>
          <w:highlight w:val="none"/>
          <w:lang w:eastAsia="zh-CN"/>
        </w:rPr>
        <w:t>元，其中，流动资产</w:t>
      </w:r>
      <w:r>
        <w:rPr>
          <w:rFonts w:hint="eastAsia" w:ascii="仿宋_GB2312" w:hAnsi="仿宋_GB2312" w:eastAsia="仿宋_GB2312" w:cs="仿宋_GB2312"/>
          <w:sz w:val="30"/>
          <w:szCs w:val="30"/>
          <w:highlight w:val="none"/>
          <w:lang w:val="en-US" w:eastAsia="zh-CN"/>
        </w:rPr>
        <w:t>185658.86</w:t>
      </w:r>
      <w:r>
        <w:rPr>
          <w:rFonts w:hint="eastAsia" w:ascii="仿宋_GB2312" w:hAnsi="仿宋_GB2312" w:eastAsia="仿宋_GB2312" w:cs="仿宋_GB2312"/>
          <w:sz w:val="30"/>
          <w:szCs w:val="30"/>
          <w:highlight w:val="none"/>
          <w:lang w:eastAsia="zh-CN"/>
        </w:rPr>
        <w:t>元，固定资产</w:t>
      </w:r>
      <w:r>
        <w:rPr>
          <w:rFonts w:hint="eastAsia" w:ascii="仿宋_GB2312" w:hAnsi="仿宋_GB2312" w:eastAsia="仿宋_GB2312" w:cs="仿宋_GB2312"/>
          <w:sz w:val="30"/>
          <w:szCs w:val="30"/>
          <w:highlight w:val="none"/>
          <w:lang w:val="en-US" w:eastAsia="zh-CN"/>
        </w:rPr>
        <w:t>30680998.42</w:t>
      </w:r>
      <w:r>
        <w:rPr>
          <w:rFonts w:hint="eastAsia" w:ascii="仿宋_GB2312" w:hAnsi="仿宋_GB2312" w:eastAsia="仿宋_GB2312" w:cs="仿宋_GB2312"/>
          <w:sz w:val="30"/>
          <w:szCs w:val="30"/>
          <w:highlight w:val="none"/>
          <w:lang w:eastAsia="zh-CN"/>
        </w:rPr>
        <w:t>元（净值），对外投资及有价证券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3804279.41</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。与上年相比，本年资产总额增加</w:t>
      </w:r>
      <w:r>
        <w:rPr>
          <w:rFonts w:hint="eastAsia" w:ascii="仿宋_GB2312" w:hAnsi="黑体" w:eastAsia="仿宋_GB2312" w:cs="方正小标宋简体"/>
          <w:color w:val="000000"/>
          <w:kern w:val="0"/>
          <w:sz w:val="30"/>
          <w:szCs w:val="30"/>
          <w:highlight w:val="none"/>
          <w:lang w:val="en-US" w:eastAsia="zh-CN"/>
        </w:rPr>
        <w:t>2306604.35</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，其中固定资产减少</w:t>
      </w:r>
      <w:r>
        <w:rPr>
          <w:rFonts w:hint="eastAsia" w:ascii="仿宋_GB2312" w:hAnsi="黑体" w:eastAsia="仿宋_GB2312" w:cs="方正小标宋简体"/>
          <w:color w:val="000000"/>
          <w:kern w:val="0"/>
          <w:sz w:val="30"/>
          <w:szCs w:val="30"/>
          <w:highlight w:val="none"/>
          <w:lang w:val="en-US" w:eastAsia="zh-CN"/>
        </w:rPr>
        <w:t>1063797.12</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16</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49917.00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14:paraId="682911B4">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tbl>
      <w:tblPr>
        <w:tblStyle w:val="6"/>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638235F5">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54CDB01B">
            <w:pPr>
              <w:widowControl/>
              <w:jc w:val="left"/>
              <w:rPr>
                <w:rFonts w:ascii="宋体" w:hAnsi="宋体" w:cs="宋体"/>
                <w:color w:val="000000"/>
                <w:kern w:val="0"/>
                <w:sz w:val="17"/>
                <w:szCs w:val="17"/>
                <w:highlight w:val="none"/>
              </w:rPr>
            </w:pPr>
          </w:p>
        </w:tc>
      </w:tr>
      <w:tr w14:paraId="793C710F">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284900F9">
            <w:pPr>
              <w:widowControl/>
              <w:jc w:val="left"/>
              <w:rPr>
                <w:rFonts w:ascii="宋体" w:hAnsi="宋体" w:cs="宋体"/>
                <w:color w:val="000000"/>
                <w:kern w:val="0"/>
                <w:sz w:val="17"/>
                <w:szCs w:val="17"/>
                <w:highlight w:val="none"/>
              </w:rPr>
            </w:pPr>
          </w:p>
        </w:tc>
      </w:tr>
      <w:tr w14:paraId="0C607201">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03E829A8">
            <w:pPr>
              <w:widowControl/>
              <w:jc w:val="left"/>
              <w:rPr>
                <w:rFonts w:ascii="宋体" w:hAnsi="宋体" w:cs="宋体"/>
                <w:color w:val="000000"/>
                <w:kern w:val="0"/>
                <w:sz w:val="17"/>
                <w:szCs w:val="17"/>
                <w:highlight w:val="none"/>
              </w:rPr>
            </w:pPr>
          </w:p>
        </w:tc>
      </w:tr>
      <w:tr w14:paraId="0DF55D36">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216BBFCF">
            <w:pPr>
              <w:widowControl/>
              <w:jc w:val="left"/>
              <w:rPr>
                <w:rFonts w:ascii="宋体" w:hAnsi="宋体" w:cs="宋体"/>
                <w:color w:val="000000"/>
                <w:kern w:val="0"/>
                <w:sz w:val="17"/>
                <w:szCs w:val="17"/>
                <w:highlight w:val="none"/>
              </w:rPr>
            </w:pPr>
          </w:p>
        </w:tc>
      </w:tr>
      <w:tr w14:paraId="08C007B6">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40225205">
            <w:pPr>
              <w:widowControl/>
              <w:jc w:val="left"/>
              <w:rPr>
                <w:rFonts w:ascii="宋体" w:hAnsi="宋体" w:cs="宋体"/>
                <w:color w:val="000000"/>
                <w:kern w:val="0"/>
                <w:sz w:val="17"/>
                <w:szCs w:val="17"/>
                <w:highlight w:val="none"/>
              </w:rPr>
            </w:pPr>
          </w:p>
        </w:tc>
      </w:tr>
      <w:tr w14:paraId="397796F5">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30DCEAEC">
            <w:pPr>
              <w:widowControl/>
              <w:jc w:val="left"/>
              <w:rPr>
                <w:rFonts w:ascii="宋体" w:hAnsi="宋体" w:cs="宋体"/>
                <w:color w:val="000000"/>
                <w:kern w:val="0"/>
                <w:sz w:val="17"/>
                <w:szCs w:val="17"/>
                <w:highlight w:val="none"/>
              </w:rPr>
            </w:pPr>
          </w:p>
        </w:tc>
      </w:tr>
      <w:tr w14:paraId="3F8DEE61">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2DDFC923">
            <w:pPr>
              <w:widowControl/>
              <w:jc w:val="left"/>
              <w:rPr>
                <w:rFonts w:ascii="宋体" w:hAnsi="宋体" w:cs="宋体"/>
                <w:color w:val="000000"/>
                <w:kern w:val="0"/>
                <w:sz w:val="17"/>
                <w:szCs w:val="17"/>
                <w:highlight w:val="none"/>
              </w:rPr>
            </w:pPr>
          </w:p>
        </w:tc>
      </w:tr>
      <w:tr w14:paraId="24E68C2C">
        <w:tblPrEx>
          <w:tblCellMar>
            <w:top w:w="0" w:type="dxa"/>
            <w:left w:w="0" w:type="dxa"/>
            <w:bottom w:w="0" w:type="dxa"/>
            <w:right w:w="0" w:type="dxa"/>
          </w:tblCellMar>
        </w:tblPrEx>
        <w:trPr>
          <w:trHeight w:val="495" w:hRule="atLeast"/>
        </w:trPr>
        <w:tc>
          <w:tcPr>
            <w:tcW w:w="142" w:type="dxa"/>
            <w:noWrap w:val="0"/>
            <w:vAlign w:val="center"/>
          </w:tcPr>
          <w:p w14:paraId="1C6F6168">
            <w:pPr>
              <w:widowControl/>
              <w:jc w:val="left"/>
              <w:rPr>
                <w:rFonts w:ascii="Times New Roman" w:hAnsi="Times New Roman" w:eastAsia="Times New Roman"/>
                <w:kern w:val="0"/>
                <w:sz w:val="20"/>
                <w:szCs w:val="20"/>
                <w:highlight w:val="none"/>
              </w:rPr>
            </w:pPr>
          </w:p>
        </w:tc>
      </w:tr>
    </w:tbl>
    <w:p w14:paraId="341E9010">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10D4F3A9">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2013000.00</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2013000.00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14:paraId="752C53C1">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63F17186">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14:paraId="740430BF">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2D574591">
      <w:pPr>
        <w:ind w:firstLine="600" w:firstLineChars="200"/>
        <w:rPr>
          <w:rFonts w:hint="default"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富民县款庄中心小学2025年无其他重要事项情况说明。</w:t>
      </w:r>
    </w:p>
    <w:p w14:paraId="2470CA1F">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7B43D60E">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37364D0A">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022396F9">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10952350">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4258664F">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274AAE6C">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48749650">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rPr>
        <w:t>情况说明里涉及到需要解释说明的决算相关专用名词，在此进行说明解释。</w:t>
      </w:r>
      <w:r>
        <w:rPr>
          <w:rFonts w:hint="eastAsia" w:ascii="仿宋_GB2312" w:hAnsi="黑体" w:eastAsia="仿宋_GB2312" w:cs="方正小标宋简体"/>
          <w:sz w:val="30"/>
          <w:szCs w:val="30"/>
          <w:highlight w:val="none"/>
          <w:lang w:eastAsia="zh-CN"/>
        </w:rPr>
        <w:t>若没有涉及专用名词，</w:t>
      </w:r>
      <w:r>
        <w:rPr>
          <w:rFonts w:hint="eastAsia" w:ascii="仿宋_GB2312" w:hAnsi="黑体" w:eastAsia="仿宋_GB2312" w:cs="方正小标宋简体"/>
          <w:b/>
          <w:bCs/>
          <w:sz w:val="30"/>
          <w:szCs w:val="30"/>
          <w:highlight w:val="none"/>
          <w:lang w:eastAsia="zh-CN"/>
        </w:rPr>
        <w:t>应</w:t>
      </w:r>
      <w:r>
        <w:rPr>
          <w:rFonts w:hint="eastAsia" w:ascii="仿宋_GB2312" w:hAnsi="仿宋_GB2312" w:eastAsia="仿宋_GB2312" w:cs="仿宋_GB2312"/>
          <w:b/>
          <w:bCs/>
          <w:sz w:val="30"/>
          <w:szCs w:val="30"/>
          <w:highlight w:val="none"/>
          <w:u w:val="none"/>
          <w:lang w:val="en-US" w:eastAsia="zh-CN"/>
        </w:rPr>
        <w:t>至少公开一条与决算相关的财务专业名词解释，或</w:t>
      </w:r>
      <w:r>
        <w:rPr>
          <w:rFonts w:hint="eastAsia" w:ascii="仿宋_GB2312" w:hAnsi="黑体" w:eastAsia="仿宋_GB2312" w:cs="方正小标宋简体"/>
          <w:sz w:val="30"/>
          <w:szCs w:val="30"/>
          <w:highlight w:val="none"/>
          <w:lang w:eastAsia="zh-CN"/>
        </w:rPr>
        <w:t>请直接保留模板提供专用名词。</w:t>
      </w:r>
    </w:p>
    <w:p w14:paraId="360BDD52">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2C3F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4A468A1">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64A468A1">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EB733">
    <w:pPr>
      <w:pStyle w:val="4"/>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14:paraId="424233DD">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79736">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EC26B0"/>
    <w:rsid w:val="24855D52"/>
    <w:rsid w:val="2F1624CC"/>
    <w:rsid w:val="38F83CA4"/>
    <w:rsid w:val="42D20D4A"/>
    <w:rsid w:val="50752B43"/>
    <w:rsid w:val="52922D38"/>
    <w:rsid w:val="52DE46FC"/>
    <w:rsid w:val="570066E5"/>
    <w:rsid w:val="5D5A7075"/>
    <w:rsid w:val="698E2037"/>
    <w:rsid w:val="69947070"/>
    <w:rsid w:val="70147557"/>
    <w:rsid w:val="75720FA8"/>
    <w:rsid w:val="7AFB37ED"/>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before="93" w:beforeLines="30"/>
    </w:pPr>
    <w:rPr>
      <w:rFonts w:ascii="仿宋_GB2312" w:eastAsia="仿宋_GB2312"/>
      <w:sz w:val="30"/>
    </w:rPr>
  </w:style>
  <w:style w:type="paragraph" w:styleId="3">
    <w:name w:val="toc 5"/>
    <w:next w:val="1"/>
    <w:qFormat/>
    <w:uiPriority w:val="0"/>
    <w:pPr>
      <w:widowControl w:val="0"/>
      <w:spacing w:before="100" w:beforeAutospacing="1" w:after="100" w:afterAutospacing="1"/>
      <w:ind w:left="1680"/>
      <w:jc w:val="both"/>
    </w:pPr>
    <w:rPr>
      <w:rFonts w:ascii="Calibri" w:hAnsi="Calibri" w:eastAsia="宋体" w:cs="Times New Roman"/>
      <w:kern w:val="2"/>
      <w:sz w:val="32"/>
      <w:lang w:val="en-US" w:eastAsia="zh-CN" w:bidi="ar-SA"/>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171697-b996-47c0-bc4e-1f10dca9f5f4}">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18</Pages>
  <Words>7373</Words>
  <Characters>8383</Characters>
  <Lines>0</Lines>
  <Paragraphs>0</Paragraphs>
  <TotalTime>190</TotalTime>
  <ScaleCrop>false</ScaleCrop>
  <LinksUpToDate>false</LinksUpToDate>
  <CharactersWithSpaces>8420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丫丫</cp:lastModifiedBy>
  <cp:lastPrinted>2024-07-30T06:24:00Z</cp:lastPrinted>
  <dcterms:modified xsi:type="dcterms:W3CDTF">2026-10-27T06:22:43Z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EFE070B9F7984C29952C99BA9E8F1B74_13</vt:lpwstr>
  </property>
  <property fmtid="{D5CDD505-2E9C-101B-9397-08002B2CF9AE}" pid="4" name="KSOTemplateDocerSaveRecord">
    <vt:lpwstr>eyJoZGlkIjoiOWM4OWM4Zjk1NmVjNWE1MjUwYjMyMmQ2OWYyZWJlYjEiLCJ1c2VySWQiOiIzMDE4MjQ3NjkifQ==</vt:lpwstr>
  </property>
</Properties>
</file>