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81672">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富民县东村中心小学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5B36FDCE">
      <w:pPr>
        <w:jc w:val="center"/>
        <w:rPr>
          <w:rFonts w:hint="eastAsia" w:ascii="方正小标宋简体" w:hAnsi="方正小标宋简体" w:eastAsia="方正小标宋简体" w:cs="方正小标宋简体"/>
          <w:sz w:val="36"/>
          <w:szCs w:val="36"/>
          <w:highlight w:val="none"/>
        </w:rPr>
      </w:pPr>
    </w:p>
    <w:p w14:paraId="46E0580E">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928A63C">
      <w:pPr>
        <w:jc w:val="left"/>
        <w:rPr>
          <w:rFonts w:hint="eastAsia" w:ascii="黑体" w:hAnsi="黑体" w:eastAsia="黑体"/>
          <w:sz w:val="30"/>
          <w:szCs w:val="30"/>
          <w:highlight w:val="none"/>
        </w:rPr>
      </w:pPr>
    </w:p>
    <w:p w14:paraId="60B03D5C">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01121E2B">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7D97394A">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34CABF8A">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15090251">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17FC152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12A163B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236D109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228E114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17669F6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2067068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668A2BC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26692CE3">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7E452D07">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4611A72F">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38E81EB9">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十一、一般公共预算财政拨款“三公”经费情况表</w:t>
      </w:r>
    </w:p>
    <w:p w14:paraId="387E9ED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14:paraId="490F1D1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十三、部门整体支出绩效自评情况</w:t>
      </w:r>
    </w:p>
    <w:p w14:paraId="437E19A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14:paraId="3C6B7521">
      <w:pPr>
        <w:jc w:val="left"/>
        <w:outlineLvl w:val="1"/>
        <w:rPr>
          <w:rFonts w:hint="default"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十五、项目支出绩效自评表</w:t>
      </w:r>
    </w:p>
    <w:p w14:paraId="2F0018AD">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403B691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6ECBEC8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29BD54B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4BABE264">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5EFB2AF4">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11AA3B47">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7F4AE7B7">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01CC12A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7832FA0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66AD55CB">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39BC3336">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214ED7A3">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02981192">
      <w:pPr>
        <w:jc w:val="center"/>
        <w:rPr>
          <w:rFonts w:hint="eastAsia" w:ascii="黑体" w:hAnsi="黑体" w:eastAsia="黑体"/>
          <w:sz w:val="32"/>
          <w:szCs w:val="32"/>
          <w:highlight w:val="none"/>
        </w:rPr>
      </w:pPr>
    </w:p>
    <w:p w14:paraId="1A5FDD9C">
      <w:pPr>
        <w:jc w:val="center"/>
        <w:rPr>
          <w:rFonts w:hint="eastAsia" w:ascii="黑体" w:hAnsi="黑体" w:eastAsia="黑体"/>
          <w:sz w:val="32"/>
          <w:szCs w:val="32"/>
          <w:highlight w:val="none"/>
        </w:rPr>
      </w:pPr>
    </w:p>
    <w:p w14:paraId="011C48AD">
      <w:pPr>
        <w:jc w:val="center"/>
        <w:rPr>
          <w:rFonts w:hint="eastAsia" w:ascii="黑体" w:hAnsi="黑体" w:eastAsia="黑体"/>
          <w:sz w:val="32"/>
          <w:szCs w:val="32"/>
          <w:highlight w:val="none"/>
        </w:rPr>
      </w:pPr>
    </w:p>
    <w:p w14:paraId="4C1B2081">
      <w:pPr>
        <w:jc w:val="center"/>
        <w:rPr>
          <w:rFonts w:hint="eastAsia" w:ascii="黑体" w:hAnsi="黑体" w:eastAsia="黑体"/>
          <w:sz w:val="32"/>
          <w:szCs w:val="32"/>
          <w:highlight w:val="none"/>
        </w:rPr>
      </w:pPr>
    </w:p>
    <w:p w14:paraId="0B72E76D">
      <w:pPr>
        <w:jc w:val="center"/>
        <w:rPr>
          <w:rFonts w:hint="eastAsia" w:ascii="黑体" w:hAnsi="黑体" w:eastAsia="黑体"/>
          <w:sz w:val="32"/>
          <w:szCs w:val="32"/>
          <w:highlight w:val="none"/>
        </w:rPr>
      </w:pPr>
    </w:p>
    <w:p w14:paraId="5A95C74E">
      <w:pPr>
        <w:jc w:val="center"/>
        <w:rPr>
          <w:rFonts w:hint="eastAsia" w:ascii="黑体" w:hAnsi="黑体" w:eastAsia="黑体"/>
          <w:sz w:val="32"/>
          <w:szCs w:val="32"/>
          <w:highlight w:val="none"/>
        </w:rPr>
      </w:pPr>
    </w:p>
    <w:p w14:paraId="34B25A0D">
      <w:pPr>
        <w:jc w:val="center"/>
        <w:rPr>
          <w:rFonts w:hint="eastAsia" w:ascii="黑体" w:hAnsi="黑体" w:eastAsia="黑体"/>
          <w:sz w:val="32"/>
          <w:szCs w:val="32"/>
          <w:highlight w:val="none"/>
        </w:rPr>
      </w:pPr>
    </w:p>
    <w:p w14:paraId="12580619">
      <w:pPr>
        <w:jc w:val="both"/>
        <w:rPr>
          <w:rFonts w:hint="eastAsia" w:ascii="黑体" w:hAnsi="黑体" w:eastAsia="黑体"/>
          <w:sz w:val="32"/>
          <w:szCs w:val="32"/>
          <w:highlight w:val="none"/>
        </w:rPr>
      </w:pPr>
    </w:p>
    <w:p w14:paraId="432E35F3">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63D83047">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3419F165">
      <w:pPr>
        <w:spacing w:line="600" w:lineRule="exact"/>
        <w:ind w:firstLine="600" w:firstLineChars="200"/>
        <w:rPr>
          <w:rFonts w:hint="eastAsia" w:ascii="仿宋_GB2312" w:eastAsia="仿宋_GB2312"/>
          <w:sz w:val="30"/>
          <w:szCs w:val="30"/>
          <w:highlight w:val="none"/>
          <w:lang w:val="zh-CN" w:eastAsia="zh-CN"/>
        </w:rPr>
      </w:pPr>
      <w:r>
        <w:rPr>
          <w:rFonts w:hint="eastAsia" w:ascii="仿宋_GB2312" w:eastAsia="仿宋_GB2312"/>
          <w:sz w:val="30"/>
          <w:szCs w:val="30"/>
          <w:highlight w:val="none"/>
          <w:lang w:val="zh-CN" w:eastAsia="zh-CN"/>
        </w:rPr>
        <w:t>实施小学义务教育，促进基础教育事业发展。小学学历教育（相关社会服务）。</w:t>
      </w:r>
    </w:p>
    <w:p w14:paraId="7E03A9C2">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5315054D">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27AC5867">
      <w:pPr>
        <w:spacing w:line="600" w:lineRule="exact"/>
        <w:ind w:firstLine="600" w:firstLineChars="200"/>
        <w:rPr>
          <w:rFonts w:hint="eastAsia" w:ascii="仿宋_GB2312" w:eastAsia="仿宋_GB2312"/>
          <w:sz w:val="30"/>
          <w:szCs w:val="30"/>
          <w:highlight w:val="none"/>
          <w:lang w:val="zh-CN" w:eastAsia="zh-CN"/>
        </w:rPr>
      </w:pPr>
      <w:r>
        <w:rPr>
          <w:rFonts w:hint="eastAsia" w:ascii="仿宋_GB2312" w:eastAsia="仿宋_GB2312"/>
          <w:sz w:val="30"/>
          <w:szCs w:val="30"/>
          <w:highlight w:val="none"/>
          <w:lang w:val="en-US" w:eastAsia="zh-CN"/>
        </w:rPr>
        <w:t>我单位</w:t>
      </w:r>
      <w:r>
        <w:rPr>
          <w:rFonts w:hint="eastAsia" w:ascii="仿宋_GB2312" w:eastAsia="仿宋_GB2312"/>
          <w:sz w:val="30"/>
          <w:szCs w:val="30"/>
          <w:highlight w:val="none"/>
          <w:lang w:val="zh-CN" w:eastAsia="zh-CN"/>
        </w:rPr>
        <w:t>共设置</w:t>
      </w:r>
      <w:r>
        <w:rPr>
          <w:rFonts w:hint="eastAsia" w:ascii="仿宋_GB2312" w:eastAsia="仿宋_GB2312"/>
          <w:sz w:val="30"/>
          <w:szCs w:val="30"/>
          <w:highlight w:val="none"/>
          <w:lang w:val="en-US" w:eastAsia="en-US"/>
        </w:rPr>
        <w:t>4</w:t>
      </w:r>
      <w:r>
        <w:rPr>
          <w:rFonts w:hint="eastAsia" w:ascii="仿宋_GB2312" w:eastAsia="仿宋_GB2312"/>
          <w:sz w:val="30"/>
          <w:szCs w:val="30"/>
          <w:highlight w:val="none"/>
          <w:lang w:val="zh-CN" w:eastAsia="zh-CN"/>
        </w:rPr>
        <w:t>个内设机构，包括：总务处、教务处、安全科、大队部。</w:t>
      </w:r>
    </w:p>
    <w:p w14:paraId="0F4D4B1E">
      <w:pPr>
        <w:spacing w:line="600" w:lineRule="exact"/>
        <w:ind w:firstLine="600" w:firstLineChars="200"/>
        <w:rPr>
          <w:rFonts w:hint="eastAsia" w:ascii="仿宋_GB2312" w:eastAsia="仿宋_GB2312"/>
          <w:sz w:val="30"/>
          <w:szCs w:val="30"/>
          <w:highlight w:val="none"/>
          <w:lang w:val="zh-CN" w:eastAsia="zh-CN"/>
        </w:rPr>
      </w:pPr>
      <w:r>
        <w:rPr>
          <w:rFonts w:hint="eastAsia" w:ascii="仿宋_GB2312" w:eastAsia="仿宋_GB2312"/>
          <w:sz w:val="30"/>
          <w:szCs w:val="30"/>
          <w:highlight w:val="none"/>
          <w:lang w:val="en-US" w:eastAsia="zh-CN"/>
        </w:rPr>
        <w:t>我单位为基层预算单位，无下属单位。</w:t>
      </w:r>
    </w:p>
    <w:p w14:paraId="6AB4D0A5">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549E08E0">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二</w:t>
      </w:r>
      <w:r>
        <w:rPr>
          <w:rFonts w:hint="eastAsia" w:ascii="仿宋_GB2312" w:eastAsia="仿宋_GB2312"/>
          <w:sz w:val="30"/>
          <w:szCs w:val="30"/>
          <w:highlight w:val="none"/>
          <w:lang w:eastAsia="zh-CN"/>
        </w:rPr>
        <w:t>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富民县教育体育局2025年度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65B4423C">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6B38CDA1">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41</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41</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2C595F0E">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48FFC47A">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47</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47</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507</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14</w:t>
      </w:r>
      <w:r>
        <w:rPr>
          <w:rFonts w:hint="eastAsia" w:ascii="仿宋_GB2312" w:hAnsi="宋体" w:eastAsia="仿宋_GB2312" w:cs="Arial"/>
          <w:kern w:val="0"/>
          <w:sz w:val="30"/>
          <w:szCs w:val="30"/>
          <w:highlight w:val="none"/>
          <w:lang w:val="en-US" w:eastAsia="zh-CN"/>
        </w:rPr>
        <w:t>人。</w:t>
      </w:r>
    </w:p>
    <w:p w14:paraId="067C0162">
      <w:pPr>
        <w:spacing w:line="600" w:lineRule="exact"/>
        <w:ind w:firstLine="600" w:firstLineChars="200"/>
        <w:jc w:val="left"/>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14:paraId="55050D0D">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7A127BD6">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2025年度学校以习近平新时代特色社会主义思想为指导，深入贯彻党的二十大精神、习近平新时代中国特色社会主义思想，按照全国、省、市教育工作会议部署，紧紧围绕“重德育、抓管理、保安全、提质量”工作重点，全面贯彻教育方针，全面提高教育质量。深化改革，推动创新，加快推进教育现代化进程，努力办好人民满意的教育。</w:t>
      </w:r>
    </w:p>
    <w:p w14:paraId="7C1EC630">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1.政治思想工作</w:t>
      </w:r>
    </w:p>
    <w:p w14:paraId="79EDA7F8">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持续开展“习近平新时代中国特色社会主义思想”学习教育。加强教职工政治业务学习,开展“讲身边故事，树育人典范”和师德师风学习活动。每周党支部以通知的形式组织全体教师开展《习近平新时代中国特色社会主义思想专题摘编》的专题学习，进一步提升了全体教职工的政治思想理论水平。</w:t>
      </w:r>
    </w:p>
    <w:p w14:paraId="6F01A23B">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2.意识形态工作</w:t>
      </w:r>
    </w:p>
    <w:p w14:paraId="1D66E5C7">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坚持把党的思想理论建设作为意识形态工作的根本任务，认真学习贯彻习近平新进代中国特色社会主义思想，持续推进“学习教育制度化常态化建设，加强“四个全面”战略布局的宣传教育，组织好社会主义核心价值观的学习和践行。</w:t>
      </w:r>
    </w:p>
    <w:p w14:paraId="0BD969AF">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做好师生思想教育。每周定期对全校教职工的思想动态、工作情况及他们关心的热点难点问题进行分析汇总，针对问题开展自查找出问题产生原因，拟定解决办法。同时针对党员教师，利用工作之余有针对性地进行个别谈话，对党员个人成绩肯定，对存在问题查找并提出整改意见。</w:t>
      </w:r>
    </w:p>
    <w:p w14:paraId="38C6AE10">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3.党的建设工作</w:t>
      </w:r>
    </w:p>
    <w:p w14:paraId="5E1CC814">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三会一课”落实到位，首先是支委会的正常开展，定期组织支委进行学习，并结合工作需求对支部党建工作、学校建设、人事等进行研究；二是党员大会的认真开展，在每次党员大会上，除了工作的安排，主要内容就是组织全体党员对党章党规及讲话的学习，让每一名党员提高思想认识和行动意识。三是加强了党小组的建设，结合主题党日，充分发挥各党小组的作用，按月收缴党费，认真组织学习，让每一位党员时时刻刻感受到组织的存在，感受到作为一名党员的先进性和责任感。四是结合本校工作实际讲党课，将党务工作和学校的主体工作整和，在和谐中谋求发展。</w:t>
      </w:r>
    </w:p>
    <w:p w14:paraId="3AA53A7F">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支持学校工、青、妇、少等群团组织按章程开展各项活动。发挥好乡村少年宫建设效益。</w:t>
      </w:r>
    </w:p>
    <w:p w14:paraId="4C42F1DD">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4.党风廉政建设</w:t>
      </w:r>
    </w:p>
    <w:p w14:paraId="2AF9595F">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定期召开“党风廉政工作会议”。要求全体同志认清形势，提高政治站位，坚定政治路线，进一步整治教职工的工作作风，工作上要务实、务细、务真，行动上不虚、不飘、不浮，牢记宗旨，提升责任意识，真抓实干，守住初心使命把散旦教育事业做好。</w:t>
      </w:r>
    </w:p>
    <w:p w14:paraId="55F7AEE6">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积极开展“六个严禁</w:t>
      </w:r>
      <w:r>
        <w:rPr>
          <w:rFonts w:hint="eastAsia" w:ascii="仿宋_GB2312" w:hAnsi="仿宋_GB2312" w:eastAsia="仿宋_GB2312" w:cs="仿宋_GB2312"/>
          <w:sz w:val="30"/>
          <w:szCs w:val="30"/>
        </w:rPr>
        <w:t>”和严禁领导干部收受“红包”专项整治工作自检自查、开展“小金库”专项治理工作，领加强廉政建设，规范财务收支活动，从源头上遏制和防止违规违纪现象的发生。</w:t>
      </w:r>
    </w:p>
    <w:p w14:paraId="60E948EC">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黑体" w:hAnsi="黑体" w:eastAsia="黑体" w:cs="黑体"/>
          <w:sz w:val="30"/>
          <w:szCs w:val="30"/>
          <w:lang w:eastAsia="zh-CN"/>
        </w:rPr>
      </w:pPr>
      <w:r>
        <w:rPr>
          <w:rFonts w:hint="eastAsia" w:ascii="黑体" w:hAnsi="黑体" w:eastAsia="黑体" w:cs="黑体"/>
          <w:sz w:val="30"/>
          <w:szCs w:val="30"/>
          <w:lang w:val="en-US" w:eastAsia="zh-CN"/>
        </w:rPr>
        <w:t>5.</w:t>
      </w:r>
      <w:r>
        <w:rPr>
          <w:rFonts w:hint="eastAsia" w:ascii="黑体" w:hAnsi="黑体" w:eastAsia="黑体" w:cs="黑体"/>
          <w:sz w:val="30"/>
          <w:szCs w:val="30"/>
          <w:lang w:eastAsia="zh-CN"/>
        </w:rPr>
        <w:t>德育工作</w:t>
      </w:r>
    </w:p>
    <w:p w14:paraId="1DABFA92">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开展“我们的节日”系列活动，增强了学生的历史责任感和民族使命感。以雷锋日、国庆节和建队日为契机开展了延安精神进校园系列活动。通过国旗下讲话、主题队会及演讲比赛，广泛宣传延安精神；组织少先队员开展了清洁校园及周边环境卫生社会公益活动，用实际行动践行延安精神；利用黑板报、手抄报、小喇叭广播站营造浓厚的宣传氛围。让广大学生继承和弘扬延安精神，在新的历史条件下，努力学习，刻苦钻研，肩负起历史的使命和责任，努力把自己培养成社会的脊梁，不断的为社会主义建设贡献自己的力量。</w:t>
      </w:r>
    </w:p>
    <w:p w14:paraId="57D09231">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黑体" w:hAnsi="黑体" w:eastAsia="黑体" w:cs="黑体"/>
          <w:sz w:val="30"/>
          <w:szCs w:val="30"/>
          <w:lang w:eastAsia="zh-CN"/>
        </w:rPr>
      </w:pPr>
      <w:r>
        <w:rPr>
          <w:rFonts w:hint="eastAsia" w:ascii="黑体" w:hAnsi="黑体" w:eastAsia="黑体" w:cs="黑体"/>
          <w:sz w:val="30"/>
          <w:szCs w:val="30"/>
          <w:lang w:val="en-US" w:eastAsia="zh-CN"/>
        </w:rPr>
        <w:t>6.</w:t>
      </w:r>
      <w:r>
        <w:rPr>
          <w:rFonts w:hint="eastAsia" w:ascii="黑体" w:hAnsi="黑体" w:eastAsia="黑体" w:cs="黑体"/>
          <w:sz w:val="30"/>
          <w:szCs w:val="30"/>
          <w:lang w:eastAsia="zh-CN"/>
        </w:rPr>
        <w:t>教育教学工作</w:t>
      </w:r>
    </w:p>
    <w:p w14:paraId="1AD1A1C5">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加强教育科研工作。设立教科室，积极开展教科研工作，为全面提升教育教学质量提供教科研和信息技术的强力支持。</w:t>
      </w:r>
      <w:r>
        <w:rPr>
          <w:rFonts w:hint="eastAsia" w:ascii="仿宋_GB2312" w:hAnsi="仿宋_GB2312" w:eastAsia="仿宋_GB2312" w:cs="仿宋_GB2312"/>
          <w:sz w:val="30"/>
          <w:szCs w:val="30"/>
          <w:lang w:eastAsia="zh-CN"/>
        </w:rPr>
        <w:t>积极</w:t>
      </w:r>
      <w:r>
        <w:rPr>
          <w:rFonts w:hint="eastAsia" w:ascii="仿宋_GB2312" w:hAnsi="仿宋_GB2312" w:eastAsia="仿宋_GB2312" w:cs="仿宋_GB2312"/>
          <w:sz w:val="30"/>
          <w:szCs w:val="30"/>
        </w:rPr>
        <w:t>开展“同课异构”课堂教学活动及年级组教研活动，组织好教师岗位技能竞赛。努力将教研活动开展得具有时效。</w:t>
      </w:r>
    </w:p>
    <w:p w14:paraId="0C2C3F90">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深化教育教学改革。按照义务教育阶段学校“四好”要求完善学校发展机制。实施教学质量提升行动计划，全面推进高效课堂教学改革。加强教学管理，关注教学全过程</w:t>
      </w:r>
      <w:r>
        <w:rPr>
          <w:rFonts w:hint="eastAsia" w:ascii="仿宋_GB2312" w:hAnsi="仿宋_GB2312" w:eastAsia="仿宋_GB2312" w:cs="仿宋_GB2312"/>
          <w:sz w:val="30"/>
          <w:szCs w:val="30"/>
          <w:lang w:eastAsia="zh-CN"/>
        </w:rPr>
        <w:t>。</w:t>
      </w:r>
    </w:p>
    <w:p w14:paraId="1FD8506D">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努力提升教育教学质量。加强对东村中心小学及镇中心幼儿园和祖库小学附属幼儿班的统筹管理，强化幼儿教师队伍建设。</w:t>
      </w:r>
    </w:p>
    <w:p w14:paraId="2AAE679E">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全面强化教师培训。认真落实“国培”“省培”“县培”“校培”及班主任、骨干教师、农村教师等培训项目。</w:t>
      </w:r>
    </w:p>
    <w:p w14:paraId="22B4AF18">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黑体" w:hAnsi="黑体" w:eastAsia="黑体" w:cs="黑体"/>
          <w:sz w:val="30"/>
          <w:szCs w:val="30"/>
          <w:lang w:eastAsia="zh-CN"/>
        </w:rPr>
      </w:pPr>
      <w:r>
        <w:rPr>
          <w:rFonts w:hint="eastAsia" w:ascii="黑体" w:hAnsi="黑体" w:eastAsia="黑体" w:cs="黑体"/>
          <w:sz w:val="30"/>
          <w:szCs w:val="30"/>
          <w:lang w:val="en-US" w:eastAsia="zh-CN"/>
        </w:rPr>
        <w:t>7.</w:t>
      </w:r>
      <w:r>
        <w:rPr>
          <w:rFonts w:hint="eastAsia" w:ascii="黑体" w:hAnsi="黑体" w:eastAsia="黑体" w:cs="黑体"/>
          <w:sz w:val="30"/>
          <w:szCs w:val="30"/>
          <w:lang w:eastAsia="zh-CN"/>
        </w:rPr>
        <w:t>师德师风建设</w:t>
      </w:r>
    </w:p>
    <w:p w14:paraId="5F1C5055">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加强和改进师德建设。贯彻落实《中小学教师职业道德规范》，依法规范教师从教行为，建立健全师德监督、考核、评价和激励机制，落实教书育人“一岗双责”考核制度，实行师德考核“一票否决制”。开展“师德师风主题教育活动”，组织全体教师“做‘四有’好老师”师德师风公开承诺，进一步统一思想、提高认识，增强家校联系，形成教育合力。</w:t>
      </w:r>
    </w:p>
    <w:p w14:paraId="628E7AA9">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加强教师队伍管理。认真落实《富民县加强教师队伍建设的实施方案》《富民县教育系统加强教师队伍管理的实施办法（试行）》，做好师资管理、人事调配、岗位设置及职称评聘工作。依据东村中心小学内部管理体制方案，认真落实绩效工资考核分配方案，充分调动广大教师爱岗敬业的积极性。</w:t>
      </w:r>
    </w:p>
    <w:p w14:paraId="0644DFD5">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黑体" w:hAnsi="黑体" w:eastAsia="黑体" w:cs="黑体"/>
          <w:sz w:val="30"/>
          <w:szCs w:val="30"/>
          <w:lang w:eastAsia="zh-CN"/>
        </w:rPr>
      </w:pPr>
      <w:r>
        <w:rPr>
          <w:rFonts w:hint="eastAsia" w:ascii="黑体" w:hAnsi="黑体" w:eastAsia="黑体" w:cs="黑体"/>
          <w:sz w:val="30"/>
          <w:szCs w:val="30"/>
          <w:lang w:val="en-US" w:eastAsia="zh-CN"/>
        </w:rPr>
        <w:t>8.</w:t>
      </w:r>
      <w:r>
        <w:rPr>
          <w:rFonts w:hint="eastAsia" w:ascii="黑体" w:hAnsi="黑体" w:eastAsia="黑体" w:cs="黑体"/>
          <w:sz w:val="30"/>
          <w:szCs w:val="30"/>
          <w:lang w:eastAsia="zh-CN"/>
        </w:rPr>
        <w:t>安全工作</w:t>
      </w:r>
    </w:p>
    <w:p w14:paraId="00F79920">
      <w:pPr>
        <w:keepNext w:val="0"/>
        <w:keepLines w:val="0"/>
        <w:pageBreakBefore w:val="0"/>
        <w:widowControl/>
        <w:kinsoku/>
        <w:wordWrap/>
        <w:overflowPunct/>
        <w:topLinePunct w:val="0"/>
        <w:autoSpaceDE/>
        <w:autoSpaceDN/>
        <w:bidi w:val="0"/>
        <w:adjustRightInd w:val="0"/>
        <w:snapToGrid w:val="0"/>
        <w:spacing w:line="576" w:lineRule="exact"/>
        <w:ind w:firstLine="60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0"/>
          <w:szCs w:val="30"/>
        </w:rPr>
        <w:t>扎实开展安全宣传教育。为做好学校的后勤服务、安保工作、宿舍管理工作，确保新学期安全、顺利开学。组织全体教职员工深入学习相关法律法规，做好安全警示教育工作。把安全教育、法治教育、禁毒防艾教育等纳入学校正常的教育教学范围，全面落实安全教育课程。以安全生产月、安全教育周、全国中小学生安全教育日等重要时间节点为契机，大力开展防溺水、交通、消防等安全常识培训和安全“十</w:t>
      </w:r>
      <w:r>
        <w:rPr>
          <w:rFonts w:hint="eastAsia" w:ascii="仿宋_GB2312" w:hAnsi="仿宋_GB2312" w:eastAsia="仿宋_GB2312" w:cs="仿宋_GB2312"/>
          <w:sz w:val="30"/>
          <w:szCs w:val="30"/>
          <w:lang w:eastAsia="zh-CN"/>
        </w:rPr>
        <w:t>六</w:t>
      </w:r>
      <w:r>
        <w:rPr>
          <w:rFonts w:hint="eastAsia" w:ascii="仿宋_GB2312" w:hAnsi="仿宋_GB2312" w:eastAsia="仿宋_GB2312" w:cs="仿宋_GB2312"/>
          <w:sz w:val="30"/>
          <w:szCs w:val="30"/>
        </w:rPr>
        <w:t>防”教育。</w:t>
      </w:r>
    </w:p>
    <w:p w14:paraId="5E647CF2">
      <w:pPr>
        <w:spacing w:line="600" w:lineRule="exact"/>
        <w:ind w:firstLine="600" w:firstLineChars="200"/>
        <w:outlineLvl w:val="1"/>
        <w:rPr>
          <w:rFonts w:hint="eastAsia" w:ascii="黑体" w:hAnsi="黑体" w:eastAsia="黑体"/>
          <w:sz w:val="30"/>
          <w:szCs w:val="30"/>
          <w:highlight w:val="none"/>
          <w:lang w:eastAsia="zh-CN"/>
        </w:rPr>
      </w:pPr>
    </w:p>
    <w:p w14:paraId="7FA16F0A">
      <w:pPr>
        <w:spacing w:line="600" w:lineRule="exact"/>
        <w:ind w:firstLine="600" w:firstLineChars="200"/>
        <w:jc w:val="left"/>
        <w:rPr>
          <w:rFonts w:hint="eastAsia" w:ascii="仿宋_GB2312" w:hAnsi="宋体" w:eastAsia="仿宋_GB2312" w:cs="Arial"/>
          <w:kern w:val="0"/>
          <w:sz w:val="30"/>
          <w:szCs w:val="30"/>
          <w:highlight w:val="none"/>
        </w:rPr>
      </w:pPr>
    </w:p>
    <w:p w14:paraId="2A14ABAF">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5FCF3C51">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3B777E00">
      <w:pPr>
        <w:pStyle w:val="9"/>
        <w:keepNext w:val="0"/>
        <w:keepLines w:val="0"/>
        <w:pageBreakBefore w:val="0"/>
        <w:widowControl/>
        <w:kinsoku/>
        <w:wordWrap/>
        <w:overflowPunct/>
        <w:topLinePunct w:val="0"/>
        <w:autoSpaceDE/>
        <w:autoSpaceDN/>
        <w:bidi w:val="0"/>
        <w:adjustRightInd/>
        <w:snapToGrid/>
        <w:spacing w:line="560" w:lineRule="exact"/>
        <w:ind w:left="0" w:right="0" w:firstLine="600"/>
        <w:textAlignment w:val="auto"/>
        <w:rPr>
          <w:rFonts w:ascii="宋体" w:hAnsi="宋体" w:eastAsia="宋体" w:cs="宋体"/>
          <w:lang w:val="zh-CN" w:eastAsia="zh-CN"/>
        </w:rPr>
      </w:pPr>
      <w:r>
        <w:rPr>
          <w:rFonts w:hint="eastAsia" w:ascii="仿宋_GB2312" w:hAnsi="Times New Roman" w:eastAsia="仿宋_GB2312" w:cs="Times New Roman"/>
          <w:kern w:val="2"/>
          <w:sz w:val="30"/>
          <w:szCs w:val="30"/>
          <w:highlight w:val="none"/>
          <w:lang w:val="zh-CN" w:eastAsia="zh-CN" w:bidi="ar-SA"/>
        </w:rPr>
        <w:t>本</w:t>
      </w:r>
      <w:r>
        <w:rPr>
          <w:rFonts w:hint="eastAsia" w:ascii="仿宋_GB2312" w:hAnsi="Times New Roman" w:eastAsia="仿宋_GB2312" w:cs="Times New Roman"/>
          <w:kern w:val="2"/>
          <w:sz w:val="30"/>
          <w:szCs w:val="30"/>
          <w:highlight w:val="none"/>
          <w:lang w:val="en-US" w:eastAsia="zh-CN" w:bidi="ar-SA"/>
        </w:rPr>
        <w:t>单位</w:t>
      </w:r>
      <w:r>
        <w:rPr>
          <w:rFonts w:hint="eastAsia" w:ascii="仿宋_GB2312" w:hAnsi="Times New Roman" w:eastAsia="仿宋_GB2312" w:cs="Times New Roman"/>
          <w:kern w:val="2"/>
          <w:sz w:val="30"/>
          <w:szCs w:val="30"/>
          <w:highlight w:val="none"/>
          <w:lang w:val="en-US" w:eastAsia="en-US" w:bidi="ar-SA"/>
        </w:rPr>
        <w:t>20</w:t>
      </w:r>
      <w:r>
        <w:rPr>
          <w:rFonts w:hint="eastAsia" w:ascii="仿宋_GB2312" w:hAnsi="Times New Roman" w:eastAsia="仿宋_GB2312" w:cs="Times New Roman"/>
          <w:kern w:val="2"/>
          <w:sz w:val="30"/>
          <w:szCs w:val="30"/>
          <w:highlight w:val="none"/>
          <w:lang w:val="en-US" w:eastAsia="zh-CN" w:bidi="ar-SA"/>
        </w:rPr>
        <w:t>25</w:t>
      </w:r>
      <w:r>
        <w:rPr>
          <w:rFonts w:hint="eastAsia" w:ascii="仿宋_GB2312" w:hAnsi="Times New Roman" w:eastAsia="仿宋_GB2312" w:cs="Times New Roman"/>
          <w:kern w:val="2"/>
          <w:sz w:val="30"/>
          <w:szCs w:val="30"/>
          <w:highlight w:val="none"/>
          <w:lang w:val="zh-CN" w:eastAsia="zh-CN" w:bidi="ar-SA"/>
        </w:rPr>
        <w:t>年度无国有资本经营预算财政拨款收入，《国有资本经营预算财政拨款收入支出决算表》为空表。</w:t>
      </w:r>
    </w:p>
    <w:p w14:paraId="1F4B29FE">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本单位2025年度无</w:t>
      </w:r>
      <w:r>
        <w:rPr>
          <w:rFonts w:hint="eastAsia" w:ascii="仿宋_GB2312" w:eastAsia="仿宋_GB2312"/>
          <w:sz w:val="30"/>
          <w:szCs w:val="30"/>
          <w:highlight w:val="none"/>
          <w:lang w:eastAsia="zh-CN"/>
        </w:rPr>
        <w:t>政府性基金预算财政拨款收入，《</w:t>
      </w:r>
      <w:r>
        <w:rPr>
          <w:rFonts w:hint="eastAsia" w:ascii="仿宋_GB2312" w:hAnsi="仿宋_GB2312" w:eastAsia="仿宋_GB2312" w:cs="仿宋_GB2312"/>
          <w:b w:val="0"/>
          <w:bCs w:val="0"/>
          <w:color w:val="auto"/>
          <w:sz w:val="30"/>
          <w:szCs w:val="30"/>
          <w:highlight w:val="none"/>
          <w:u w:val="none"/>
          <w:lang w:val="en-US" w:eastAsia="zh-CN"/>
        </w:rPr>
        <w:t>政府性基金预算财政拨款收入支出决算表</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为空表。</w:t>
      </w:r>
    </w:p>
    <w:p w14:paraId="18989562">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5F0F0E9D">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7923EB2E">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富民县东村中心小学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16974636.93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16352337.49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96.33</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622299.44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3.67</w:t>
      </w:r>
      <w:r>
        <w:rPr>
          <w:rFonts w:hint="eastAsia" w:ascii="仿宋_GB2312" w:eastAsia="仿宋_GB2312"/>
          <w:sz w:val="30"/>
          <w:szCs w:val="30"/>
          <w:highlight w:val="none"/>
        </w:rPr>
        <w:t>%。</w:t>
      </w:r>
    </w:p>
    <w:p w14:paraId="4A681D7F">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2046297.62</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13.71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1423998.18</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9.54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；附属单位上缴收入增加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622299.44</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100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年度内教师岗位变动，学生人数减少，并且支付了5000000.00元的东村小学“全面改薄”工程款。</w:t>
      </w:r>
    </w:p>
    <w:p w14:paraId="1D9AB7E6">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13216CC8">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富民县东村中心小学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16971870.67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10416095.54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61.37</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6555775.13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38.63</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158365A5">
      <w:pPr>
        <w:widowControl/>
        <w:snapToGrid w:val="0"/>
        <w:spacing w:before="100" w:after="100" w:line="600" w:lineRule="exact"/>
        <w:ind w:firstLine="538"/>
        <w:jc w:val="left"/>
        <w:rPr>
          <w:rFonts w:hint="default" w:ascii="仿宋_GB2312" w:eastAsia="仿宋_GB2312"/>
          <w:sz w:val="30"/>
          <w:szCs w:val="30"/>
          <w:highlight w:val="none"/>
          <w:lang w:val="en-US"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2043531.36</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13.69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605091.23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5.49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2648622.59</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67.79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年度内教师岗位变动，学生人数减少，并且支付了5000000.00元的东村小学“全面改薄”工程款。</w:t>
      </w:r>
    </w:p>
    <w:p w14:paraId="0BEF38F1">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36585979">
      <w:pPr>
        <w:widowControl/>
        <w:snapToGrid w:val="0"/>
        <w:spacing w:before="100" w:after="100" w:line="600" w:lineRule="exact"/>
        <w:ind w:firstLine="600" w:firstLineChars="200"/>
        <w:jc w:val="left"/>
        <w:rPr>
          <w:rFonts w:hint="default" w:ascii="仿宋_GB2312" w:eastAsia="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富民县东村中心小学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10416095.54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10344937.03</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99.32</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71158.51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0.68</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人均208321.91元。</w:t>
      </w:r>
    </w:p>
    <w:p w14:paraId="3F076175">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2B22C66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富民县东村中心小学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6555775.13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具体项目开支及开展工作情况：</w:t>
      </w:r>
    </w:p>
    <w:p w14:paraId="5B02A26E">
      <w:pPr>
        <w:pStyle w:val="9"/>
        <w:spacing w:before="0" w:beforeAutospacing="0" w:after="0" w:afterAutospacing="0" w:line="590" w:lineRule="atLeast"/>
        <w:ind w:left="0" w:right="0" w:rightChars="0" w:firstLine="600" w:firstLineChars="200"/>
        <w:jc w:val="both"/>
        <w:rPr>
          <w:rFonts w:hint="eastAsia" w:ascii="仿宋_GB2312" w:hAnsi="Calibri" w:eastAsia="仿宋_GB2312" w:cs="Times New Roman"/>
          <w:color w:val="auto"/>
          <w:kern w:val="2"/>
          <w:sz w:val="30"/>
          <w:szCs w:val="30"/>
          <w:highlight w:val="none"/>
          <w:lang w:val="en-US" w:eastAsia="zh-CN" w:bidi="ar-SA"/>
        </w:rPr>
      </w:pPr>
      <w:r>
        <w:rPr>
          <w:rFonts w:hint="eastAsia" w:ascii="仿宋_GB2312" w:hAnsi="Calibri" w:eastAsia="仿宋_GB2312" w:cs="Times New Roman"/>
          <w:color w:val="auto"/>
          <w:kern w:val="2"/>
          <w:sz w:val="30"/>
          <w:szCs w:val="30"/>
          <w:highlight w:val="none"/>
          <w:lang w:val="en-US" w:eastAsia="zh-CN" w:bidi="ar-SA"/>
        </w:rPr>
        <w:t>1.2025年义务教育公用经费支出138829.08元，占项目总支出的2.12%，主要用于办公费、维修维护费、水费、电费、培训费、差旅费、委托业务费、物业管理费等费用支出。</w:t>
      </w:r>
    </w:p>
    <w:p w14:paraId="6863751B">
      <w:pPr>
        <w:pStyle w:val="9"/>
        <w:spacing w:before="0" w:beforeAutospacing="0" w:after="0" w:afterAutospacing="0" w:line="590" w:lineRule="atLeast"/>
        <w:ind w:left="0" w:right="0" w:rightChars="0" w:firstLine="600"/>
        <w:jc w:val="both"/>
        <w:rPr>
          <w:rFonts w:hint="eastAsia" w:ascii="仿宋_GB2312" w:hAnsi="Calibri" w:eastAsia="仿宋_GB2312" w:cs="Times New Roman"/>
          <w:color w:val="auto"/>
          <w:kern w:val="2"/>
          <w:sz w:val="30"/>
          <w:szCs w:val="30"/>
          <w:highlight w:val="none"/>
          <w:lang w:val="en-US" w:eastAsia="zh-CN" w:bidi="ar-SA"/>
        </w:rPr>
      </w:pPr>
      <w:r>
        <w:rPr>
          <w:rFonts w:hint="eastAsia" w:ascii="仿宋_GB2312" w:hAnsi="Calibri" w:eastAsia="仿宋_GB2312" w:cs="Times New Roman"/>
          <w:color w:val="auto"/>
          <w:kern w:val="2"/>
          <w:sz w:val="30"/>
          <w:szCs w:val="30"/>
          <w:highlight w:val="none"/>
          <w:lang w:val="en-US" w:eastAsia="zh-CN" w:bidi="ar-SA"/>
        </w:rPr>
        <w:t>2.2025年义务教育家庭经济困难学生生活补助支出298987.5元，占项目总支出的4.56%。主要用于义务教育家庭经济困难学生生活补助。</w:t>
      </w:r>
    </w:p>
    <w:p w14:paraId="395C116C">
      <w:pPr>
        <w:pStyle w:val="9"/>
        <w:spacing w:before="0" w:beforeAutospacing="0" w:after="0" w:afterAutospacing="0" w:line="590" w:lineRule="atLeast"/>
        <w:ind w:left="0" w:right="0" w:rightChars="0" w:firstLine="600"/>
        <w:jc w:val="both"/>
        <w:rPr>
          <w:rFonts w:hint="eastAsia" w:ascii="仿宋_GB2312" w:hAnsi="Calibri" w:eastAsia="仿宋_GB2312" w:cs="Times New Roman"/>
          <w:color w:val="auto"/>
          <w:kern w:val="2"/>
          <w:sz w:val="30"/>
          <w:szCs w:val="30"/>
          <w:highlight w:val="none"/>
          <w:lang w:val="en-US" w:eastAsia="zh-CN" w:bidi="ar-SA"/>
        </w:rPr>
      </w:pPr>
      <w:r>
        <w:rPr>
          <w:rFonts w:hint="eastAsia" w:ascii="仿宋_GB2312" w:hAnsi="Calibri" w:eastAsia="仿宋_GB2312" w:cs="Times New Roman"/>
          <w:color w:val="auto"/>
          <w:kern w:val="2"/>
          <w:sz w:val="30"/>
          <w:szCs w:val="30"/>
          <w:highlight w:val="none"/>
          <w:lang w:val="en-US" w:eastAsia="zh-CN" w:bidi="ar-SA"/>
        </w:rPr>
        <w:t>3.2025年义务教育学生营养改善计划补助支出453385.37元，占项目总支出的6.92%。主要用于学生营养改善计划支出。</w:t>
      </w:r>
    </w:p>
    <w:p w14:paraId="2EC47811">
      <w:pPr>
        <w:pStyle w:val="9"/>
        <w:spacing w:before="0" w:beforeAutospacing="0" w:after="0" w:afterAutospacing="0" w:line="590" w:lineRule="atLeast"/>
        <w:ind w:left="0" w:right="0" w:rightChars="0" w:firstLine="600"/>
        <w:jc w:val="both"/>
        <w:rPr>
          <w:rFonts w:hint="eastAsia" w:ascii="仿宋_GB2312" w:hAnsi="Calibri" w:eastAsia="仿宋_GB2312" w:cs="Times New Roman"/>
          <w:color w:val="auto"/>
          <w:kern w:val="2"/>
          <w:sz w:val="30"/>
          <w:szCs w:val="30"/>
          <w:highlight w:val="none"/>
          <w:lang w:val="en-US" w:eastAsia="zh-CN" w:bidi="ar-SA"/>
        </w:rPr>
      </w:pPr>
      <w:r>
        <w:rPr>
          <w:rFonts w:hint="eastAsia" w:ascii="仿宋_GB2312" w:hAnsi="Calibri" w:eastAsia="仿宋_GB2312" w:cs="Times New Roman"/>
          <w:color w:val="auto"/>
          <w:kern w:val="2"/>
          <w:sz w:val="30"/>
          <w:szCs w:val="30"/>
          <w:highlight w:val="none"/>
          <w:lang w:val="en-US" w:eastAsia="zh-CN" w:bidi="ar-SA"/>
        </w:rPr>
        <w:t>4.2025年义务教育富民县公办学校食堂大宗物资采购619533.18元，占项目总支出的9.45%。主要用于学生生活餐食堂物资采购支出。</w:t>
      </w:r>
    </w:p>
    <w:p w14:paraId="12AC0CDF">
      <w:pPr>
        <w:pStyle w:val="9"/>
        <w:spacing w:before="0" w:beforeAutospacing="0" w:after="0" w:afterAutospacing="0" w:line="590" w:lineRule="atLeast"/>
        <w:ind w:left="0" w:right="0" w:rightChars="0" w:firstLine="600"/>
        <w:jc w:val="both"/>
        <w:rPr>
          <w:rFonts w:hint="eastAsia" w:ascii="仿宋_GB2312" w:eastAsia="仿宋_GB2312"/>
          <w:color w:val="FF0000"/>
          <w:sz w:val="30"/>
          <w:szCs w:val="30"/>
          <w:highlight w:val="none"/>
        </w:rPr>
      </w:pPr>
      <w:r>
        <w:rPr>
          <w:rFonts w:hint="eastAsia" w:ascii="仿宋_GB2312" w:hAnsi="Calibri" w:eastAsia="仿宋_GB2312" w:cs="Times New Roman"/>
          <w:color w:val="auto"/>
          <w:kern w:val="2"/>
          <w:sz w:val="30"/>
          <w:szCs w:val="30"/>
          <w:highlight w:val="none"/>
          <w:lang w:val="en-US" w:eastAsia="zh-CN" w:bidi="ar-SA"/>
        </w:rPr>
        <w:t>5.教育经费投入两个只增不减专项资金支出5045040.00元，占项目总支出的76.95%。主要用于富民县东村中心小学“全面改薄”款支出。</w:t>
      </w:r>
    </w:p>
    <w:p w14:paraId="45190ADB">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0707A060">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6AD9E26B">
      <w:pPr>
        <w:widowControl/>
        <w:snapToGrid w:val="0"/>
        <w:spacing w:before="100" w:after="100" w:line="600" w:lineRule="exact"/>
        <w:ind w:firstLine="538"/>
        <w:jc w:val="left"/>
        <w:rPr>
          <w:rFonts w:hint="default" w:ascii="仿宋_GB2312" w:eastAsia="仿宋_GB2312"/>
          <w:sz w:val="30"/>
          <w:szCs w:val="30"/>
          <w:highlight w:val="none"/>
          <w:lang w:val="en-US" w:eastAsia="zh-CN"/>
        </w:rPr>
      </w:pPr>
      <w:r>
        <w:rPr>
          <w:rFonts w:hint="eastAsia" w:ascii="仿宋_GB2312" w:hAnsi="仿宋_GB2312" w:eastAsia="仿宋_GB2312" w:cs="仿宋_GB2312"/>
          <w:color w:val="auto"/>
          <w:sz w:val="30"/>
          <w:lang w:val="zh-CN"/>
        </w:rPr>
        <w:t>富民县东村中心小学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16352337.49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96.35</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1423998.18</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9.54</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152.21</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主要原因是</w:t>
      </w:r>
      <w:r>
        <w:rPr>
          <w:rFonts w:hint="eastAsia" w:ascii="仿宋_GB2312" w:eastAsia="仿宋_GB2312"/>
          <w:sz w:val="30"/>
          <w:szCs w:val="30"/>
          <w:highlight w:val="none"/>
          <w:lang w:val="en-US" w:eastAsia="zh-CN"/>
        </w:rPr>
        <w:t>年度内教师岗位变动，学生人数减少，并且支付了5000000.00元的东村小学“全面改薄”工程款。</w:t>
      </w:r>
    </w:p>
    <w:p w14:paraId="02986263">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0AC13282">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5F27939B">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7674F990">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6A03DEF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2A82080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13603051.70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83.19</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176.15</w:t>
      </w:r>
      <w:r>
        <w:rPr>
          <w:rFonts w:hint="eastAsia" w:ascii="仿宋_GB2312" w:eastAsia="仿宋_GB2312"/>
          <w:sz w:val="30"/>
          <w:szCs w:val="30"/>
          <w:highlight w:val="none"/>
          <w:lang w:val="en-US" w:eastAsia="zh-CN"/>
        </w:rPr>
        <w:t>%。</w:t>
      </w:r>
      <w:r>
        <w:rPr>
          <w:rFonts w:hint="eastAsia" w:ascii="仿宋_GB2312" w:hAnsi="仿宋_GB2312" w:eastAsia="仿宋_GB2312" w:cs="仿宋_GB2312"/>
          <w:color w:val="auto"/>
          <w:kern w:val="0"/>
          <w:sz w:val="30"/>
          <w:lang w:val="en-US" w:eastAsia="zh-CN"/>
        </w:rPr>
        <w:t>主要用于</w:t>
      </w:r>
      <w:r>
        <w:rPr>
          <w:rFonts w:hint="eastAsia" w:ascii="仿宋_GB2312" w:hAnsi="仿宋_GB2312" w:eastAsia="仿宋_GB2312" w:cs="仿宋_GB2312"/>
          <w:color w:val="auto"/>
          <w:kern w:val="0"/>
          <w:sz w:val="30"/>
          <w:lang w:val="zh-CN" w:eastAsia="zh-CN"/>
        </w:rPr>
        <w:t>工资福利支出、商品和服务支出、对个人和家庭的补助、资本性支出</w:t>
      </w:r>
      <w:r>
        <w:rPr>
          <w:rFonts w:hint="eastAsia" w:ascii="仿宋_GB2312" w:hAnsi="仿宋_GB2312" w:eastAsia="仿宋_GB2312" w:cs="仿宋_GB2312"/>
          <w:color w:val="auto"/>
          <w:kern w:val="0"/>
          <w:sz w:val="30"/>
          <w:lang w:val="en-US" w:eastAsia="zh-CN"/>
        </w:rPr>
        <w:t>；造成预决算差异的主要原因是</w:t>
      </w:r>
      <w:r>
        <w:rPr>
          <w:rFonts w:hint="eastAsia" w:ascii="仿宋_GB2312" w:hAnsi="仿宋_GB2312" w:eastAsia="仿宋_GB2312" w:cs="仿宋_GB2312"/>
          <w:color w:val="auto"/>
          <w:kern w:val="0"/>
          <w:sz w:val="30"/>
          <w:lang w:val="zh-CN" w:eastAsia="zh-CN"/>
        </w:rPr>
        <w:t>社会保障和就业、卫生健康支出预决算存在差异，主要是本年度人员岗位变动、人员增减，单位缴纳养老保险、医疗保险缴费发生变动所致。</w:t>
      </w:r>
    </w:p>
    <w:p w14:paraId="4BEC72B2">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5FFD8E2E">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255A36A1">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1032538.74</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6.31</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87.81</w:t>
      </w:r>
      <w:r>
        <w:rPr>
          <w:rFonts w:hint="eastAsia" w:ascii="仿宋_GB2312" w:eastAsia="仿宋_GB2312"/>
          <w:sz w:val="30"/>
          <w:szCs w:val="30"/>
          <w:highlight w:val="none"/>
          <w:lang w:val="en-US" w:eastAsia="zh-CN"/>
        </w:rPr>
        <w:t>%。</w:t>
      </w:r>
      <w:r>
        <w:rPr>
          <w:rFonts w:hint="eastAsia" w:ascii="仿宋_GB2312" w:hAnsi="仿宋_GB2312" w:eastAsia="仿宋_GB2312" w:cs="仿宋_GB2312"/>
          <w:color w:val="auto"/>
          <w:kern w:val="0"/>
          <w:sz w:val="30"/>
          <w:lang w:val="en-US"/>
        </w:rPr>
        <w:t>主要用于</w:t>
      </w:r>
      <w:r>
        <w:rPr>
          <w:rFonts w:hint="eastAsia" w:ascii="仿宋_GB2312" w:hAnsi="仿宋_GB2312" w:eastAsia="仿宋_GB2312" w:cs="仿宋_GB2312"/>
          <w:color w:val="auto"/>
          <w:kern w:val="0"/>
          <w:sz w:val="30"/>
          <w:lang w:val="en-US" w:eastAsia="zh-CN"/>
        </w:rPr>
        <w:t>支付教师社会保障福利费用</w:t>
      </w:r>
      <w:r>
        <w:rPr>
          <w:rFonts w:hint="eastAsia" w:ascii="仿宋_GB2312" w:hAnsi="仿宋_GB2312" w:eastAsia="仿宋_GB2312" w:cs="仿宋_GB2312"/>
          <w:color w:val="auto"/>
          <w:kern w:val="0"/>
          <w:sz w:val="30"/>
          <w:lang w:val="en-US"/>
        </w:rPr>
        <w:t>；</w:t>
      </w:r>
      <w:r>
        <w:rPr>
          <w:rFonts w:hint="eastAsia" w:ascii="仿宋_GB2312" w:hAnsi="仿宋_GB2312" w:eastAsia="仿宋_GB2312" w:cs="仿宋_GB2312"/>
          <w:color w:val="auto"/>
          <w:kern w:val="0"/>
          <w:sz w:val="30"/>
          <w:lang w:val="en-US" w:eastAsia="zh-CN"/>
        </w:rPr>
        <w:t>造成预决算差异的主要原因是教师进一级和副高职称，工资增加。</w:t>
      </w:r>
    </w:p>
    <w:p w14:paraId="4880DC0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1016073.05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6.21</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主要</w:t>
      </w:r>
      <w:r>
        <w:rPr>
          <w:rFonts w:hint="eastAsia" w:ascii="仿宋_GB2312" w:hAnsi="仿宋_GB2312" w:eastAsia="仿宋_GB2312" w:cs="仿宋_GB2312"/>
          <w:color w:val="auto"/>
          <w:kern w:val="0"/>
          <w:sz w:val="30"/>
          <w:lang w:val="en-US" w:eastAsia="zh-CN"/>
        </w:rPr>
        <w:t>用于支付医疗保险等</w:t>
      </w:r>
      <w:r>
        <w:rPr>
          <w:rFonts w:hint="eastAsia" w:ascii="仿宋_GB2312" w:hAnsi="仿宋_GB2312" w:eastAsia="仿宋_GB2312" w:cs="仿宋_GB2312"/>
          <w:color w:val="auto"/>
          <w:kern w:val="0"/>
          <w:sz w:val="30"/>
          <w:lang w:val="en-US"/>
        </w:rPr>
        <w:t>；</w:t>
      </w:r>
      <w:r>
        <w:rPr>
          <w:rFonts w:hint="eastAsia" w:ascii="仿宋_GB2312" w:hAnsi="仿宋_GB2312" w:eastAsia="仿宋_GB2312" w:cs="仿宋_GB2312"/>
          <w:color w:val="auto"/>
          <w:kern w:val="0"/>
          <w:sz w:val="30"/>
          <w:lang w:val="en-US" w:eastAsia="zh-CN"/>
        </w:rPr>
        <w:t>造成预决算差异的主要原因是教师进一级和副高职称，工资增加</w:t>
      </w:r>
      <w:r>
        <w:rPr>
          <w:rFonts w:hint="eastAsia" w:ascii="仿宋_GB2312" w:hAnsi="宋体" w:eastAsia="仿宋_GB2312" w:cs="Arial"/>
          <w:kern w:val="0"/>
          <w:sz w:val="30"/>
          <w:szCs w:val="30"/>
          <w:highlight w:val="none"/>
          <w:lang w:eastAsia="zh-CN"/>
        </w:rPr>
        <w:t>。</w:t>
      </w:r>
    </w:p>
    <w:p w14:paraId="319B2F7C">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495FC2D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59AC43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7DBC37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7ADCCC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77365B7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6BA690D5">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575FF12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6A70CA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23F1FE04">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700674.00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4.28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88.70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val="zh-CN" w:eastAsia="zh-CN"/>
        </w:rPr>
        <w:t>主要用于缴纳教职工住房公积金</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造成预决算差异的主要原因是</w:t>
      </w:r>
      <w:r>
        <w:rPr>
          <w:rFonts w:hint="eastAsia" w:ascii="仿宋_GB2312" w:eastAsia="仿宋_GB2312"/>
          <w:sz w:val="30"/>
          <w:szCs w:val="30"/>
          <w:highlight w:val="none"/>
          <w:lang w:val="en-US" w:eastAsia="zh-CN"/>
        </w:rPr>
        <w:t>教师岗位变动</w:t>
      </w:r>
      <w:r>
        <w:rPr>
          <w:rFonts w:hint="eastAsia" w:ascii="仿宋_GB2312" w:eastAsia="仿宋_GB2312"/>
          <w:sz w:val="30"/>
          <w:szCs w:val="30"/>
          <w:highlight w:val="none"/>
          <w:lang w:eastAsia="zh-CN"/>
        </w:rPr>
        <w:t>。</w:t>
      </w:r>
    </w:p>
    <w:p w14:paraId="038920A6">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38E833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72D8822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80033A5">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21307CAA">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5A46C6C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7FAA0EE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DE51173">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07CB022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7122AD7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6114.49</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228.98</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3.89</w:t>
      </w:r>
      <w:r>
        <w:rPr>
          <w:rFonts w:hint="eastAsia" w:ascii="仿宋_GB2312" w:hAnsi="宋体" w:eastAsia="仿宋_GB2312" w:cs="Arial"/>
          <w:kern w:val="0"/>
          <w:sz w:val="30"/>
          <w:szCs w:val="30"/>
          <w:highlight w:val="none"/>
          <w:lang w:val="en-US" w:eastAsia="zh-CN"/>
        </w:rPr>
        <w:t>%</w:t>
      </w:r>
      <w:r>
        <w:rPr>
          <w:rFonts w:hint="eastAsia" w:ascii="仿宋_GB2312" w:eastAsia="仿宋_GB2312"/>
          <w:color w:val="auto"/>
          <w:sz w:val="30"/>
          <w:szCs w:val="30"/>
          <w:lang w:eastAsia="zh-CN"/>
        </w:rPr>
        <w:t>。</w:t>
      </w:r>
    </w:p>
    <w:p w14:paraId="731759A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6114.49</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p>
    <w:p w14:paraId="75109EB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228.98</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3.89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p>
    <w:p w14:paraId="29961B0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6116957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6114.49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228.98</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3.89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p>
    <w:p w14:paraId="450994A9">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6114.49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一般公共预算财政拨款“三公”经费支出决算数大于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支付公务用车保险费、燃油费和运行维护费</w:t>
      </w:r>
      <w:r>
        <w:rPr>
          <w:rFonts w:hint="eastAsia" w:ascii="仿宋_GB2312" w:eastAsia="仿宋_GB2312"/>
          <w:sz w:val="30"/>
          <w:szCs w:val="30"/>
          <w:highlight w:val="none"/>
        </w:rPr>
        <w:t>。</w:t>
      </w:r>
    </w:p>
    <w:p w14:paraId="74EE6EA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上年无此项支出</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228.98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hAnsi="仿宋_GB2312" w:eastAsia="仿宋_GB2312" w:cs="仿宋_GB2312"/>
          <w:color w:val="000000"/>
          <w:sz w:val="30"/>
          <w:lang w:val="zh-CN"/>
        </w:rPr>
        <w:t>3.89</w:t>
      </w:r>
      <w:r>
        <w:rPr>
          <w:rFonts w:hint="eastAsia" w:ascii="仿宋_GB2312" w:eastAsia="仿宋_GB2312"/>
          <w:sz w:val="30"/>
          <w:szCs w:val="30"/>
          <w:highlight w:val="none"/>
        </w:rPr>
        <w:t>%；公务接待费支出决算增加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一般公共预算财政拨款“三公”经费支出决算增加的主要原因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公务用车老旧，运行维护费增加</w:t>
      </w:r>
      <w:r>
        <w:rPr>
          <w:rFonts w:hint="eastAsia" w:ascii="仿宋_GB2312" w:eastAsia="仿宋_GB2312"/>
          <w:sz w:val="30"/>
          <w:szCs w:val="30"/>
          <w:highlight w:val="none"/>
        </w:rPr>
        <w:t>。</w:t>
      </w:r>
    </w:p>
    <w:p w14:paraId="54FFB59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41BB2D13">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10C43F9B">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en-US" w:eastAsia="zh-CN"/>
        </w:rPr>
        <w:t>1</w:t>
      </w:r>
      <w:r>
        <w:rPr>
          <w:rFonts w:hint="eastAsia" w:ascii="仿宋_GB2312" w:eastAsia="仿宋_GB2312"/>
          <w:b w:val="0"/>
          <w:bCs/>
          <w:sz w:val="30"/>
          <w:szCs w:val="30"/>
          <w:highlight w:val="none"/>
        </w:rPr>
        <w:t>辆。主要用于</w:t>
      </w:r>
      <w:r>
        <w:rPr>
          <w:rFonts w:hint="eastAsia" w:ascii="仿宋_GB2312" w:eastAsia="仿宋_GB2312"/>
          <w:b w:val="0"/>
          <w:bCs/>
          <w:sz w:val="30"/>
          <w:szCs w:val="30"/>
          <w:highlight w:val="none"/>
          <w:lang w:val="en-US" w:eastAsia="zh-CN"/>
        </w:rPr>
        <w:t>开展教育教学、教研活动等</w:t>
      </w:r>
      <w:r>
        <w:rPr>
          <w:rFonts w:hint="eastAsia" w:ascii="仿宋_GB2312" w:eastAsia="仿宋_GB2312"/>
          <w:b w:val="0"/>
          <w:bCs/>
          <w:sz w:val="30"/>
          <w:szCs w:val="30"/>
          <w:highlight w:val="none"/>
        </w:rPr>
        <w:t>所需车辆燃料费、维修费、过路过桥费、保险费等。</w:t>
      </w:r>
    </w:p>
    <w:p w14:paraId="1CC9A6F9">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74C15C3A">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24C49B8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53F4B77A">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0F6721EF">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49AE00D1">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富民县东村中心小学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lang w:val="en-US" w:eastAsia="zh-CN"/>
        </w:rPr>
        <w:t>我</w:t>
      </w:r>
      <w:r>
        <w:rPr>
          <w:rFonts w:hint="eastAsia" w:ascii="仿宋_GB2312" w:hAnsi="黑体" w:eastAsia="仿宋_GB2312" w:cs="方正小标宋简体"/>
          <w:sz w:val="30"/>
          <w:szCs w:val="30"/>
          <w:highlight w:val="none"/>
          <w:lang w:eastAsia="zh-CN"/>
        </w:rPr>
        <w:t>单位</w:t>
      </w:r>
      <w:r>
        <w:rPr>
          <w:rFonts w:hint="eastAsia" w:ascii="仿宋_GB2312" w:hAnsi="黑体" w:eastAsia="仿宋_GB2312" w:cs="方正小标宋简体"/>
          <w:sz w:val="30"/>
          <w:szCs w:val="30"/>
          <w:highlight w:val="none"/>
          <w:lang w:val="en-US" w:eastAsia="zh-CN"/>
        </w:rPr>
        <w:t>无</w:t>
      </w:r>
      <w:r>
        <w:rPr>
          <w:rFonts w:hint="eastAsia" w:ascii="仿宋_GB2312" w:hAnsi="黑体" w:eastAsia="仿宋_GB2312" w:cs="方正小标宋简体"/>
          <w:sz w:val="30"/>
          <w:szCs w:val="30"/>
          <w:highlight w:val="none"/>
        </w:rPr>
        <w:t>机关运行经费</w:t>
      </w:r>
      <w:r>
        <w:rPr>
          <w:rFonts w:hint="eastAsia" w:ascii="仿宋_GB2312" w:hAnsi="黑体" w:eastAsia="仿宋_GB2312" w:cs="方正小标宋简体"/>
          <w:sz w:val="30"/>
          <w:szCs w:val="30"/>
          <w:highlight w:val="none"/>
          <w:lang w:val="en-US" w:eastAsia="zh-CN"/>
        </w:rPr>
        <w:t>支出</w:t>
      </w:r>
      <w:r>
        <w:rPr>
          <w:rFonts w:hint="eastAsia" w:ascii="仿宋_GB2312" w:hAnsi="黑体" w:eastAsia="仿宋_GB2312" w:cs="方正小标宋简体"/>
          <w:sz w:val="30"/>
          <w:szCs w:val="30"/>
          <w:highlight w:val="none"/>
        </w:rPr>
        <w:t>。</w:t>
      </w:r>
    </w:p>
    <w:p w14:paraId="3CECF9B7">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51132A67">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富民县东村中心小学</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39932541.40</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1187115.54</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36259091.22</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2486334.64</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1845147.41</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1798826.25</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2EBF5B3A">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0702AFCD">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48A6F088">
            <w:pPr>
              <w:widowControl/>
              <w:jc w:val="left"/>
              <w:rPr>
                <w:rFonts w:ascii="宋体" w:hAnsi="宋体" w:cs="宋体"/>
                <w:color w:val="000000"/>
                <w:kern w:val="0"/>
                <w:sz w:val="17"/>
                <w:szCs w:val="17"/>
                <w:highlight w:val="none"/>
              </w:rPr>
            </w:pPr>
          </w:p>
        </w:tc>
      </w:tr>
      <w:tr w14:paraId="0068C884">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742386B5">
            <w:pPr>
              <w:widowControl/>
              <w:jc w:val="left"/>
              <w:rPr>
                <w:rFonts w:ascii="宋体" w:hAnsi="宋体" w:cs="宋体"/>
                <w:color w:val="000000"/>
                <w:kern w:val="0"/>
                <w:sz w:val="17"/>
                <w:szCs w:val="17"/>
                <w:highlight w:val="none"/>
              </w:rPr>
            </w:pPr>
          </w:p>
        </w:tc>
      </w:tr>
      <w:tr w14:paraId="6B84801F">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7379197E">
            <w:pPr>
              <w:widowControl/>
              <w:jc w:val="left"/>
              <w:rPr>
                <w:rFonts w:ascii="宋体" w:hAnsi="宋体" w:cs="宋体"/>
                <w:color w:val="000000"/>
                <w:kern w:val="0"/>
                <w:sz w:val="17"/>
                <w:szCs w:val="17"/>
                <w:highlight w:val="none"/>
              </w:rPr>
            </w:pPr>
          </w:p>
        </w:tc>
      </w:tr>
      <w:tr w14:paraId="5D4BF041">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15AE9E03">
            <w:pPr>
              <w:widowControl/>
              <w:jc w:val="left"/>
              <w:rPr>
                <w:rFonts w:ascii="宋体" w:hAnsi="宋体" w:cs="宋体"/>
                <w:color w:val="000000"/>
                <w:kern w:val="0"/>
                <w:sz w:val="17"/>
                <w:szCs w:val="17"/>
                <w:highlight w:val="none"/>
              </w:rPr>
            </w:pPr>
          </w:p>
        </w:tc>
      </w:tr>
      <w:tr w14:paraId="33C1FED8">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6AAEFBF2">
            <w:pPr>
              <w:widowControl/>
              <w:jc w:val="left"/>
              <w:rPr>
                <w:rFonts w:ascii="宋体" w:hAnsi="宋体" w:cs="宋体"/>
                <w:color w:val="000000"/>
                <w:kern w:val="0"/>
                <w:sz w:val="17"/>
                <w:szCs w:val="17"/>
                <w:highlight w:val="none"/>
              </w:rPr>
            </w:pPr>
          </w:p>
        </w:tc>
      </w:tr>
      <w:tr w14:paraId="04C45ED2">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3FBD772D">
            <w:pPr>
              <w:widowControl/>
              <w:jc w:val="left"/>
              <w:rPr>
                <w:rFonts w:ascii="宋体" w:hAnsi="宋体" w:cs="宋体"/>
                <w:color w:val="000000"/>
                <w:kern w:val="0"/>
                <w:sz w:val="17"/>
                <w:szCs w:val="17"/>
                <w:highlight w:val="none"/>
              </w:rPr>
            </w:pPr>
          </w:p>
        </w:tc>
      </w:tr>
      <w:tr w14:paraId="5C22870D">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05112E7B">
            <w:pPr>
              <w:widowControl/>
              <w:jc w:val="left"/>
              <w:rPr>
                <w:rFonts w:ascii="宋体" w:hAnsi="宋体" w:cs="宋体"/>
                <w:color w:val="000000"/>
                <w:kern w:val="0"/>
                <w:sz w:val="17"/>
                <w:szCs w:val="17"/>
                <w:highlight w:val="none"/>
              </w:rPr>
            </w:pPr>
          </w:p>
        </w:tc>
      </w:tr>
      <w:tr w14:paraId="41EEF900">
        <w:tblPrEx>
          <w:tblCellMar>
            <w:top w:w="0" w:type="dxa"/>
            <w:left w:w="0" w:type="dxa"/>
            <w:bottom w:w="0" w:type="dxa"/>
            <w:right w:w="0" w:type="dxa"/>
          </w:tblCellMar>
        </w:tblPrEx>
        <w:trPr>
          <w:trHeight w:val="495" w:hRule="atLeast"/>
        </w:trPr>
        <w:tc>
          <w:tcPr>
            <w:tcW w:w="142" w:type="dxa"/>
            <w:noWrap w:val="0"/>
            <w:vAlign w:val="center"/>
          </w:tcPr>
          <w:p w14:paraId="127A82B4">
            <w:pPr>
              <w:widowControl/>
              <w:jc w:val="left"/>
              <w:rPr>
                <w:rFonts w:ascii="Times New Roman" w:hAnsi="Times New Roman" w:eastAsia="Times New Roman"/>
                <w:kern w:val="0"/>
                <w:sz w:val="20"/>
                <w:szCs w:val="20"/>
                <w:highlight w:val="none"/>
              </w:rPr>
            </w:pPr>
          </w:p>
        </w:tc>
      </w:tr>
    </w:tbl>
    <w:p w14:paraId="16298CA1">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230365CD">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1241314.49</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1235200.00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6114.49</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1235200.00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169925D4">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3465A6E2">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5A15336D">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1A5D8098">
      <w:pPr>
        <w:widowControl/>
        <w:snapToGrid w:val="0"/>
        <w:spacing w:before="100" w:after="100" w:line="360" w:lineRule="auto"/>
        <w:ind w:firstLine="600" w:firstLineChars="200"/>
        <w:jc w:val="left"/>
        <w:rPr>
          <w:rFonts w:hint="eastAsia" w:ascii="仿宋" w:hAnsi="仿宋" w:eastAsia="仿宋"/>
          <w:color w:val="auto"/>
          <w:sz w:val="30"/>
          <w:lang w:val="en-US" w:eastAsia="zh-CN"/>
        </w:rPr>
      </w:pPr>
      <w:r>
        <w:rPr>
          <w:rFonts w:hint="eastAsia" w:ascii="仿宋_GB2312" w:hAnsi="仿宋_GB2312" w:eastAsia="仿宋_GB2312" w:cs="仿宋_GB2312"/>
          <w:sz w:val="30"/>
          <w:szCs w:val="30"/>
          <w:highlight w:val="none"/>
          <w:lang w:val="en-US" w:eastAsia="zh-CN"/>
        </w:rPr>
        <w:t>我单位2025</w:t>
      </w:r>
      <w:bookmarkStart w:id="0" w:name="_GoBack"/>
      <w:bookmarkEnd w:id="0"/>
      <w:r>
        <w:rPr>
          <w:rFonts w:hint="eastAsia" w:ascii="仿宋_GB2312" w:hAnsi="仿宋_GB2312" w:eastAsia="仿宋_GB2312" w:cs="仿宋_GB2312"/>
          <w:sz w:val="30"/>
          <w:szCs w:val="30"/>
          <w:highlight w:val="none"/>
          <w:lang w:val="en-US" w:eastAsia="zh-CN"/>
        </w:rPr>
        <w:t>年无其他重要事项情况说明</w:t>
      </w:r>
      <w:r>
        <w:rPr>
          <w:rFonts w:hint="eastAsia" w:ascii="仿宋" w:hAnsi="仿宋" w:eastAsia="仿宋"/>
          <w:color w:val="auto"/>
          <w:sz w:val="30"/>
          <w:lang w:val="en-US" w:eastAsia="zh-CN"/>
        </w:rPr>
        <w:t>。</w:t>
      </w:r>
    </w:p>
    <w:p w14:paraId="6F2678FC">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237BB407">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210738BC">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19710D42">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4B0BCB67">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0AECCAD9">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39DD8457">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38D36EA8">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情况说明里涉及到需要解释说明的决算相关专用名词，在此进行说明解释。</w:t>
      </w:r>
      <w:r>
        <w:rPr>
          <w:rFonts w:hint="eastAsia" w:ascii="仿宋_GB2312" w:hAnsi="黑体" w:eastAsia="仿宋_GB2312" w:cs="方正小标宋简体"/>
          <w:sz w:val="30"/>
          <w:szCs w:val="30"/>
          <w:highlight w:val="none"/>
          <w:lang w:eastAsia="zh-CN"/>
        </w:rPr>
        <w:t>若没有涉及专用名词，</w:t>
      </w:r>
      <w:r>
        <w:rPr>
          <w:rFonts w:hint="eastAsia" w:ascii="仿宋_GB2312" w:hAnsi="黑体" w:eastAsia="仿宋_GB2312" w:cs="方正小标宋简体"/>
          <w:b/>
          <w:bCs/>
          <w:sz w:val="30"/>
          <w:szCs w:val="30"/>
          <w:highlight w:val="none"/>
          <w:lang w:eastAsia="zh-CN"/>
        </w:rPr>
        <w:t>应</w:t>
      </w:r>
      <w:r>
        <w:rPr>
          <w:rFonts w:hint="eastAsia" w:ascii="仿宋_GB2312" w:hAnsi="仿宋_GB2312" w:eastAsia="仿宋_GB2312" w:cs="仿宋_GB2312"/>
          <w:b/>
          <w:bCs/>
          <w:sz w:val="30"/>
          <w:szCs w:val="30"/>
          <w:highlight w:val="none"/>
          <w:u w:val="none"/>
          <w:lang w:val="en-US" w:eastAsia="zh-CN"/>
        </w:rPr>
        <w:t>至少公开一条与决算相关的财务专业名词解释，或</w:t>
      </w:r>
      <w:r>
        <w:rPr>
          <w:rFonts w:hint="eastAsia" w:ascii="仿宋_GB2312" w:hAnsi="黑体" w:eastAsia="仿宋_GB2312" w:cs="方正小标宋简体"/>
          <w:sz w:val="30"/>
          <w:szCs w:val="30"/>
          <w:highlight w:val="none"/>
          <w:lang w:eastAsia="zh-CN"/>
        </w:rPr>
        <w:t>请直接保留模板提供专用名词。</w:t>
      </w:r>
    </w:p>
    <w:p w14:paraId="041FA697">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4D"/>
    <w:family w:val="roman"/>
    <w:pitch w:val="default"/>
    <w:sig w:usb0="00000000" w:usb1="00000000" w:usb2="00000006" w:usb3="00000000" w:csb0="00040001" w:csb1="00000000"/>
  </w:font>
  <w:font w:name="Wingdings">
    <w:altName w:val="Bookshelf Symbol 7"/>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Arial Unicode MS"/>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altName w:val="Arial Unicode MS"/>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5E12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9109D85">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69109D85">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8D994">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09B18794">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C0E9D">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0MTk5OTdkZDFiMGY1NWVhMjU4ZjA1NjkxNDJmNWEifQ=="/>
  </w:docVars>
  <w:rsids>
    <w:rsidRoot w:val="00000000"/>
    <w:rsid w:val="018115D3"/>
    <w:rsid w:val="20C24CC7"/>
    <w:rsid w:val="2558657F"/>
    <w:rsid w:val="2FA8339A"/>
    <w:rsid w:val="3C382AEA"/>
    <w:rsid w:val="519805C3"/>
    <w:rsid w:val="5FE73D0A"/>
    <w:rsid w:val="64065E2D"/>
    <w:rsid w:val="75B353C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 w:type="paragraph" w:customStyle="1" w:styleId="9">
    <w:name w:val="p_MsoNormal"/>
    <w:basedOn w:val="10"/>
    <w:qFormat/>
    <w:uiPriority w:val="0"/>
    <w:rPr>
      <w:rFonts w:ascii="宋体" w:hAnsi="宋体" w:eastAsia="宋体" w:cs="宋体"/>
      <w:sz w:val="24"/>
      <w:szCs w:val="24"/>
    </w:rPr>
  </w:style>
  <w:style w:type="paragraph" w:customStyle="1" w:styleId="10">
    <w:name w:val="p"/>
    <w:basedOn w:val="1"/>
    <w:qFormat/>
    <w:uiPriority w:val="0"/>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2052-11.8.2.12309</vt:lpwstr>
  </property>
  <property xmlns="http://schemas.openxmlformats.org/officeDocument/2006/custom-properties" fmtid="{D5CDD505-2E9C-101B-9397-08002B2CF9AE}" name="ICV" pid="3">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5c765a-037c-4e36-bbe4-65795d1fdaee}">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19</Pages>
  <Words>7723</Words>
  <Characters>8872</Characters>
  <Lines>0</Lines>
  <Paragraphs>0</Paragraphs>
  <TotalTime>16</TotalTime>
  <ScaleCrop>false</ScaleCrop>
  <LinksUpToDate>false</LinksUpToDate>
  <CharactersWithSpaces>8894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huawei</cp:lastModifiedBy>
  <cp:lastPrinted>2024-07-30T14:24:00Z</cp:lastPrinted>
  <dcterms:modified xsi:type="dcterms:W3CDTF">2026-10-27T15:15:24Z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DC42A31646254D47AAF353B078A5E057_13</vt:lpwstr>
  </property>
</Properties>
</file>