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41389E">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36"/>
          <w:szCs w:val="36"/>
          <w:highlight w:val="none"/>
          <w:lang w:val="en-US" w:eastAsia="zh-CN"/>
        </w:rPr>
        <w:t>富民县教育科学研究信息中心2025</w:t>
      </w:r>
      <w:r>
        <w:rPr>
          <w:rFonts w:hint="eastAsia" w:ascii="方正小标宋简体" w:hAnsi="方正小标宋简体" w:eastAsia="方正小标宋简体" w:cs="方正小标宋简体"/>
          <w:sz w:val="36"/>
          <w:szCs w:val="36"/>
          <w:highlight w:val="none"/>
        </w:rPr>
        <w:t>年度部门决算</w:t>
      </w:r>
    </w:p>
    <w:p w14:paraId="38C494F7">
      <w:pPr>
        <w:jc w:val="center"/>
        <w:rPr>
          <w:rFonts w:hint="eastAsia" w:ascii="方正小标宋简体" w:hAnsi="方正小标宋简体" w:eastAsia="方正小标宋简体" w:cs="方正小标宋简体"/>
          <w:sz w:val="36"/>
          <w:szCs w:val="36"/>
          <w:highlight w:val="none"/>
        </w:rPr>
      </w:pPr>
    </w:p>
    <w:p w14:paraId="0685CB7D">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308E861A">
      <w:pPr>
        <w:jc w:val="left"/>
        <w:rPr>
          <w:rFonts w:hint="eastAsia" w:ascii="黑体" w:hAnsi="黑体" w:eastAsia="黑体"/>
          <w:sz w:val="30"/>
          <w:szCs w:val="30"/>
          <w:highlight w:val="none"/>
        </w:rPr>
      </w:pPr>
    </w:p>
    <w:p w14:paraId="3A9E5402">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3669BDE8">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5E4B3315">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20821FCD">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4381C416">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w:t>
      </w:r>
      <w:r>
        <w:rPr>
          <w:rFonts w:hint="eastAsia" w:ascii="黑体" w:hAnsi="黑体" w:eastAsia="黑体"/>
          <w:sz w:val="30"/>
          <w:szCs w:val="30"/>
          <w:highlight w:val="none"/>
        </w:rPr>
        <w:t>年度部门决算表</w:t>
      </w:r>
    </w:p>
    <w:p w14:paraId="444BEF2D">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35B37876">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6CE6FE13">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67ADF26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3CD2CA72">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0F68DB46">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097F044D">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51132FC1">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07F96440">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37C325C4">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79B42A71">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01F981C1">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w:t>
      </w:r>
      <w:r>
        <w:rPr>
          <w:rFonts w:hint="eastAsia" w:ascii="黑体" w:hAnsi="黑体" w:eastAsia="黑体"/>
          <w:sz w:val="30"/>
          <w:szCs w:val="30"/>
          <w:highlight w:val="none"/>
        </w:rPr>
        <w:t>年度部门决算情况说明</w:t>
      </w:r>
    </w:p>
    <w:p w14:paraId="634FA4A2">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3EA25E7A">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243DB700">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177F4A63">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431E1768">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6831F758">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3C5EF2DA">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58FE106F">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102D424C">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62ED9D8F">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4B8E7B99">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46EB4132">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10DEBCCF">
      <w:pPr>
        <w:jc w:val="center"/>
        <w:rPr>
          <w:rFonts w:hint="eastAsia" w:ascii="黑体" w:hAnsi="黑体" w:eastAsia="黑体"/>
          <w:sz w:val="32"/>
          <w:szCs w:val="32"/>
          <w:highlight w:val="none"/>
        </w:rPr>
      </w:pPr>
    </w:p>
    <w:p w14:paraId="036817B6">
      <w:pPr>
        <w:jc w:val="center"/>
        <w:rPr>
          <w:rFonts w:hint="eastAsia" w:ascii="黑体" w:hAnsi="黑体" w:eastAsia="黑体"/>
          <w:sz w:val="32"/>
          <w:szCs w:val="32"/>
          <w:highlight w:val="none"/>
        </w:rPr>
      </w:pPr>
    </w:p>
    <w:p w14:paraId="4F1C1802">
      <w:pPr>
        <w:jc w:val="center"/>
        <w:rPr>
          <w:rFonts w:hint="eastAsia" w:ascii="黑体" w:hAnsi="黑体" w:eastAsia="黑体"/>
          <w:sz w:val="32"/>
          <w:szCs w:val="32"/>
          <w:highlight w:val="none"/>
        </w:rPr>
      </w:pPr>
    </w:p>
    <w:p w14:paraId="4214C605">
      <w:pPr>
        <w:jc w:val="center"/>
        <w:rPr>
          <w:rFonts w:hint="eastAsia" w:ascii="黑体" w:hAnsi="黑体" w:eastAsia="黑体"/>
          <w:sz w:val="32"/>
          <w:szCs w:val="32"/>
          <w:highlight w:val="none"/>
        </w:rPr>
      </w:pPr>
    </w:p>
    <w:p w14:paraId="4716A726">
      <w:pPr>
        <w:jc w:val="center"/>
        <w:rPr>
          <w:rFonts w:hint="eastAsia" w:ascii="黑体" w:hAnsi="黑体" w:eastAsia="黑体"/>
          <w:sz w:val="32"/>
          <w:szCs w:val="32"/>
          <w:highlight w:val="none"/>
        </w:rPr>
      </w:pPr>
    </w:p>
    <w:p w14:paraId="38EE74EB">
      <w:pPr>
        <w:jc w:val="center"/>
        <w:rPr>
          <w:rFonts w:hint="eastAsia" w:ascii="黑体" w:hAnsi="黑体" w:eastAsia="黑体"/>
          <w:sz w:val="32"/>
          <w:szCs w:val="32"/>
          <w:highlight w:val="none"/>
        </w:rPr>
      </w:pPr>
    </w:p>
    <w:p w14:paraId="404AD52A">
      <w:pPr>
        <w:jc w:val="center"/>
        <w:rPr>
          <w:rFonts w:hint="eastAsia" w:ascii="黑体" w:hAnsi="黑体" w:eastAsia="黑体"/>
          <w:sz w:val="32"/>
          <w:szCs w:val="32"/>
          <w:highlight w:val="none"/>
        </w:rPr>
      </w:pPr>
    </w:p>
    <w:p w14:paraId="65E7D2E1">
      <w:pPr>
        <w:jc w:val="both"/>
        <w:rPr>
          <w:rFonts w:hint="eastAsia" w:ascii="黑体" w:hAnsi="黑体" w:eastAsia="黑体"/>
          <w:sz w:val="32"/>
          <w:szCs w:val="32"/>
          <w:highlight w:val="none"/>
        </w:rPr>
      </w:pPr>
    </w:p>
    <w:p w14:paraId="10452D16">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6C1854AF">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303D37C4">
      <w:pPr>
        <w:pStyle w:val="11"/>
        <w:spacing w:before="0" w:after="0" w:line="520" w:lineRule="atLeast"/>
        <w:ind w:left="0" w:right="0" w:firstLine="600"/>
        <w:rPr>
          <w:rFonts w:hint="eastAsia" w:ascii="仿宋_GB2312" w:hAnsi="仿宋_GB2312" w:eastAsia="仿宋_GB2312" w:cs="仿宋_GB2312"/>
          <w:bCs/>
          <w:color w:val="auto"/>
          <w:sz w:val="30"/>
          <w:szCs w:val="30"/>
          <w:highlight w:val="none"/>
        </w:rPr>
      </w:pPr>
      <w:r>
        <w:rPr>
          <w:rFonts w:hint="eastAsia" w:ascii="仿宋_GB2312" w:hAnsi="仿宋_GB2312" w:eastAsia="仿宋_GB2312" w:cs="仿宋_GB2312"/>
          <w:color w:val="auto"/>
          <w:sz w:val="30"/>
          <w:szCs w:val="30"/>
        </w:rPr>
        <w:t>负责全县中小学校（园）教研、师训、信息工作；在全县中小学校（园）开展教育科研、教学研究、 教改实验、教师培训、信息技术指导及对教学、科研、师训、信息技术工作进行管理，实施监督、检查、指导和评价。</w:t>
      </w:r>
    </w:p>
    <w:p w14:paraId="580240F4">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14:paraId="5B4D0142">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5004B533">
      <w:pPr>
        <w:spacing w:line="600" w:lineRule="exact"/>
        <w:ind w:firstLine="600"/>
        <w:rPr>
          <w:rFonts w:hint="eastAsia" w:ascii="仿宋_GB2312" w:hAnsi="仿宋_GB2312" w:eastAsia="仿宋_GB2312" w:cs="仿宋_GB2312"/>
          <w:color w:val="auto"/>
          <w:sz w:val="30"/>
          <w:szCs w:val="30"/>
          <w:shd w:val="clear" w:color="auto" w:fill="FFFFFF"/>
          <w:lang w:val="en-US" w:eastAsia="zh-CN"/>
        </w:rPr>
      </w:pPr>
      <w:r>
        <w:rPr>
          <w:rFonts w:hint="eastAsia" w:ascii="仿宋_GB2312" w:hAnsi="仿宋_GB2312" w:eastAsia="仿宋_GB2312" w:cs="仿宋_GB2312"/>
          <w:color w:val="auto"/>
          <w:sz w:val="30"/>
          <w:szCs w:val="30"/>
          <w:lang w:val="en-US" w:eastAsia="zh-CN"/>
        </w:rPr>
        <w:t>我单位</w:t>
      </w:r>
      <w:r>
        <w:rPr>
          <w:rFonts w:hint="eastAsia" w:ascii="仿宋_GB2312" w:hAnsi="仿宋_GB2312" w:eastAsia="仿宋_GB2312" w:cs="仿宋_GB2312"/>
          <w:color w:val="auto"/>
          <w:sz w:val="30"/>
          <w:szCs w:val="30"/>
          <w:shd w:val="clear" w:color="auto" w:fill="FFFFFF"/>
        </w:rPr>
        <w:t>共设置</w:t>
      </w:r>
      <w:r>
        <w:rPr>
          <w:rFonts w:hint="eastAsia" w:ascii="仿宋_GB2312" w:hAnsi="仿宋_GB2312" w:eastAsia="仿宋_GB2312" w:cs="仿宋_GB2312"/>
          <w:color w:val="auto"/>
          <w:sz w:val="30"/>
          <w:szCs w:val="30"/>
          <w:shd w:val="clear" w:color="auto" w:fill="FFFFFF"/>
          <w:lang w:val="en-US" w:eastAsia="zh-CN"/>
        </w:rPr>
        <w:t>3</w:t>
      </w:r>
      <w:r>
        <w:rPr>
          <w:rFonts w:hint="eastAsia" w:ascii="仿宋_GB2312" w:hAnsi="仿宋_GB2312" w:eastAsia="仿宋_GB2312" w:cs="仿宋_GB2312"/>
          <w:color w:val="auto"/>
          <w:sz w:val="30"/>
          <w:szCs w:val="30"/>
          <w:shd w:val="clear" w:color="auto" w:fill="FFFFFF"/>
        </w:rPr>
        <w:t>个内设机构</w:t>
      </w:r>
      <w:r>
        <w:rPr>
          <w:rFonts w:hint="eastAsia" w:ascii="仿宋_GB2312" w:hAnsi="仿宋_GB2312" w:eastAsia="仿宋_GB2312" w:cs="仿宋_GB2312"/>
          <w:color w:val="auto"/>
          <w:sz w:val="30"/>
          <w:szCs w:val="30"/>
          <w:shd w:val="clear" w:color="auto" w:fill="FFFFFF"/>
          <w:lang w:eastAsia="zh-CN"/>
        </w:rPr>
        <w:t>，</w:t>
      </w:r>
      <w:r>
        <w:rPr>
          <w:rFonts w:hint="eastAsia" w:ascii="仿宋_GB2312" w:hAnsi="仿宋_GB2312" w:eastAsia="仿宋_GB2312" w:cs="仿宋_GB2312"/>
          <w:color w:val="auto"/>
          <w:sz w:val="30"/>
          <w:szCs w:val="30"/>
          <w:shd w:val="clear" w:color="auto" w:fill="FFFFFF"/>
          <w:lang w:val="en-US" w:eastAsia="zh-CN"/>
        </w:rPr>
        <w:t>包括：办公室、学生资助中心、研训部</w:t>
      </w:r>
      <w:r>
        <w:rPr>
          <w:rFonts w:hint="eastAsia" w:ascii="仿宋_GB2312" w:hAnsi="仿宋_GB2312" w:eastAsia="仿宋_GB2312" w:cs="仿宋_GB2312"/>
          <w:color w:val="auto"/>
          <w:sz w:val="30"/>
          <w:szCs w:val="30"/>
          <w:shd w:val="clear" w:color="auto" w:fill="FFFFFF"/>
        </w:rPr>
        <w:t>。</w:t>
      </w:r>
      <w:r>
        <w:rPr>
          <w:rFonts w:hint="eastAsia" w:ascii="仿宋_GB2312" w:hAnsi="仿宋_GB2312" w:eastAsia="仿宋_GB2312" w:cs="仿宋_GB2312"/>
          <w:color w:val="auto"/>
          <w:sz w:val="30"/>
          <w:szCs w:val="30"/>
          <w:shd w:val="clear" w:color="auto" w:fill="FFFFFF"/>
          <w:lang w:val="en-US" w:eastAsia="zh-CN"/>
        </w:rPr>
        <w:t xml:space="preserve">  </w:t>
      </w:r>
    </w:p>
    <w:p w14:paraId="065A557E">
      <w:pPr>
        <w:spacing w:line="600" w:lineRule="exact"/>
        <w:ind w:firstLine="600" w:firstLineChars="200"/>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rPr>
        <w:t>我单位为基层预算单位，无下属单位。</w:t>
      </w:r>
      <w:r>
        <w:rPr>
          <w:rFonts w:hint="eastAsia" w:ascii="仿宋_GB2312" w:hAnsi="仿宋_GB2312" w:eastAsia="仿宋_GB2312" w:cs="仿宋_GB2312"/>
          <w:color w:val="auto"/>
          <w:sz w:val="30"/>
          <w:szCs w:val="30"/>
          <w:shd w:val="clear" w:color="auto" w:fill="FFFFFF"/>
          <w:lang w:val="en-US" w:eastAsia="zh-CN"/>
        </w:rPr>
        <w:t xml:space="preserve">      </w:t>
      </w:r>
    </w:p>
    <w:p w14:paraId="08183B1B">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14:paraId="1EFFC615">
      <w:pPr>
        <w:spacing w:line="600" w:lineRule="exact"/>
        <w:ind w:firstLine="600"/>
        <w:rPr>
          <w:rFonts w:hint="eastAsia" w:ascii="仿宋_GB2312" w:eastAsia="仿宋_GB2312"/>
          <w:color w:val="auto"/>
          <w:sz w:val="30"/>
          <w:szCs w:val="30"/>
          <w:highlight w:val="none"/>
        </w:rPr>
      </w:pPr>
      <w:r>
        <w:rPr>
          <w:rFonts w:hint="eastAsia" w:ascii="仿宋_GB2312" w:eastAsia="仿宋_GB2312"/>
          <w:color w:val="auto"/>
          <w:sz w:val="30"/>
          <w:szCs w:val="30"/>
          <w:highlight w:val="none"/>
          <w:lang w:eastAsia="zh-CN"/>
        </w:rPr>
        <w:t>我单位作为</w:t>
      </w:r>
      <w:r>
        <w:rPr>
          <w:rFonts w:hint="eastAsia" w:ascii="仿宋_GB2312" w:eastAsia="仿宋_GB2312"/>
          <w:color w:val="auto"/>
          <w:sz w:val="30"/>
          <w:szCs w:val="30"/>
          <w:highlight w:val="none"/>
          <w:lang w:val="en-US" w:eastAsia="zh-CN"/>
        </w:rPr>
        <w:t>富民县教育体育局的</w:t>
      </w:r>
      <w:r>
        <w:rPr>
          <w:rFonts w:hint="eastAsia" w:ascii="仿宋_GB2312" w:eastAsia="仿宋_GB2312"/>
          <w:color w:val="auto"/>
          <w:sz w:val="30"/>
          <w:szCs w:val="30"/>
          <w:highlight w:val="none"/>
          <w:lang w:eastAsia="zh-CN"/>
        </w:rPr>
        <w:t>二级预算单位</w:t>
      </w:r>
      <w:r>
        <w:rPr>
          <w:rFonts w:hint="eastAsia" w:ascii="仿宋_GB2312" w:eastAsia="仿宋_GB2312"/>
          <w:color w:val="auto"/>
          <w:sz w:val="30"/>
          <w:szCs w:val="30"/>
          <w:highlight w:val="none"/>
        </w:rPr>
        <w:t>纳入</w:t>
      </w:r>
      <w:r>
        <w:rPr>
          <w:rFonts w:hint="eastAsia" w:ascii="仿宋_GB2312" w:eastAsia="仿宋_GB2312"/>
          <w:color w:val="auto"/>
          <w:sz w:val="30"/>
          <w:szCs w:val="30"/>
          <w:highlight w:val="none"/>
          <w:lang w:val="en-US" w:eastAsia="zh-CN"/>
        </w:rPr>
        <w:t>2025</w:t>
      </w:r>
      <w:r>
        <w:rPr>
          <w:rFonts w:hint="eastAsia" w:ascii="仿宋_GB2312" w:eastAsia="仿宋_GB2312"/>
          <w:color w:val="auto"/>
          <w:sz w:val="30"/>
          <w:szCs w:val="30"/>
          <w:highlight w:val="none"/>
        </w:rPr>
        <w:t>年度部门决算编报</w:t>
      </w:r>
      <w:r>
        <w:rPr>
          <w:rFonts w:hint="eastAsia" w:ascii="仿宋_GB2312" w:eastAsia="仿宋_GB2312"/>
          <w:color w:val="auto"/>
          <w:sz w:val="30"/>
          <w:szCs w:val="30"/>
          <w:highlight w:val="none"/>
          <w:lang w:eastAsia="zh-CN"/>
        </w:rPr>
        <w:t>范围</w:t>
      </w:r>
      <w:r>
        <w:rPr>
          <w:rFonts w:hint="eastAsia" w:ascii="仿宋_GB2312" w:eastAsia="仿宋_GB2312"/>
          <w:color w:val="auto"/>
          <w:sz w:val="30"/>
          <w:szCs w:val="30"/>
          <w:highlight w:val="none"/>
        </w:rPr>
        <w:t>。</w:t>
      </w:r>
    </w:p>
    <w:p w14:paraId="7CA6B0C6">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14:paraId="587AB231">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highlight w:val="none"/>
          <w:lang w:val="en-US" w:eastAsia="zh-CN"/>
        </w:rPr>
        <w:t>48</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highlight w:val="none"/>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highlight w:val="none"/>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highlight w:val="none"/>
          <w:lang w:val="en-US" w:eastAsia="zh-CN"/>
        </w:rPr>
        <w:t>48</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highlight w:val="none"/>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highlight w:val="none"/>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14:paraId="002644E0">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highlight w:val="none"/>
          <w:lang w:val="en-US" w:eastAsia="zh-CN"/>
        </w:rPr>
        <w:t>0</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highlight w:val="none"/>
          <w:lang w:val="en-US" w:eastAsia="zh-CN"/>
        </w:rPr>
        <w:t>0</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highlight w:val="none"/>
          <w:lang w:val="en-US" w:eastAsia="zh-CN"/>
        </w:rPr>
        <w:t>0</w:t>
      </w:r>
      <w:r>
        <w:rPr>
          <w:rFonts w:hint="eastAsia" w:ascii="仿宋_GB2312" w:eastAsia="仿宋_GB2312"/>
          <w:sz w:val="30"/>
          <w:szCs w:val="30"/>
          <w:highlight w:val="none"/>
          <w:lang w:eastAsia="zh-CN"/>
        </w:rPr>
        <w:t>人。</w:t>
      </w:r>
    </w:p>
    <w:p w14:paraId="4A9CA062">
      <w:pPr>
        <w:spacing w:line="600" w:lineRule="exact"/>
        <w:ind w:firstLine="600" w:firstLineChars="200"/>
        <w:rPr>
          <w:rFonts w:hint="default" w:ascii="仿宋_GB2312" w:hAnsi="宋体" w:eastAsia="仿宋_GB2312" w:cs="Arial"/>
          <w:i w:val="0"/>
          <w:iCs w:val="0"/>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eastAsia="仿宋_GB2312"/>
          <w:i w:val="0"/>
          <w:iCs w:val="0"/>
          <w:sz w:val="30"/>
          <w:szCs w:val="30"/>
          <w:highlight w:val="none"/>
          <w:lang w:val="en-US" w:eastAsia="zh-CN"/>
        </w:rPr>
        <w:t>0</w:t>
      </w:r>
      <w:r>
        <w:rPr>
          <w:rFonts w:hint="eastAsia" w:ascii="仿宋_GB2312" w:hAnsi="宋体" w:eastAsia="仿宋_GB2312" w:cs="Arial"/>
          <w:i w:val="0"/>
          <w:iCs w:val="0"/>
          <w:kern w:val="0"/>
          <w:sz w:val="30"/>
          <w:szCs w:val="30"/>
          <w:highlight w:val="none"/>
        </w:rPr>
        <w:t>人</w:t>
      </w:r>
      <w:r>
        <w:rPr>
          <w:rFonts w:hint="eastAsia" w:ascii="仿宋_GB2312" w:hAnsi="宋体" w:eastAsia="仿宋_GB2312" w:cs="Arial"/>
          <w:i w:val="0"/>
          <w:iCs w:val="0"/>
          <w:kern w:val="0"/>
          <w:sz w:val="30"/>
          <w:szCs w:val="30"/>
          <w:highlight w:val="none"/>
          <w:lang w:eastAsia="zh-CN"/>
        </w:rPr>
        <w:t>（</w:t>
      </w:r>
      <w:r>
        <w:rPr>
          <w:rFonts w:hint="eastAsia" w:ascii="仿宋_GB2312" w:hAnsi="宋体" w:eastAsia="仿宋_GB2312" w:cs="Arial"/>
          <w:i w:val="0"/>
          <w:iCs w:val="0"/>
          <w:strike w:val="0"/>
          <w:dstrike w:val="0"/>
          <w:color w:val="auto"/>
          <w:kern w:val="0"/>
          <w:sz w:val="30"/>
          <w:szCs w:val="30"/>
          <w:highlight w:val="none"/>
        </w:rPr>
        <w:t>离休</w:t>
      </w:r>
      <w:r>
        <w:rPr>
          <w:rFonts w:hint="eastAsia" w:ascii="仿宋_GB2312" w:eastAsia="仿宋_GB2312"/>
          <w:i w:val="0"/>
          <w:iCs w:val="0"/>
          <w:strike w:val="0"/>
          <w:dstrike w:val="0"/>
          <w:color w:val="auto"/>
          <w:sz w:val="30"/>
          <w:szCs w:val="30"/>
          <w:highlight w:val="none"/>
          <w:lang w:val="en-US" w:eastAsia="zh-CN"/>
        </w:rPr>
        <w:t>0</w:t>
      </w:r>
      <w:r>
        <w:rPr>
          <w:rFonts w:hint="eastAsia" w:ascii="仿宋_GB2312" w:hAnsi="宋体" w:eastAsia="仿宋_GB2312" w:cs="Arial"/>
          <w:i w:val="0"/>
          <w:iCs w:val="0"/>
          <w:strike w:val="0"/>
          <w:dstrike w:val="0"/>
          <w:color w:val="auto"/>
          <w:kern w:val="0"/>
          <w:sz w:val="30"/>
          <w:szCs w:val="30"/>
          <w:highlight w:val="none"/>
        </w:rPr>
        <w:t>人，</w:t>
      </w:r>
      <w:r>
        <w:rPr>
          <w:rFonts w:hint="eastAsia" w:ascii="仿宋_GB2312" w:hAnsi="宋体" w:eastAsia="仿宋_GB2312" w:cs="Arial"/>
          <w:i w:val="0"/>
          <w:iCs w:val="0"/>
          <w:kern w:val="0"/>
          <w:sz w:val="30"/>
          <w:szCs w:val="30"/>
          <w:highlight w:val="none"/>
        </w:rPr>
        <w:t>退休</w:t>
      </w:r>
      <w:r>
        <w:rPr>
          <w:rFonts w:hint="eastAsia" w:ascii="仿宋_GB2312" w:eastAsia="仿宋_GB2312"/>
          <w:i w:val="0"/>
          <w:iCs w:val="0"/>
          <w:sz w:val="30"/>
          <w:szCs w:val="30"/>
          <w:highlight w:val="none"/>
          <w:lang w:val="en-US" w:eastAsia="zh-CN"/>
        </w:rPr>
        <w:t>0</w:t>
      </w:r>
      <w:r>
        <w:rPr>
          <w:rFonts w:hint="eastAsia" w:ascii="仿宋_GB2312" w:hAnsi="宋体" w:eastAsia="仿宋_GB2312" w:cs="Arial"/>
          <w:i w:val="0"/>
          <w:iCs w:val="0"/>
          <w:kern w:val="0"/>
          <w:sz w:val="30"/>
          <w:szCs w:val="30"/>
          <w:highlight w:val="none"/>
        </w:rPr>
        <w:t>人</w:t>
      </w:r>
      <w:r>
        <w:rPr>
          <w:rFonts w:hint="eastAsia" w:ascii="仿宋_GB2312" w:hAnsi="宋体" w:eastAsia="仿宋_GB2312" w:cs="Arial"/>
          <w:i w:val="0"/>
          <w:iCs w:val="0"/>
          <w:kern w:val="0"/>
          <w:sz w:val="30"/>
          <w:szCs w:val="30"/>
          <w:highlight w:val="none"/>
          <w:lang w:eastAsia="zh-CN"/>
        </w:rPr>
        <w:t>）。年末</w:t>
      </w:r>
      <w:r>
        <w:rPr>
          <w:rFonts w:hint="eastAsia" w:ascii="仿宋_GB2312" w:hAnsi="宋体" w:eastAsia="仿宋_GB2312" w:cs="Arial"/>
          <w:i w:val="0"/>
          <w:iCs w:val="0"/>
          <w:kern w:val="0"/>
          <w:sz w:val="30"/>
          <w:szCs w:val="30"/>
          <w:highlight w:val="none"/>
        </w:rPr>
        <w:t>由养老保险基金发放养老金的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val="en-US" w:eastAsia="zh-CN"/>
        </w:rPr>
        <w:t>43人</w:t>
      </w:r>
      <w:r>
        <w:rPr>
          <w:rFonts w:hint="eastAsia" w:ascii="仿宋_GB2312" w:hAnsi="宋体" w:eastAsia="仿宋_GB2312" w:cs="Arial"/>
          <w:i w:val="0"/>
          <w:iCs w:val="0"/>
          <w:kern w:val="0"/>
          <w:sz w:val="30"/>
          <w:szCs w:val="30"/>
          <w:highlight w:val="none"/>
          <w:lang w:eastAsia="zh-CN"/>
        </w:rPr>
        <w:t>（</w:t>
      </w:r>
      <w:r>
        <w:rPr>
          <w:rFonts w:hint="eastAsia" w:ascii="仿宋_GB2312" w:hAnsi="宋体" w:eastAsia="仿宋_GB2312" w:cs="Arial"/>
          <w:i w:val="0"/>
          <w:iCs w:val="0"/>
          <w:strike w:val="0"/>
          <w:dstrike w:val="0"/>
          <w:color w:val="auto"/>
          <w:kern w:val="0"/>
          <w:sz w:val="30"/>
          <w:szCs w:val="30"/>
          <w:highlight w:val="none"/>
        </w:rPr>
        <w:t>离休</w:t>
      </w:r>
      <w:r>
        <w:rPr>
          <w:rFonts w:hint="eastAsia" w:ascii="仿宋_GB2312" w:eastAsia="仿宋_GB2312"/>
          <w:i w:val="0"/>
          <w:iCs w:val="0"/>
          <w:strike w:val="0"/>
          <w:dstrike w:val="0"/>
          <w:color w:val="auto"/>
          <w:sz w:val="30"/>
          <w:szCs w:val="30"/>
          <w:highlight w:val="none"/>
          <w:lang w:val="en-US" w:eastAsia="zh-CN"/>
        </w:rPr>
        <w:t>0</w:t>
      </w:r>
      <w:r>
        <w:rPr>
          <w:rFonts w:hint="eastAsia" w:ascii="仿宋_GB2312" w:hAnsi="宋体" w:eastAsia="仿宋_GB2312" w:cs="Arial"/>
          <w:i w:val="0"/>
          <w:iCs w:val="0"/>
          <w:strike w:val="0"/>
          <w:dstrike w:val="0"/>
          <w:color w:val="auto"/>
          <w:kern w:val="0"/>
          <w:sz w:val="30"/>
          <w:szCs w:val="30"/>
          <w:highlight w:val="none"/>
        </w:rPr>
        <w:t>人，</w:t>
      </w:r>
      <w:r>
        <w:rPr>
          <w:rFonts w:hint="eastAsia" w:ascii="仿宋_GB2312" w:hAnsi="宋体" w:eastAsia="仿宋_GB2312" w:cs="Arial"/>
          <w:i w:val="0"/>
          <w:iCs w:val="0"/>
          <w:kern w:val="0"/>
          <w:sz w:val="30"/>
          <w:szCs w:val="30"/>
          <w:highlight w:val="none"/>
        </w:rPr>
        <w:t>退休</w:t>
      </w:r>
      <w:r>
        <w:rPr>
          <w:rFonts w:hint="eastAsia" w:ascii="仿宋_GB2312" w:eastAsia="仿宋_GB2312"/>
          <w:i w:val="0"/>
          <w:iCs w:val="0"/>
          <w:sz w:val="30"/>
          <w:szCs w:val="30"/>
          <w:highlight w:val="none"/>
          <w:lang w:val="en-US" w:eastAsia="zh-CN"/>
        </w:rPr>
        <w:t>43</w:t>
      </w:r>
      <w:r>
        <w:rPr>
          <w:rFonts w:hint="eastAsia" w:ascii="仿宋_GB2312" w:hAnsi="宋体" w:eastAsia="仿宋_GB2312" w:cs="Arial"/>
          <w:i w:val="0"/>
          <w:iCs w:val="0"/>
          <w:kern w:val="0"/>
          <w:sz w:val="30"/>
          <w:szCs w:val="30"/>
          <w:highlight w:val="none"/>
        </w:rPr>
        <w:t>人</w:t>
      </w:r>
      <w:r>
        <w:rPr>
          <w:rFonts w:hint="eastAsia" w:ascii="仿宋_GB2312" w:hAnsi="宋体" w:eastAsia="仿宋_GB2312" w:cs="Arial"/>
          <w:i w:val="0"/>
          <w:iCs w:val="0"/>
          <w:kern w:val="0"/>
          <w:sz w:val="30"/>
          <w:szCs w:val="30"/>
          <w:highlight w:val="none"/>
          <w:lang w:eastAsia="zh-CN"/>
        </w:rPr>
        <w:t>），</w:t>
      </w:r>
      <w:r>
        <w:rPr>
          <w:rFonts w:hint="eastAsia" w:ascii="仿宋_GB2312" w:hAnsi="宋体" w:eastAsia="仿宋_GB2312" w:cs="Arial"/>
          <w:i w:val="0"/>
          <w:iCs w:val="0"/>
          <w:kern w:val="0"/>
          <w:sz w:val="30"/>
          <w:szCs w:val="30"/>
          <w:highlight w:val="none"/>
          <w:lang w:val="en-US" w:eastAsia="zh-CN"/>
        </w:rPr>
        <w:t>年末遗属2人。</w:t>
      </w:r>
    </w:p>
    <w:p w14:paraId="4910F644">
      <w:pPr>
        <w:spacing w:line="600" w:lineRule="exact"/>
        <w:ind w:firstLine="600" w:firstLineChars="200"/>
        <w:jc w:val="left"/>
        <w:rPr>
          <w:rFonts w:hint="eastAsia" w:ascii="仿宋_GB2312" w:hAnsi="宋体" w:eastAsia="仿宋_GB2312" w:cs="Arial"/>
          <w:color w:val="auto"/>
          <w:kern w:val="0"/>
          <w:sz w:val="30"/>
          <w:szCs w:val="30"/>
          <w:highlight w:val="none"/>
        </w:rPr>
      </w:pPr>
      <w:r>
        <w:rPr>
          <w:rFonts w:hint="eastAsia" w:ascii="仿宋_GB2312" w:hAnsi="仿宋_GB2312" w:eastAsia="仿宋_GB2312" w:cs="仿宋_GB2312"/>
          <w:b w:val="0"/>
          <w:bCs w:val="0"/>
          <w:color w:val="auto"/>
          <w:sz w:val="30"/>
          <w:szCs w:val="30"/>
          <w:highlight w:val="none"/>
          <w:u w:val="none"/>
          <w:lang w:val="en-US" w:eastAsia="zh-CN"/>
        </w:rPr>
        <w:t>车辆编制1辆，在编实有车辆1辆，超编0辆。</w:t>
      </w:r>
    </w:p>
    <w:p w14:paraId="1A774FC5">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14:paraId="2A8438CC">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1.优化片区集体备课，推进课堂教学提质增效。定点集体备课立足教材分析、教学策略，围绕教师教学中难点、痛点问题。开展中小学片区集体备课</w:t>
      </w:r>
      <w:r>
        <w:rPr>
          <w:rFonts w:ascii="仿宋_GB2312" w:hAnsi="仿宋_GB2312" w:eastAsia="仿宋_GB2312" w:cs="仿宋_GB2312"/>
          <w:sz w:val="32"/>
          <w:szCs w:val="32"/>
        </w:rPr>
        <w:t>81</w:t>
      </w:r>
      <w:r>
        <w:rPr>
          <w:rFonts w:hint="eastAsia" w:ascii="仿宋_GB2312" w:hAnsi="仿宋_GB2312" w:eastAsia="仿宋_GB2312" w:cs="仿宋_GB2312"/>
          <w:sz w:val="32"/>
          <w:szCs w:val="32"/>
        </w:rPr>
        <w:t>次。</w:t>
      </w:r>
    </w:p>
    <w:p w14:paraId="1D3C90ED">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Times New Roman" w:hAnsi="Times New Roman" w:eastAsia="仿宋_GB2312" w:cs="Times New Roman"/>
          <w:color w:val="000000"/>
          <w:sz w:val="32"/>
          <w:szCs w:val="32"/>
        </w:rPr>
      </w:pPr>
      <w:r>
        <w:rPr>
          <w:rFonts w:hint="eastAsia" w:ascii="仿宋_GB2312" w:hAnsi="仿宋_GB2312" w:eastAsia="仿宋_GB2312" w:cs="仿宋_GB2312"/>
          <w:sz w:val="32"/>
          <w:szCs w:val="32"/>
        </w:rPr>
        <w:t>2.</w:t>
      </w:r>
      <w:r>
        <w:rPr>
          <w:rFonts w:ascii="Times New Roman" w:hAnsi="Times New Roman" w:eastAsia="仿宋_GB2312" w:cs="Times New Roman"/>
          <w:sz w:val="32"/>
          <w:szCs w:val="32"/>
        </w:rPr>
        <w:t>深化教学视导帮扶</w:t>
      </w:r>
      <w:r>
        <w:rPr>
          <w:rFonts w:hint="eastAsia" w:ascii="Times New Roman" w:hAnsi="Times New Roman" w:eastAsia="仿宋_GB2312" w:cs="Times New Roman"/>
          <w:sz w:val="32"/>
          <w:szCs w:val="32"/>
        </w:rPr>
        <w:t>，提升教学常规管理实效。</w:t>
      </w:r>
      <w:r>
        <w:rPr>
          <w:rFonts w:hint="eastAsia" w:ascii="仿宋_GB2312" w:hAnsi="仿宋_GB2312" w:eastAsia="仿宋_GB2312" w:cs="仿宋_GB2312"/>
          <w:sz w:val="32"/>
          <w:szCs w:val="32"/>
        </w:rPr>
        <w:t>视导帮扶以课堂教学、教学常规管理为核心，紧盯制约学校教学质量提升关键问题，为学校整体质量提升、教师改进教学出谋献策。深入东村中学、款庄中学和大营、东村中心小学等学校开展课堂教学综合调研10次；到</w:t>
      </w:r>
      <w:r>
        <w:rPr>
          <w:rFonts w:ascii="Times New Roman" w:hAnsi="Times New Roman" w:eastAsia="仿宋_GB2312" w:cs="Times New Roman"/>
          <w:sz w:val="32"/>
          <w:szCs w:val="32"/>
        </w:rPr>
        <w:t>东村中心小学</w:t>
      </w:r>
      <w:r>
        <w:rPr>
          <w:rFonts w:hint="eastAsia" w:ascii="Times New Roman" w:hAnsi="Times New Roman" w:eastAsia="仿宋_GB2312" w:cs="Times New Roman"/>
          <w:sz w:val="32"/>
          <w:szCs w:val="32"/>
        </w:rPr>
        <w:t>、</w:t>
      </w:r>
      <w:r>
        <w:rPr>
          <w:rFonts w:hint="eastAsia" w:ascii="仿宋_GB2312" w:hAnsi="仿宋_GB2312" w:eastAsia="仿宋_GB2312" w:cs="仿宋_GB2312"/>
          <w:sz w:val="32"/>
          <w:szCs w:val="32"/>
        </w:rPr>
        <w:t>东村中学</w:t>
      </w:r>
      <w:r>
        <w:rPr>
          <w:rFonts w:hint="eastAsia" w:ascii="Times New Roman" w:hAnsi="Times New Roman" w:eastAsia="仿宋_GB2312" w:cs="Times New Roman"/>
          <w:sz w:val="32"/>
          <w:szCs w:val="32"/>
        </w:rPr>
        <w:t>等学校</w:t>
      </w:r>
      <w:r>
        <w:rPr>
          <w:rFonts w:ascii="Times New Roman" w:hAnsi="Times New Roman" w:eastAsia="仿宋_GB2312" w:cs="Times New Roman"/>
          <w:sz w:val="32"/>
          <w:szCs w:val="32"/>
        </w:rPr>
        <w:t>开展定点</w:t>
      </w:r>
      <w:r>
        <w:rPr>
          <w:rFonts w:ascii="Times New Roman" w:hAnsi="Times New Roman" w:eastAsia="仿宋_GB2312" w:cs="Times New Roman"/>
          <w:color w:val="000000"/>
          <w:sz w:val="32"/>
          <w:szCs w:val="32"/>
        </w:rPr>
        <w:t>联系97次</w:t>
      </w:r>
      <w:r>
        <w:rPr>
          <w:rFonts w:hint="eastAsia" w:ascii="Times New Roman" w:hAnsi="Times New Roman" w:eastAsia="仿宋_GB2312" w:cs="Times New Roman"/>
          <w:color w:val="000000"/>
          <w:sz w:val="32"/>
          <w:szCs w:val="32"/>
        </w:rPr>
        <w:t>。</w:t>
      </w:r>
    </w:p>
    <w:p w14:paraId="03BA8D98">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仿宋_GB2312" w:hAnsi="仿宋_GB2312" w:eastAsia="仿宋_GB2312" w:cs="仿宋_GB2312"/>
          <w:color w:val="1F2329"/>
          <w:sz w:val="32"/>
          <w:szCs w:val="32"/>
          <w:shd w:val="clear" w:color="auto" w:fill="FFFFFF"/>
        </w:rPr>
      </w:pPr>
      <w:r>
        <w:rPr>
          <w:rFonts w:hint="eastAsia" w:ascii="仿宋_GB2312" w:hAnsi="仿宋_GB2312" w:eastAsia="仿宋_GB2312" w:cs="仿宋_GB2312"/>
          <w:sz w:val="32"/>
          <w:szCs w:val="32"/>
        </w:rPr>
        <w:t>3.锚定教学竞赛目标，提高教师学科专业技能</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聚焦课堂教学改革，以赛促研、以赛促教，着力提升教师专业能力。中小学教研联合体开展课堂教学竞赛4次；组织初中15个学科、小学11学科、高三9个学科教师开展教学竞赛，共推荐3</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名教师参加市级决赛；</w:t>
      </w:r>
      <w:r>
        <w:rPr>
          <w:rFonts w:hint="eastAsia" w:ascii="仿宋" w:hAnsi="仿宋" w:eastAsia="仿宋"/>
          <w:sz w:val="32"/>
          <w:szCs w:val="32"/>
        </w:rPr>
        <w:t>开展小学3个学科、初中4个学科、高中4个学科教师县级岗位技能竞赛；组织初中9个学科市级命题竞赛。</w:t>
      </w:r>
    </w:p>
    <w:p w14:paraId="54D6444D">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sz w:val="32"/>
          <w:szCs w:val="32"/>
        </w:rPr>
        <w:t>4.常态开展课题研究，发挥教育科研引领作用。永定中学等3个市级课题完成结题，其中款庄小学《 农村小学语文高段古诗词群文阅读教学策略实践研究 》，永定小学《 新时期城镇小学开展劳动教育的途径与方法的实践研究 》被评为优秀等级；昆明行知中学县级课题《小乐器进初中音乐课堂的实践研究》完成结题；</w:t>
      </w:r>
      <w:r>
        <w:rPr>
          <w:rFonts w:ascii="Times New Roman" w:hAnsi="Times New Roman" w:eastAsia="仿宋_GB2312" w:cs="Times New Roman"/>
          <w:sz w:val="32"/>
          <w:szCs w:val="32"/>
        </w:rPr>
        <w:t>段雪梅</w:t>
      </w:r>
      <w:r>
        <w:rPr>
          <w:rFonts w:hint="eastAsia" w:ascii="Times New Roman" w:hAnsi="Times New Roman" w:eastAsia="仿宋_GB2312" w:cs="Times New Roman"/>
          <w:sz w:val="32"/>
          <w:szCs w:val="32"/>
        </w:rPr>
        <w:t>主持的</w:t>
      </w:r>
      <w:r>
        <w:rPr>
          <w:rFonts w:ascii="Times New Roman" w:hAnsi="Times New Roman" w:eastAsia="仿宋_GB2312" w:cs="Times New Roman"/>
          <w:sz w:val="32"/>
          <w:szCs w:val="32"/>
        </w:rPr>
        <w:t>《基于教育质量监测结果发展第三学段学生推理意识的实践研究》荣获市级一等奖</w:t>
      </w:r>
      <w:r>
        <w:rPr>
          <w:rFonts w:hint="eastAsia" w:ascii="Times New Roman" w:hAnsi="Times New Roman" w:eastAsia="仿宋_GB2312" w:cs="Times New Roman"/>
          <w:sz w:val="32"/>
          <w:szCs w:val="32"/>
        </w:rPr>
        <w:t>。</w:t>
      </w:r>
    </w:p>
    <w:p w14:paraId="4CBBDE59">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5.搭建平台促交流，促进教师专业发展。组织教师参加省、市教研活动</w:t>
      </w:r>
      <w:r>
        <w:rPr>
          <w:rFonts w:hint="eastAsia" w:ascii="仿宋_GB2312" w:hAnsi="仿宋_GB2312" w:eastAsia="仿宋_GB2312" w:cs="仿宋_GB2312"/>
          <w:sz w:val="32"/>
          <w:szCs w:val="32"/>
          <w:lang w:val="en-US" w:eastAsia="zh-CN"/>
        </w:rPr>
        <w:t>1690</w:t>
      </w:r>
      <w:r>
        <w:rPr>
          <w:rFonts w:hint="eastAsia" w:ascii="仿宋_GB2312" w:hAnsi="仿宋_GB2312" w:eastAsia="仿宋_GB2312" w:cs="仿宋_GB2312"/>
          <w:sz w:val="32"/>
          <w:szCs w:val="32"/>
        </w:rPr>
        <w:t>人次，开展县级教研活动</w:t>
      </w:r>
      <w:r>
        <w:rPr>
          <w:rFonts w:hint="eastAsia" w:ascii="仿宋_GB2312" w:hAnsi="仿宋_GB2312" w:eastAsia="仿宋_GB2312" w:cs="仿宋_GB2312"/>
          <w:sz w:val="32"/>
          <w:szCs w:val="32"/>
          <w:lang w:val="en-US" w:eastAsia="zh-CN"/>
        </w:rPr>
        <w:t>140余</w:t>
      </w:r>
      <w:r>
        <w:rPr>
          <w:rFonts w:hint="eastAsia" w:ascii="仿宋_GB2312" w:hAnsi="仿宋_GB2312" w:eastAsia="仿宋_GB2312" w:cs="仿宋_GB2312"/>
          <w:sz w:val="32"/>
          <w:szCs w:val="32"/>
        </w:rPr>
        <w:t>次，参与活动教师</w:t>
      </w:r>
      <w:r>
        <w:rPr>
          <w:rFonts w:hint="eastAsia" w:ascii="仿宋_GB2312" w:hAnsi="仿宋_GB2312" w:eastAsia="仿宋_GB2312" w:cs="仿宋_GB2312"/>
          <w:sz w:val="32"/>
          <w:szCs w:val="32"/>
          <w:lang w:val="en-US" w:eastAsia="zh-CN"/>
        </w:rPr>
        <w:t>2092</w:t>
      </w:r>
      <w:r>
        <w:rPr>
          <w:rFonts w:hint="eastAsia" w:ascii="仿宋_GB2312" w:hAnsi="仿宋_GB2312" w:eastAsia="仿宋_GB2312" w:cs="仿宋_GB2312"/>
          <w:sz w:val="32"/>
          <w:szCs w:val="32"/>
        </w:rPr>
        <w:t>人次。</w:t>
      </w:r>
    </w:p>
    <w:p w14:paraId="354CF960">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ascii="Times New Roman" w:hAnsi="Times New Roman" w:eastAsia="仿宋_GB2312" w:cs="Times New Roman"/>
          <w:sz w:val="32"/>
          <w:szCs w:val="32"/>
        </w:rPr>
      </w:pPr>
      <w:r>
        <w:rPr>
          <w:rFonts w:ascii="仿宋_GB2312" w:hAnsi="仿宋_GB2312" w:eastAsia="仿宋_GB2312" w:cs="仿宋_GB2312"/>
          <w:sz w:val="32"/>
          <w:szCs w:val="32"/>
        </w:rPr>
        <w:t>6.</w:t>
      </w:r>
      <w:r>
        <w:rPr>
          <w:rFonts w:hint="eastAsia" w:ascii="仿宋_GB2312" w:hAnsi="仿宋_GB2312" w:eastAsia="仿宋_GB2312" w:cs="仿宋_GB2312"/>
          <w:sz w:val="32"/>
          <w:szCs w:val="32"/>
        </w:rPr>
        <w:t>抓实听评课常规，指导教师教育教学改革。采取“四不两直”方法，开展下校听评课，课后及时与授课教师交流，共商教学策略、提质措施，为教师改进教学提供意见建议，</w:t>
      </w:r>
      <w:r>
        <w:rPr>
          <w:rFonts w:ascii="Times New Roman" w:hAnsi="Times New Roman" w:eastAsia="仿宋_GB2312" w:cs="Times New Roman"/>
          <w:sz w:val="32"/>
          <w:szCs w:val="32"/>
        </w:rPr>
        <w:t>推动教研与教学实践深度融合。</w:t>
      </w:r>
      <w:r>
        <w:rPr>
          <w:rFonts w:hint="eastAsia" w:ascii="仿宋_GB2312" w:hAnsi="仿宋_GB2312" w:eastAsia="仿宋_GB2312" w:cs="仿宋_GB2312"/>
          <w:sz w:val="32"/>
          <w:szCs w:val="32"/>
        </w:rPr>
        <w:t>中小学教研员共听课 1710</w:t>
      </w:r>
      <w:r>
        <w:rPr>
          <w:rFonts w:hint="eastAsia" w:ascii="仿宋_GB2312" w:hAnsi="仿宋_GB2312" w:eastAsia="仿宋_GB2312" w:cs="仿宋_GB2312"/>
          <w:sz w:val="32"/>
          <w:szCs w:val="32"/>
          <w:lang w:val="en-US" w:eastAsia="zh-CN"/>
        </w:rPr>
        <w:t>节</w:t>
      </w:r>
      <w:r>
        <w:rPr>
          <w:rFonts w:hint="eastAsia" w:ascii="仿宋_GB2312" w:hAnsi="仿宋_GB2312" w:eastAsia="仿宋_GB2312" w:cs="仿宋_GB2312"/>
          <w:sz w:val="32"/>
          <w:szCs w:val="32"/>
        </w:rPr>
        <w:t>（小学 1016节、中学694节）。</w:t>
      </w:r>
    </w:p>
    <w:p w14:paraId="4543C801">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sz w:val="32"/>
          <w:szCs w:val="32"/>
        </w:rPr>
      </w:pPr>
      <w:r>
        <w:rPr>
          <w:rFonts w:ascii="仿宋" w:hAnsi="仿宋" w:eastAsia="仿宋"/>
          <w:sz w:val="32"/>
          <w:szCs w:val="32"/>
        </w:rPr>
        <w:t>7</w:t>
      </w:r>
      <w:r>
        <w:rPr>
          <w:rFonts w:hint="eastAsia" w:ascii="仿宋" w:hAnsi="仿宋" w:eastAsia="仿宋"/>
          <w:sz w:val="32"/>
          <w:szCs w:val="32"/>
        </w:rPr>
        <w:t>.强化监管职责落实，严把教辅征订管理关。扎实开展专项整治，</w:t>
      </w:r>
      <w:r>
        <w:rPr>
          <w:rFonts w:ascii="仿宋" w:hAnsi="仿宋" w:eastAsia="仿宋"/>
          <w:sz w:val="32"/>
          <w:szCs w:val="32"/>
        </w:rPr>
        <w:t>严格把控教辅</w:t>
      </w:r>
      <w:r>
        <w:rPr>
          <w:rFonts w:hint="eastAsia" w:ascii="仿宋" w:hAnsi="仿宋" w:eastAsia="仿宋"/>
          <w:sz w:val="32"/>
          <w:szCs w:val="32"/>
        </w:rPr>
        <w:t>材料征订管理</w:t>
      </w:r>
      <w:r>
        <w:rPr>
          <w:rFonts w:ascii="仿宋" w:hAnsi="仿宋" w:eastAsia="仿宋"/>
          <w:sz w:val="32"/>
          <w:szCs w:val="32"/>
        </w:rPr>
        <w:t>关</w:t>
      </w:r>
      <w:r>
        <w:rPr>
          <w:rFonts w:hint="eastAsia" w:ascii="仿宋" w:hAnsi="仿宋" w:eastAsia="仿宋"/>
          <w:sz w:val="32"/>
          <w:szCs w:val="32"/>
        </w:rPr>
        <w:t>。召开教辅材料专项整治会议</w:t>
      </w:r>
      <w:r>
        <w:rPr>
          <w:rFonts w:ascii="仿宋" w:hAnsi="仿宋" w:eastAsia="仿宋"/>
          <w:sz w:val="32"/>
          <w:szCs w:val="32"/>
        </w:rPr>
        <w:t>4</w:t>
      </w:r>
      <w:r>
        <w:rPr>
          <w:rFonts w:hint="eastAsia" w:ascii="仿宋" w:hAnsi="仿宋" w:eastAsia="仿宋"/>
          <w:sz w:val="32"/>
          <w:szCs w:val="32"/>
        </w:rPr>
        <w:t>次，开展专项检查</w:t>
      </w:r>
      <w:r>
        <w:rPr>
          <w:rFonts w:ascii="仿宋" w:hAnsi="仿宋" w:eastAsia="仿宋"/>
          <w:sz w:val="32"/>
          <w:szCs w:val="32"/>
        </w:rPr>
        <w:t>4</w:t>
      </w:r>
      <w:r>
        <w:rPr>
          <w:rFonts w:hint="eastAsia" w:ascii="仿宋" w:hAnsi="仿宋" w:eastAsia="仿宋"/>
          <w:sz w:val="32"/>
          <w:szCs w:val="32"/>
        </w:rPr>
        <w:t>次，县级专职教研员坚持每月进校检查分管学科教辅材料不少于1次。</w:t>
      </w:r>
    </w:p>
    <w:p w14:paraId="4F5CD138">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仿宋" w:hAnsi="仿宋" w:eastAsia="仿宋"/>
          <w:sz w:val="32"/>
          <w:szCs w:val="32"/>
          <w:lang w:val="en-US" w:eastAsia="zh-CN"/>
        </w:rPr>
      </w:pPr>
      <w:r>
        <w:rPr>
          <w:rFonts w:hint="eastAsia" w:ascii="仿宋" w:hAnsi="仿宋" w:eastAsia="仿宋"/>
          <w:sz w:val="32"/>
          <w:szCs w:val="32"/>
        </w:rPr>
        <w:t>2024学年期末考试六县区</w:t>
      </w:r>
      <w:r>
        <w:rPr>
          <w:rFonts w:hint="eastAsia" w:ascii="仿宋" w:hAnsi="仿宋" w:eastAsia="仿宋"/>
          <w:sz w:val="32"/>
          <w:szCs w:val="32"/>
          <w:lang w:val="en-US" w:eastAsia="zh-CN"/>
        </w:rPr>
        <w:t>联考中，取得小学3—6年级总成绩均排</w:t>
      </w:r>
      <w:r>
        <w:rPr>
          <w:rFonts w:hint="eastAsia" w:ascii="仿宋_GB2312" w:hAnsi="仿宋_GB2312" w:eastAsia="仿宋_GB2312" w:cs="仿宋_GB2312"/>
          <w:sz w:val="32"/>
          <w:szCs w:val="32"/>
          <w:lang w:val="en-US" w:eastAsia="zh-CN"/>
        </w:rPr>
        <w:t>名六县区</w:t>
      </w:r>
      <w:r>
        <w:rPr>
          <w:rFonts w:hint="eastAsia" w:ascii="仿宋" w:hAnsi="仿宋" w:eastAsia="仿宋"/>
          <w:sz w:val="32"/>
          <w:szCs w:val="32"/>
          <w:lang w:val="en-US" w:eastAsia="zh-CN"/>
        </w:rPr>
        <w:t>第2名，七年级排名第3、八年级排名第4。高考特控线上线率30.87%，本科上线率64.38%的好成绩。</w:t>
      </w:r>
    </w:p>
    <w:p w14:paraId="77A813E7">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.组织教育管理干部“头雁培训”，提高管理质效。紧盯教师队伍中的关键少数，着力解决“不敢管、不善管”等问题，组织两期中小学校（园）教学管理干部能力提升培训、238人次参训；组织 1 期学校领导、骨干教师人工智能赋能教育培训、 200人参训。</w:t>
      </w:r>
    </w:p>
    <w:p w14:paraId="0A9B9686">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.开展教师全员培训，提升教师学科素养。针对教师队伍现状，坚持“缺什么、补什么、需什么、培什么”的工作方法，开展“分类分层分岗”精准化培训。截止目前，共开展教师线下线上培训3249人次。</w:t>
      </w:r>
    </w:p>
    <w:p w14:paraId="79E83B49">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.加大教师培养力度，壮大骨干教师群体。推荐14名教师参加省级学科带头人和骨干教师的评选；推荐15名教师参加昆明市教坛新秀评选；推荐3名教师参加昆明教学名师评选。</w:t>
      </w:r>
    </w:p>
    <w:p w14:paraId="0FB1355D">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1.网络安全保障。春节、五一、高考等关键时期落实监测与 “零报告” 制度，采集上报安全数据；组织各校签订《2025 年网络安全承诺书》，完成办公系统安全自检备案、信息系统等备案及机房服务器漏洞修复，部署境外恶意 IP 拦截，开展全县教育系统网络安全应急演练，实现网络安全 “零事故”。​</w:t>
      </w:r>
    </w:p>
    <w:p w14:paraId="2E4BD355">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2.系统优化与培训。完成全县教体系统广播系统清查登记并上报市教体局，编写《教育协同办公平台性能测试和用户满意度调查报告》；派员参加省厅校园安全视频巡查培训会，开展国产计算机操作培训。</w:t>
      </w:r>
    </w:p>
    <w:p w14:paraId="3F126520">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3.组织师生参加“昆明市中小学师生信息素养大赛”。上报学生作品 20 件（数字艺术 6 件、计算思维 13 件、科创实践 1 件）、教师作品 8 件（课件 5 件、微课 2 件、教学案例 1 件）。</w:t>
      </w:r>
    </w:p>
    <w:p w14:paraId="55D3E0DF">
      <w:pPr>
        <w:spacing w:line="600" w:lineRule="exact"/>
        <w:ind w:firstLine="600" w:firstLineChars="200"/>
        <w:jc w:val="left"/>
        <w:rPr>
          <w:rFonts w:hint="eastAsia" w:ascii="仿宋_GB2312" w:hAnsi="宋体" w:eastAsia="仿宋_GB2312" w:cs="Arial"/>
          <w:kern w:val="0"/>
          <w:sz w:val="30"/>
          <w:szCs w:val="30"/>
          <w:highlight w:val="none"/>
        </w:rPr>
      </w:pPr>
    </w:p>
    <w:p w14:paraId="77C3CE4C">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w:t>
      </w:r>
      <w:r>
        <w:rPr>
          <w:rFonts w:hint="eastAsia" w:ascii="黑体" w:hAnsi="黑体" w:eastAsia="黑体"/>
          <w:sz w:val="32"/>
          <w:szCs w:val="32"/>
          <w:highlight w:val="none"/>
        </w:rPr>
        <w:t>年度部门决算表</w:t>
      </w:r>
    </w:p>
    <w:p w14:paraId="611C759F">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38CF9068">
      <w:pPr>
        <w:spacing w:line="600" w:lineRule="exact"/>
        <w:ind w:firstLine="600" w:firstLineChars="200"/>
        <w:jc w:val="left"/>
        <w:rPr>
          <w:rFonts w:hint="eastAsia" w:ascii="仿宋_GB2312" w:hAnsi="仿宋_GB2312" w:eastAsia="仿宋_GB2312" w:cs="仿宋_GB2312"/>
          <w:b w:val="0"/>
          <w:bCs w:val="0"/>
          <w:color w:val="auto"/>
          <w:sz w:val="30"/>
          <w:szCs w:val="30"/>
          <w:highlight w:val="none"/>
          <w:u w:val="none"/>
          <w:lang w:val="en-US" w:eastAsia="zh-CN"/>
        </w:rPr>
      </w:pPr>
      <w:r>
        <w:rPr>
          <w:rFonts w:hint="eastAsia" w:ascii="仿宋_GB2312" w:hAnsi="仿宋_GB2312" w:eastAsia="仿宋_GB2312" w:cs="仿宋_GB2312"/>
          <w:b w:val="0"/>
          <w:bCs w:val="0"/>
          <w:color w:val="auto"/>
          <w:sz w:val="30"/>
          <w:szCs w:val="30"/>
          <w:highlight w:val="none"/>
          <w:u w:val="none"/>
          <w:lang w:val="en-US" w:eastAsia="zh-CN"/>
        </w:rPr>
        <w:t>本单位2025年度无政府性基金预算财政拨款收入，《政府性基金预算财政拨款收入支出决算表》为空表。</w:t>
      </w:r>
    </w:p>
    <w:p w14:paraId="4D4F48DE">
      <w:pPr>
        <w:spacing w:line="600" w:lineRule="exact"/>
        <w:ind w:firstLine="600" w:firstLineChars="200"/>
        <w:jc w:val="left"/>
        <w:rPr>
          <w:rFonts w:hint="eastAsia" w:ascii="仿宋_GB2312" w:hAnsi="仿宋_GB2312" w:eastAsia="仿宋_GB2312" w:cs="仿宋_GB2312"/>
          <w:b w:val="0"/>
          <w:bCs w:val="0"/>
          <w:color w:val="auto"/>
          <w:sz w:val="30"/>
          <w:szCs w:val="30"/>
          <w:highlight w:val="none"/>
          <w:u w:val="none"/>
          <w:lang w:val="en-US" w:eastAsia="zh-CN"/>
        </w:rPr>
      </w:pPr>
      <w:r>
        <w:rPr>
          <w:rFonts w:hint="eastAsia" w:ascii="仿宋_GB2312" w:hAnsi="仿宋_GB2312" w:eastAsia="仿宋_GB2312" w:cs="仿宋_GB2312"/>
          <w:b w:val="0"/>
          <w:bCs w:val="0"/>
          <w:color w:val="auto"/>
          <w:sz w:val="30"/>
          <w:szCs w:val="30"/>
          <w:highlight w:val="none"/>
          <w:u w:val="none"/>
          <w:lang w:val="en-US" w:eastAsia="zh-CN"/>
        </w:rPr>
        <w:t>本单位2025年度无国有资本经营预算财政拨款收入，《国有资本经营预算财政拨款收入支出决算表》为空表。</w:t>
      </w:r>
    </w:p>
    <w:p w14:paraId="5962CB98">
      <w:pPr>
        <w:spacing w:line="600" w:lineRule="exact"/>
        <w:ind w:firstLine="600" w:firstLineChars="200"/>
        <w:jc w:val="left"/>
        <w:rPr>
          <w:rFonts w:hint="eastAsia" w:ascii="仿宋_GB2312" w:eastAsia="仿宋_GB2312"/>
          <w:sz w:val="30"/>
          <w:szCs w:val="30"/>
          <w:highlight w:val="none"/>
          <w:lang w:eastAsia="zh-CN"/>
        </w:rPr>
      </w:pPr>
    </w:p>
    <w:p w14:paraId="6377EAB5">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w:t>
      </w:r>
      <w:r>
        <w:rPr>
          <w:rFonts w:hint="eastAsia" w:ascii="黑体" w:hAnsi="黑体" w:eastAsia="黑体"/>
          <w:sz w:val="32"/>
          <w:szCs w:val="32"/>
          <w:highlight w:val="none"/>
        </w:rPr>
        <w:t>年度部门决算情况说明</w:t>
      </w:r>
    </w:p>
    <w:p w14:paraId="6843FAFD">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2EE17ECE">
      <w:pPr>
        <w:widowControl/>
        <w:snapToGrid w:val="0"/>
        <w:spacing w:before="100" w:after="100" w:line="600" w:lineRule="exact"/>
        <w:ind w:firstLine="538"/>
        <w:jc w:val="left"/>
        <w:rPr>
          <w:rFonts w:hint="eastAsia" w:ascii="仿宋_GB2312" w:eastAsia="仿宋_GB2312"/>
          <w:color w:val="auto"/>
          <w:sz w:val="30"/>
          <w:szCs w:val="30"/>
          <w:highlight w:val="none"/>
          <w:lang w:eastAsia="zh-CN"/>
        </w:rPr>
      </w:pPr>
      <w:r>
        <w:rPr>
          <w:rFonts w:hint="eastAsia" w:ascii="仿宋_GB2312" w:hAnsi="仿宋_GB2312" w:eastAsia="仿宋_GB2312" w:cs="仿宋_GB2312"/>
          <w:color w:val="auto"/>
          <w:sz w:val="30"/>
          <w:lang w:val="zh-CN"/>
        </w:rPr>
        <w:t>富民县教育科学研究信息中心</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年度收入合计</w:t>
      </w:r>
      <w:r>
        <w:rPr>
          <w:rFonts w:hint="eastAsia" w:ascii="仿宋_GB2312" w:hAnsi="仿宋_GB2312" w:eastAsia="仿宋_GB2312" w:cs="仿宋_GB2312"/>
          <w:sz w:val="30"/>
          <w:lang w:val="zh-CN"/>
        </w:rPr>
        <w:t>11405538.81</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highlight w:val="none"/>
          <w:lang w:val="en-US" w:eastAsia="zh-CN"/>
        </w:rPr>
        <w:t>11109669.21</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highlight w:val="none"/>
          <w:lang w:val="en-US" w:eastAsia="zh-CN"/>
        </w:rPr>
        <w:t>97.41</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val="en-US" w:eastAsia="zh-CN"/>
        </w:rPr>
        <w:t>无</w:t>
      </w:r>
      <w:r>
        <w:rPr>
          <w:rFonts w:hint="eastAsia" w:ascii="仿宋_GB2312" w:eastAsia="仿宋_GB2312"/>
          <w:color w:val="auto"/>
          <w:sz w:val="30"/>
          <w:szCs w:val="30"/>
          <w:highlight w:val="none"/>
        </w:rPr>
        <w:t>上级补助收入；</w:t>
      </w:r>
      <w:r>
        <w:rPr>
          <w:rFonts w:hint="eastAsia" w:ascii="仿宋_GB2312" w:eastAsia="仿宋_GB2312"/>
          <w:color w:val="auto"/>
          <w:sz w:val="30"/>
          <w:szCs w:val="30"/>
          <w:highlight w:val="none"/>
          <w:lang w:val="en-US" w:eastAsia="zh-CN"/>
        </w:rPr>
        <w:t>无</w:t>
      </w:r>
      <w:r>
        <w:rPr>
          <w:rFonts w:hint="eastAsia" w:ascii="仿宋_GB2312" w:eastAsia="仿宋_GB2312"/>
          <w:color w:val="auto"/>
          <w:sz w:val="30"/>
          <w:szCs w:val="30"/>
          <w:highlight w:val="none"/>
        </w:rPr>
        <w:t>事业收入；</w:t>
      </w:r>
      <w:r>
        <w:rPr>
          <w:rFonts w:hint="eastAsia" w:ascii="仿宋_GB2312" w:eastAsia="仿宋_GB2312"/>
          <w:color w:val="auto"/>
          <w:sz w:val="30"/>
          <w:szCs w:val="30"/>
          <w:highlight w:val="none"/>
          <w:lang w:val="en-US" w:eastAsia="zh-CN"/>
        </w:rPr>
        <w:t>无</w:t>
      </w:r>
      <w:r>
        <w:rPr>
          <w:rFonts w:hint="eastAsia" w:ascii="仿宋_GB2312" w:eastAsia="仿宋_GB2312"/>
          <w:color w:val="auto"/>
          <w:sz w:val="30"/>
          <w:szCs w:val="30"/>
          <w:highlight w:val="none"/>
        </w:rPr>
        <w:t>经营收入；</w:t>
      </w:r>
      <w:r>
        <w:rPr>
          <w:rFonts w:hint="eastAsia" w:ascii="仿宋_GB2312" w:eastAsia="仿宋_GB2312"/>
          <w:color w:val="auto"/>
          <w:sz w:val="30"/>
          <w:szCs w:val="30"/>
          <w:highlight w:val="none"/>
          <w:lang w:val="en-US" w:eastAsia="zh-CN"/>
        </w:rPr>
        <w:t>无</w:t>
      </w:r>
      <w:r>
        <w:rPr>
          <w:rFonts w:hint="eastAsia" w:ascii="仿宋_GB2312" w:eastAsia="仿宋_GB2312"/>
          <w:color w:val="auto"/>
          <w:sz w:val="30"/>
          <w:szCs w:val="30"/>
          <w:highlight w:val="none"/>
        </w:rPr>
        <w:t>附属单位</w:t>
      </w:r>
      <w:r>
        <w:rPr>
          <w:rFonts w:hint="eastAsia" w:ascii="仿宋_GB2312" w:eastAsia="仿宋_GB2312"/>
          <w:color w:val="auto"/>
          <w:sz w:val="30"/>
          <w:szCs w:val="30"/>
          <w:highlight w:val="none"/>
          <w:lang w:eastAsia="zh-CN"/>
        </w:rPr>
        <w:t>上缴</w:t>
      </w:r>
      <w:r>
        <w:rPr>
          <w:rFonts w:hint="eastAsia" w:ascii="仿宋_GB2312" w:eastAsia="仿宋_GB2312"/>
          <w:color w:val="auto"/>
          <w:sz w:val="30"/>
          <w:szCs w:val="30"/>
          <w:highlight w:val="none"/>
        </w:rPr>
        <w:t>收入；其他收入</w:t>
      </w:r>
      <w:r>
        <w:rPr>
          <w:rFonts w:hint="eastAsia" w:ascii="仿宋_GB2312" w:hAnsi="仿宋_GB2312" w:eastAsia="仿宋_GB2312" w:cs="仿宋_GB2312"/>
          <w:color w:val="auto"/>
          <w:sz w:val="30"/>
          <w:highlight w:val="none"/>
          <w:lang w:val="en-US" w:eastAsia="zh-CN"/>
        </w:rPr>
        <w:t>295869.60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，占总收入的</w:t>
      </w:r>
      <w:r>
        <w:rPr>
          <w:rFonts w:hint="eastAsia" w:ascii="仿宋_GB2312" w:hAnsi="仿宋_GB2312" w:eastAsia="仿宋_GB2312" w:cs="仿宋_GB2312"/>
          <w:color w:val="auto"/>
          <w:sz w:val="30"/>
          <w:highlight w:val="none"/>
          <w:lang w:val="en-US" w:eastAsia="zh-CN"/>
        </w:rPr>
        <w:t>2.59</w:t>
      </w:r>
      <w:r>
        <w:rPr>
          <w:rFonts w:hint="eastAsia" w:ascii="仿宋_GB2312" w:eastAsia="仿宋_GB2312"/>
          <w:color w:val="auto"/>
          <w:sz w:val="30"/>
          <w:szCs w:val="30"/>
          <w:highlight w:val="none"/>
        </w:rPr>
        <w:t>%。</w:t>
      </w:r>
    </w:p>
    <w:p w14:paraId="41D47711">
      <w:pPr>
        <w:widowControl/>
        <w:snapToGrid w:val="0"/>
        <w:spacing w:before="100" w:after="100" w:line="600" w:lineRule="exact"/>
        <w:ind w:firstLine="538"/>
        <w:jc w:val="left"/>
        <w:rPr>
          <w:rFonts w:hint="eastAsia" w:ascii="仿宋_GB2312" w:eastAsia="仿宋_GB2312"/>
          <w:color w:val="FF000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eastAsia="zh-CN"/>
        </w:rPr>
        <w:t>增加</w:t>
      </w:r>
      <w:r>
        <w:rPr>
          <w:rFonts w:hint="eastAsia" w:ascii="仿宋_GB2312" w:eastAsia="仿宋_GB2312"/>
          <w:sz w:val="30"/>
          <w:szCs w:val="30"/>
          <w:highlight w:val="none"/>
          <w:lang w:val="en-US" w:eastAsia="zh-CN"/>
        </w:rPr>
        <w:t>1140447.34</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11.11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eastAsia="zh-CN"/>
        </w:rPr>
        <w:t>增加</w:t>
      </w:r>
      <w:r>
        <w:rPr>
          <w:rFonts w:hint="eastAsia" w:ascii="仿宋_GB2312" w:eastAsia="仿宋_GB2312"/>
          <w:sz w:val="30"/>
          <w:szCs w:val="30"/>
          <w:highlight w:val="none"/>
          <w:lang w:val="en-US" w:eastAsia="zh-CN"/>
        </w:rPr>
        <w:t>948484.58</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9.33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事业收入</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经营收入；</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附属单位上缴收入</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lang w:eastAsia="zh-CN"/>
        </w:rPr>
        <w:t>其他收入增加</w:t>
      </w:r>
      <w:r>
        <w:rPr>
          <w:rFonts w:hint="eastAsia" w:ascii="仿宋_GB2312" w:eastAsia="仿宋_GB2312"/>
          <w:sz w:val="30"/>
          <w:szCs w:val="30"/>
          <w:highlight w:val="none"/>
          <w:lang w:val="en-US" w:eastAsia="zh-CN"/>
        </w:rPr>
        <w:t>191959.76</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184.74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hAnsi="仿宋_GB2312" w:eastAsia="仿宋_GB2312" w:cs="仿宋_GB2312"/>
          <w:sz w:val="30"/>
          <w:szCs w:val="30"/>
          <w:highlight w:val="none"/>
          <w:shd w:val="clear" w:color="auto" w:fill="FFFFFF"/>
        </w:rPr>
        <w:t>主要原因</w:t>
      </w:r>
      <w:r>
        <w:rPr>
          <w:rFonts w:hint="eastAsia" w:ascii="仿宋_GB2312" w:hAnsi="仿宋_GB2312" w:eastAsia="仿宋_GB2312" w:cs="仿宋_GB2312"/>
          <w:sz w:val="30"/>
          <w:szCs w:val="30"/>
          <w:highlight w:val="none"/>
          <w:shd w:val="clear" w:color="auto" w:fill="FFFFFF"/>
          <w:lang w:val="en-US" w:eastAsia="zh-CN"/>
        </w:rPr>
        <w:t>是</w:t>
      </w:r>
      <w:r>
        <w:rPr>
          <w:rFonts w:hint="eastAsia" w:ascii="仿宋_GB2312" w:hAnsi="仿宋_GB2312" w:eastAsia="仿宋_GB2312" w:cs="仿宋_GB2312"/>
          <w:sz w:val="30"/>
          <w:szCs w:val="30"/>
          <w:highlight w:val="none"/>
          <w:shd w:val="clear" w:color="auto" w:fill="FFFFFF"/>
        </w:rPr>
        <w:t>：</w:t>
      </w:r>
      <w:r>
        <w:rPr>
          <w:rFonts w:hint="eastAsia" w:ascii="仿宋_GB2312" w:hAnsi="仿宋_GB2312" w:eastAsia="仿宋_GB2312" w:cs="仿宋_GB2312"/>
          <w:sz w:val="30"/>
          <w:szCs w:val="30"/>
          <w:highlight w:val="none"/>
          <w:shd w:val="clear" w:color="auto" w:fill="FFFFFF"/>
          <w:lang w:val="en-US" w:eastAsia="zh-CN"/>
        </w:rPr>
        <w:t>教师岗位正常变动及薪级工资晋升</w:t>
      </w:r>
      <w:r>
        <w:rPr>
          <w:rFonts w:hint="eastAsia" w:ascii="仿宋_GB2312" w:hAnsi="仿宋_GB2312" w:eastAsia="仿宋_GB2312" w:cs="仿宋_GB2312"/>
          <w:color w:val="000000"/>
          <w:sz w:val="30"/>
          <w:szCs w:val="30"/>
          <w:lang w:val="en-US" w:eastAsia="zh-CN"/>
        </w:rPr>
        <w:t>导致</w:t>
      </w:r>
      <w:r>
        <w:rPr>
          <w:rFonts w:hint="eastAsia" w:ascii="仿宋_GB2312" w:hAnsi="仿宋_GB2312" w:eastAsia="仿宋_GB2312" w:cs="仿宋_GB2312"/>
          <w:sz w:val="30"/>
          <w:szCs w:val="30"/>
          <w:highlight w:val="none"/>
          <w:shd w:val="clear" w:color="auto" w:fill="FFFFFF"/>
          <w:lang w:val="en-US" w:eastAsia="zh-CN"/>
        </w:rPr>
        <w:t>基本支出中的人员经费增加；2025年度内，国家开发银行云南省分行分别拨付了2022年度和2023年度学生资助管理中心的助学贷款代理费及助学贷款风险补偿结余奖励金，两项合计214900元，因此其他收入较2024年度增长显著。</w:t>
      </w:r>
    </w:p>
    <w:p w14:paraId="316DC34E">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7C26B49D">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富民县教育科学研究信息中心</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年度支出合计</w:t>
      </w:r>
      <w:r>
        <w:rPr>
          <w:rFonts w:hint="eastAsia" w:ascii="仿宋_GB2312" w:hAnsi="仿宋_GB2312" w:eastAsia="仿宋_GB2312" w:cs="仿宋_GB2312"/>
          <w:sz w:val="30"/>
          <w:lang w:val="zh-CN"/>
        </w:rPr>
        <w:t>11450160.18</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highlight w:val="none"/>
          <w:lang w:val="zh-CN"/>
        </w:rPr>
        <w:t>10759669.21</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highlight w:val="none"/>
          <w:lang w:val="en-US" w:eastAsia="zh-CN"/>
        </w:rPr>
        <w:t>93.97</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highlight w:val="none"/>
          <w:lang w:val="zh-CN"/>
        </w:rPr>
        <w:t>690490.97</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highlight w:val="none"/>
          <w:lang w:val="en-US" w:eastAsia="zh-CN"/>
        </w:rPr>
        <w:t>6.03</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上缴上级支出；</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经营支出；</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对附属单位补助支出。</w:t>
      </w:r>
    </w:p>
    <w:p w14:paraId="588ADB8F">
      <w:pPr>
        <w:spacing w:line="600" w:lineRule="exact"/>
        <w:ind w:firstLine="600" w:firstLineChars="200"/>
        <w:rPr>
          <w:rFonts w:hint="eastAsia" w:ascii="仿宋_GB2312" w:eastAsia="仿宋_GB2312"/>
          <w:color w:val="FF000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eastAsia="zh-CN"/>
        </w:rPr>
        <w:t>增加</w:t>
      </w:r>
      <w:r>
        <w:rPr>
          <w:rFonts w:hint="eastAsia" w:ascii="仿宋_GB2312" w:eastAsia="仿宋_GB2312"/>
          <w:sz w:val="30"/>
          <w:szCs w:val="30"/>
          <w:highlight w:val="none"/>
          <w:lang w:val="en-US" w:eastAsia="zh-CN"/>
        </w:rPr>
        <w:t>1107528.08</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10.71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eastAsia="zh-CN"/>
        </w:rPr>
        <w:t>增加</w:t>
      </w:r>
      <w:r>
        <w:rPr>
          <w:rFonts w:hint="eastAsia" w:ascii="仿宋_GB2312" w:eastAsia="仿宋_GB2312"/>
          <w:sz w:val="30"/>
          <w:szCs w:val="30"/>
          <w:highlight w:val="none"/>
          <w:lang w:val="en-US" w:eastAsia="zh-CN"/>
        </w:rPr>
        <w:t>814977.58</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8.20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；项目支出增加</w:t>
      </w:r>
      <w:r>
        <w:rPr>
          <w:rFonts w:hint="eastAsia" w:ascii="仿宋_GB2312" w:eastAsia="仿宋_GB2312"/>
          <w:sz w:val="30"/>
          <w:szCs w:val="30"/>
          <w:highlight w:val="none"/>
          <w:lang w:val="en-US" w:eastAsia="zh-CN"/>
        </w:rPr>
        <w:t>292550.50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73.52</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w:t>
      </w:r>
      <w:r>
        <w:rPr>
          <w:rFonts w:hint="eastAsia" w:ascii="仿宋_GB2312" w:hAnsi="仿宋_GB2312" w:eastAsia="仿宋_GB2312" w:cs="仿宋_GB2312"/>
          <w:color w:val="auto"/>
          <w:sz w:val="30"/>
          <w:lang w:val="en-US" w:eastAsia="zh-CN"/>
        </w:rPr>
        <w:t>2024年全县中小学幼儿园教师培训经费支出216490.00元，</w:t>
      </w:r>
      <w:r>
        <w:rPr>
          <w:rFonts w:hint="eastAsia" w:ascii="仿宋_GB2312" w:eastAsia="仿宋_GB2312"/>
          <w:color w:val="auto"/>
          <w:sz w:val="30"/>
          <w:szCs w:val="30"/>
          <w:highlight w:val="none"/>
          <w:lang w:val="en-US" w:eastAsia="zh-CN"/>
        </w:rPr>
        <w:t>2025年</w:t>
      </w:r>
      <w:r>
        <w:rPr>
          <w:rFonts w:hint="eastAsia" w:ascii="仿宋_GB2312" w:hAnsi="仿宋_GB2312" w:eastAsia="仿宋_GB2312" w:cs="仿宋_GB2312"/>
          <w:color w:val="auto"/>
          <w:sz w:val="30"/>
          <w:lang w:val="en-US" w:eastAsia="zh-CN"/>
        </w:rPr>
        <w:t>全县中小学幼儿园教师教师培训经费支出350000元；项目支出主要是学生资助管理中心的工作经费、奖励金、存量资金缴国库及代县教体局发放李继明教学基金奖及“求实”品德奖等奖励性资金。</w:t>
      </w:r>
    </w:p>
    <w:p w14:paraId="0F1D928B">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1FA30AC4">
      <w:pPr>
        <w:widowControl/>
        <w:snapToGrid w:val="0"/>
        <w:spacing w:before="100" w:after="100" w:line="600" w:lineRule="exact"/>
        <w:ind w:firstLine="538"/>
        <w:jc w:val="left"/>
        <w:rPr>
          <w:rFonts w:hint="eastAsia" w:ascii="仿宋_GB2312" w:eastAsia="仿宋_GB2312"/>
          <w:color w:val="auto"/>
          <w:sz w:val="30"/>
          <w:szCs w:val="30"/>
          <w:highlight w:val="none"/>
        </w:rPr>
      </w:pPr>
      <w:r>
        <w:rPr>
          <w:rFonts w:hint="eastAsia" w:ascii="仿宋_GB2312" w:hAnsi="仿宋_GB2312" w:eastAsia="仿宋_GB2312" w:cs="仿宋_GB2312"/>
          <w:color w:val="auto"/>
          <w:sz w:val="30"/>
          <w:szCs w:val="30"/>
          <w:highlight w:val="none"/>
          <w:lang w:val="en-US" w:eastAsia="zh-CN"/>
        </w:rPr>
        <w:t>2025</w:t>
      </w:r>
      <w:r>
        <w:rPr>
          <w:rFonts w:hint="eastAsia" w:ascii="仿宋_GB2312" w:hAnsi="仿宋_GB2312" w:eastAsia="仿宋_GB2312" w:cs="仿宋_GB2312"/>
          <w:color w:val="auto"/>
          <w:sz w:val="30"/>
          <w:szCs w:val="30"/>
          <w:highlight w:val="none"/>
        </w:rPr>
        <w:t>年度用于保障</w:t>
      </w:r>
      <w:r>
        <w:rPr>
          <w:rFonts w:hint="eastAsia" w:ascii="仿宋_GB2312" w:hAnsi="仿宋_GB2312" w:eastAsia="仿宋_GB2312" w:cs="仿宋_GB2312"/>
          <w:color w:val="auto"/>
          <w:sz w:val="30"/>
          <w:lang w:val="zh-CN"/>
        </w:rPr>
        <w:t>富民县教育科学研究信息中心</w:t>
      </w:r>
      <w:r>
        <w:rPr>
          <w:rFonts w:hint="eastAsia" w:ascii="仿宋_GB2312" w:hAnsi="仿宋_GB2312" w:eastAsia="仿宋_GB2312" w:cs="仿宋_GB2312"/>
          <w:color w:val="auto"/>
          <w:sz w:val="30"/>
          <w:szCs w:val="30"/>
          <w:highlight w:val="none"/>
        </w:rPr>
        <w:t>机构正常运转的日常支出</w:t>
      </w:r>
      <w:r>
        <w:rPr>
          <w:rFonts w:hint="eastAsia" w:ascii="仿宋_GB2312" w:hAnsi="仿宋_GB2312" w:eastAsia="仿宋_GB2312" w:cs="仿宋_GB2312"/>
          <w:color w:val="auto"/>
          <w:sz w:val="30"/>
          <w:highlight w:val="none"/>
          <w:lang w:val="en-US" w:eastAsia="zh-CN"/>
        </w:rPr>
        <w:t>10759669.21</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color w:val="auto"/>
          <w:sz w:val="30"/>
          <w:szCs w:val="30"/>
          <w:highlight w:val="none"/>
          <w:lang w:eastAsia="zh-CN"/>
        </w:rPr>
        <w:t>其中：</w:t>
      </w:r>
      <w:r>
        <w:rPr>
          <w:rFonts w:hint="eastAsia" w:ascii="仿宋_GB2312" w:hAnsi="仿宋_GB2312" w:eastAsia="仿宋_GB2312" w:cs="仿宋_GB2312"/>
          <w:color w:val="auto"/>
          <w:sz w:val="30"/>
          <w:szCs w:val="30"/>
          <w:highlight w:val="none"/>
        </w:rPr>
        <w:t>基本工资、津贴补贴等人员经费支出</w:t>
      </w:r>
      <w:r>
        <w:rPr>
          <w:rFonts w:hint="eastAsia" w:ascii="仿宋_GB2312" w:hAnsi="仿宋_GB2312" w:eastAsia="仿宋_GB2312" w:cs="仿宋_GB2312"/>
          <w:color w:val="auto"/>
          <w:sz w:val="30"/>
          <w:highlight w:val="none"/>
          <w:lang w:val="en-US" w:eastAsia="zh-CN"/>
        </w:rPr>
        <w:t>10584797.74</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占基本支出的</w:t>
      </w:r>
      <w:r>
        <w:rPr>
          <w:rFonts w:hint="eastAsia" w:ascii="仿宋_GB2312" w:hAnsi="仿宋_GB2312" w:eastAsia="仿宋_GB2312" w:cs="仿宋_GB2312"/>
          <w:color w:val="auto"/>
          <w:sz w:val="30"/>
          <w:highlight w:val="none"/>
          <w:lang w:val="en-US" w:eastAsia="zh-CN"/>
        </w:rPr>
        <w:t>98.37</w:t>
      </w:r>
      <w:r>
        <w:rPr>
          <w:rFonts w:hint="eastAsia" w:ascii="仿宋_GB2312" w:hAnsi="仿宋_GB2312" w:eastAsia="仿宋_GB2312" w:cs="仿宋_GB2312"/>
          <w:color w:val="auto"/>
          <w:sz w:val="30"/>
          <w:szCs w:val="30"/>
          <w:highlight w:val="none"/>
        </w:rPr>
        <w:t>％；办公费、印刷费、水电费、</w:t>
      </w:r>
      <w:r>
        <w:rPr>
          <w:rFonts w:hint="eastAsia" w:ascii="仿宋_GB2312" w:hAnsi="仿宋_GB2312" w:eastAsia="仿宋_GB2312" w:cs="仿宋_GB2312"/>
          <w:color w:val="auto"/>
          <w:sz w:val="30"/>
          <w:szCs w:val="30"/>
          <w:highlight w:val="none"/>
          <w:lang w:val="en-US" w:eastAsia="zh-CN"/>
        </w:rPr>
        <w:t>邮电费、差旅费、培训费、公务用车运行维护费、工会经费</w:t>
      </w:r>
      <w:r>
        <w:rPr>
          <w:rFonts w:hint="eastAsia" w:ascii="仿宋_GB2312" w:hAnsi="仿宋_GB2312" w:eastAsia="仿宋_GB2312" w:cs="仿宋_GB2312"/>
          <w:color w:val="auto"/>
          <w:sz w:val="30"/>
          <w:szCs w:val="30"/>
          <w:highlight w:val="none"/>
        </w:rPr>
        <w:t>等公用经费</w:t>
      </w:r>
      <w:r>
        <w:rPr>
          <w:rFonts w:hint="eastAsia" w:ascii="仿宋_GB2312" w:hAnsi="仿宋_GB2312" w:eastAsia="仿宋_GB2312" w:cs="仿宋_GB2312"/>
          <w:color w:val="auto"/>
          <w:sz w:val="30"/>
          <w:highlight w:val="none"/>
          <w:lang w:val="en-US" w:eastAsia="zh-CN"/>
        </w:rPr>
        <w:t>174871.47</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占基本支出的</w:t>
      </w:r>
      <w:r>
        <w:rPr>
          <w:rFonts w:hint="eastAsia" w:ascii="仿宋_GB2312" w:hAnsi="仿宋_GB2312" w:eastAsia="仿宋_GB2312" w:cs="仿宋_GB2312"/>
          <w:color w:val="auto"/>
          <w:sz w:val="30"/>
          <w:highlight w:val="none"/>
          <w:lang w:val="en-US" w:eastAsia="zh-CN"/>
        </w:rPr>
        <w:t>1.63</w:t>
      </w:r>
      <w:r>
        <w:rPr>
          <w:rFonts w:hint="eastAsia" w:ascii="仿宋_GB2312" w:hAnsi="仿宋_GB2312" w:eastAsia="仿宋_GB2312" w:cs="仿宋_GB2312"/>
          <w:color w:val="auto"/>
          <w:sz w:val="30"/>
          <w:szCs w:val="30"/>
          <w:highlight w:val="none"/>
        </w:rPr>
        <w:t>％。</w:t>
      </w:r>
    </w:p>
    <w:p w14:paraId="20C48AFD">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4B3A4678">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年度用于保障</w:t>
      </w:r>
      <w:r>
        <w:rPr>
          <w:rFonts w:hint="eastAsia" w:ascii="仿宋_GB2312" w:hAnsi="仿宋_GB2312" w:eastAsia="仿宋_GB2312" w:cs="仿宋_GB2312"/>
          <w:color w:val="auto"/>
          <w:sz w:val="30"/>
          <w:lang w:val="zh-CN"/>
        </w:rPr>
        <w:t>富民县教育科学研究信息中心</w:t>
      </w:r>
      <w:r>
        <w:rPr>
          <w:rFonts w:hint="eastAsia" w:ascii="仿宋_GB2312" w:eastAsia="仿宋_GB2312"/>
          <w:sz w:val="30"/>
          <w:szCs w:val="30"/>
          <w:highlight w:val="none"/>
        </w:rPr>
        <w:t>为完成特定的行政工作任务或事业发展目标，用于专项业务工作的经费支出</w:t>
      </w:r>
      <w:r>
        <w:rPr>
          <w:rFonts w:hint="eastAsia" w:ascii="仿宋_GB2312" w:hAnsi="仿宋_GB2312" w:eastAsia="仿宋_GB2312" w:cs="仿宋_GB2312"/>
          <w:sz w:val="30"/>
          <w:szCs w:val="30"/>
          <w:highlight w:val="none"/>
          <w:lang w:val="en-US" w:eastAsia="zh-CN"/>
        </w:rPr>
        <w:t>690490.97</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含缴入国库198055.22元）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18C63747">
      <w:pPr>
        <w:keepNext w:val="0"/>
        <w:keepLines w:val="0"/>
        <w:pageBreakBefore w:val="0"/>
        <w:widowControl/>
        <w:kinsoku/>
        <w:wordWrap w:val="0"/>
        <w:overflowPunct/>
        <w:topLinePunct w:val="0"/>
        <w:autoSpaceDE/>
        <w:autoSpaceDN/>
        <w:bidi w:val="0"/>
        <w:adjustRightInd/>
        <w:snapToGrid w:val="0"/>
        <w:spacing w:line="360" w:lineRule="auto"/>
        <w:ind w:firstLine="600" w:firstLineChars="200"/>
        <w:jc w:val="left"/>
        <w:textAlignment w:val="auto"/>
        <w:rPr>
          <w:rFonts w:hint="eastAsia"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1.职校单位修购基金专项经费893.37</w:t>
      </w:r>
      <w:r>
        <w:rPr>
          <w:rFonts w:hint="eastAsia" w:ascii="仿宋_GB2312" w:eastAsia="仿宋_GB2312"/>
          <w:color w:val="auto"/>
          <w:sz w:val="30"/>
          <w:szCs w:val="30"/>
          <w:highlight w:val="none"/>
        </w:rPr>
        <w:t>元，</w:t>
      </w:r>
      <w:r>
        <w:rPr>
          <w:rFonts w:hint="eastAsia" w:ascii="仿宋_GB2312" w:eastAsia="仿宋_GB2312"/>
          <w:color w:val="auto"/>
          <w:sz w:val="30"/>
          <w:szCs w:val="30"/>
          <w:highlight w:val="none"/>
          <w:lang w:val="en-US" w:eastAsia="zh-CN"/>
        </w:rPr>
        <w:t>按相关规定作为存量资金缴入国库。</w:t>
      </w:r>
    </w:p>
    <w:p w14:paraId="219F543D">
      <w:pPr>
        <w:keepNext w:val="0"/>
        <w:keepLines w:val="0"/>
        <w:pageBreakBefore w:val="0"/>
        <w:widowControl/>
        <w:kinsoku/>
        <w:wordWrap w:val="0"/>
        <w:overflowPunct/>
        <w:topLinePunct w:val="0"/>
        <w:autoSpaceDE/>
        <w:autoSpaceDN/>
        <w:bidi w:val="0"/>
        <w:adjustRightInd/>
        <w:snapToGrid w:val="0"/>
        <w:spacing w:line="360" w:lineRule="auto"/>
        <w:ind w:firstLine="600" w:firstLineChars="200"/>
        <w:jc w:val="left"/>
        <w:textAlignment w:val="auto"/>
        <w:rPr>
          <w:rFonts w:hint="eastAsia" w:ascii="仿宋_GB2312" w:hAnsi="仿宋_GB2312" w:eastAsia="仿宋_GB2312" w:cs="仿宋_GB2312"/>
          <w:color w:val="auto"/>
          <w:kern w:val="44"/>
          <w:sz w:val="30"/>
          <w:szCs w:val="30"/>
          <w:lang w:val="en-US" w:eastAsia="zh-CN" w:bidi="ar-SA"/>
        </w:rPr>
      </w:pPr>
      <w:r>
        <w:rPr>
          <w:rFonts w:hint="eastAsia" w:ascii="仿宋_GB2312" w:hAnsi="仿宋_GB2312" w:eastAsia="仿宋_GB2312" w:cs="仿宋_GB2312"/>
          <w:color w:val="auto"/>
          <w:kern w:val="44"/>
          <w:sz w:val="30"/>
          <w:szCs w:val="30"/>
          <w:lang w:val="en-US" w:eastAsia="zh-CN" w:bidi="ar-SA"/>
        </w:rPr>
        <w:t>2.教师培训项目经费350000元，主要用于支付2024年度开展的全县中学物理教师培训、初中英语教师培训、中小学校（园）党组书记、党务工作者培训、中学班主任培训等。</w:t>
      </w:r>
    </w:p>
    <w:p w14:paraId="46195DF5">
      <w:pPr>
        <w:pStyle w:val="3"/>
        <w:pageBreakBefore w:val="0"/>
        <w:numPr>
          <w:ilvl w:val="0"/>
          <w:numId w:val="0"/>
        </w:numPr>
        <w:kinsoku/>
        <w:overflowPunct/>
        <w:topLinePunct w:val="0"/>
        <w:autoSpaceDE/>
        <w:autoSpaceDN/>
        <w:bidi w:val="0"/>
        <w:adjustRightInd/>
        <w:spacing w:line="560" w:lineRule="atLeast"/>
        <w:textAlignment w:val="auto"/>
        <w:rPr>
          <w:rFonts w:hint="eastAsia" w:ascii="仿宋_GB2312" w:hAnsi="仿宋_GB2312" w:eastAsia="仿宋_GB2312" w:cs="仿宋_GB2312"/>
          <w:color w:val="auto"/>
          <w:sz w:val="30"/>
          <w:szCs w:val="30"/>
          <w:lang w:val="en-US" w:eastAsia="zh-CN"/>
        </w:rPr>
      </w:pPr>
      <w:r>
        <w:rPr>
          <w:rFonts w:hint="eastAsia"/>
          <w:color w:val="FF0000"/>
          <w:lang w:val="en-US" w:eastAsia="zh-CN"/>
        </w:rPr>
        <w:t xml:space="preserve"> </w:t>
      </w:r>
      <w:r>
        <w:rPr>
          <w:rFonts w:hint="eastAsia" w:ascii="仿宋_GB2312" w:hAnsi="仿宋_GB2312" w:eastAsia="仿宋_GB2312" w:cs="仿宋_GB2312"/>
          <w:color w:val="FF0000"/>
          <w:sz w:val="30"/>
          <w:szCs w:val="30"/>
          <w:lang w:val="en-US" w:eastAsia="zh-CN"/>
        </w:rPr>
        <w:t xml:space="preserve"> </w:t>
      </w:r>
      <w:r>
        <w:rPr>
          <w:rFonts w:hint="eastAsia" w:ascii="仿宋_GB2312" w:hAnsi="仿宋_GB2312" w:eastAsia="仿宋_GB2312" w:cs="仿宋_GB2312"/>
          <w:color w:val="auto"/>
          <w:sz w:val="30"/>
          <w:szCs w:val="30"/>
          <w:lang w:val="en-US" w:eastAsia="zh-CN"/>
        </w:rPr>
        <w:t xml:space="preserve"> 3.2025年李继明教育基金项目经费50000元，主要用于奖励2025年度全县中小学优秀教师及学生。</w:t>
      </w:r>
    </w:p>
    <w:p w14:paraId="23228A0A">
      <w:pPr>
        <w:ind w:firstLine="600" w:firstLineChars="200"/>
        <w:rPr>
          <w:rFonts w:hint="default"/>
          <w:lang w:val="en-US" w:eastAsia="zh-CN"/>
        </w:rPr>
      </w:pPr>
      <w:r>
        <w:rPr>
          <w:rFonts w:hint="eastAsia" w:ascii="仿宋_GB2312" w:hAnsi="仿宋_GB2312" w:eastAsia="仿宋_GB2312" w:cs="仿宋_GB2312"/>
          <w:color w:val="auto"/>
          <w:sz w:val="30"/>
          <w:szCs w:val="30"/>
          <w:lang w:val="en-US" w:eastAsia="zh-CN"/>
        </w:rPr>
        <w:t>4.2024年求实品德奖项目经费30000元，主要用于奖励品德优秀的中小学生。</w:t>
      </w:r>
    </w:p>
    <w:p w14:paraId="06A1DB72">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color w:val="auto"/>
          <w:lang w:val="en-US" w:eastAsia="zh-CN"/>
        </w:rPr>
      </w:pPr>
      <w:r>
        <w:rPr>
          <w:rFonts w:hint="eastAsia" w:ascii="仿宋_GB2312" w:hAnsi="仿宋_GB2312" w:eastAsia="仿宋_GB2312" w:cs="仿宋_GB2312"/>
          <w:color w:val="auto"/>
          <w:sz w:val="30"/>
          <w:szCs w:val="30"/>
          <w:lang w:val="en-US" w:eastAsia="zh-CN"/>
        </w:rPr>
        <w:t>5.助学贷款代理费项目经费141052.00元，主要用于办公费、水费、培训费。差旅费、维修（护）费、邮电费等共计48595.43元；年末按相关要求缴存国库92456.57元。</w:t>
      </w:r>
    </w:p>
    <w:p w14:paraId="7E459E0E">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color w:val="auto"/>
          <w:lang w:val="en-US" w:eastAsia="zh-CN"/>
        </w:rPr>
      </w:pPr>
      <w:r>
        <w:rPr>
          <w:rFonts w:hint="eastAsia" w:ascii="仿宋_GB2312" w:hAnsi="仿宋_GB2312" w:eastAsia="仿宋_GB2312" w:cs="仿宋_GB2312"/>
          <w:color w:val="auto"/>
          <w:sz w:val="30"/>
          <w:szCs w:val="30"/>
          <w:lang w:val="en-US" w:eastAsia="zh-CN"/>
        </w:rPr>
        <w:t>6.助学贷款风险补偿结余奖励项目经费118545.60元，主要用于邮电费、办公费（含复印纸采购）、水费、劳务费等13840.32元；年末按相关要求缴存国库104705.28元。</w:t>
      </w:r>
    </w:p>
    <w:p w14:paraId="5133D020">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6620F018">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3642D83C">
      <w:pPr>
        <w:widowControl/>
        <w:snapToGrid w:val="0"/>
        <w:spacing w:before="100" w:after="100" w:line="600" w:lineRule="exact"/>
        <w:ind w:firstLine="600" w:firstLineChars="200"/>
        <w:jc w:val="left"/>
        <w:rPr>
          <w:rFonts w:hint="eastAsia" w:ascii="仿宋_GB2312" w:hAnsi="宋体" w:eastAsia="仿宋_GB2312" w:cs="Arial"/>
          <w:color w:val="auto"/>
          <w:kern w:val="0"/>
          <w:sz w:val="30"/>
          <w:szCs w:val="30"/>
          <w:highlight w:val="none"/>
        </w:rPr>
      </w:pPr>
      <w:r>
        <w:rPr>
          <w:rFonts w:hint="eastAsia" w:ascii="仿宋_GB2312" w:hAnsi="仿宋_GB2312" w:eastAsia="仿宋_GB2312" w:cs="仿宋_GB2312"/>
          <w:color w:val="auto"/>
          <w:sz w:val="30"/>
          <w:lang w:val="zh-CN"/>
        </w:rPr>
        <w:t>富民县教育科学研究信息中心</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年度一般公共预算财政拨款支出</w:t>
      </w:r>
      <w:r>
        <w:rPr>
          <w:rFonts w:hint="eastAsia" w:ascii="仿宋_GB2312" w:hAnsi="仿宋_GB2312" w:eastAsia="仿宋_GB2312" w:cs="仿宋_GB2312"/>
          <w:color w:val="auto"/>
          <w:sz w:val="30"/>
          <w:highlight w:val="none"/>
          <w:lang w:val="en-US" w:eastAsia="zh-CN"/>
        </w:rPr>
        <w:t>11109669.21</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,占本年支出合计的</w:t>
      </w:r>
      <w:r>
        <w:rPr>
          <w:rFonts w:hint="eastAsia" w:ascii="仿宋_GB2312" w:hAnsi="仿宋_GB2312" w:eastAsia="仿宋_GB2312" w:cs="仿宋_GB2312"/>
          <w:color w:val="auto"/>
          <w:sz w:val="30"/>
          <w:szCs w:val="30"/>
          <w:highlight w:val="none"/>
          <w:lang w:val="en-US" w:eastAsia="zh-CN"/>
        </w:rPr>
        <w:t>97.03</w:t>
      </w:r>
      <w:r>
        <w:rPr>
          <w:rFonts w:hint="eastAsia" w:ascii="仿宋_GB2312" w:hAnsi="宋体" w:eastAsia="仿宋_GB2312" w:cs="Arial"/>
          <w:color w:val="auto"/>
          <w:kern w:val="0"/>
          <w:sz w:val="30"/>
          <w:szCs w:val="30"/>
          <w:highlight w:val="none"/>
        </w:rPr>
        <w:t>%。与上年</w:t>
      </w:r>
      <w:r>
        <w:rPr>
          <w:rFonts w:hint="eastAsia" w:ascii="仿宋_GB2312" w:hAnsi="宋体" w:eastAsia="仿宋_GB2312" w:cs="Arial"/>
          <w:color w:val="auto"/>
          <w:kern w:val="0"/>
          <w:sz w:val="30"/>
          <w:szCs w:val="30"/>
          <w:highlight w:val="none"/>
          <w:lang w:eastAsia="zh-CN"/>
        </w:rPr>
        <w:t>相比</w:t>
      </w:r>
      <w:r>
        <w:rPr>
          <w:rFonts w:hint="eastAsia" w:ascii="仿宋_GB2312" w:hAnsi="宋体" w:eastAsia="仿宋_GB2312" w:cs="Arial"/>
          <w:color w:val="auto"/>
          <w:kern w:val="0"/>
          <w:sz w:val="30"/>
          <w:szCs w:val="30"/>
          <w:highlight w:val="none"/>
        </w:rPr>
        <w:t>增加</w:t>
      </w:r>
      <w:r>
        <w:rPr>
          <w:rFonts w:hint="eastAsia" w:ascii="仿宋_GB2312" w:hAnsi="宋体" w:eastAsia="仿宋_GB2312" w:cs="Arial"/>
          <w:color w:val="auto"/>
          <w:kern w:val="0"/>
          <w:sz w:val="30"/>
          <w:szCs w:val="30"/>
          <w:highlight w:val="none"/>
          <w:lang w:val="en-US" w:eastAsia="zh-CN"/>
        </w:rPr>
        <w:t>948487.58</w:t>
      </w:r>
      <w:r>
        <w:rPr>
          <w:rFonts w:hint="eastAsia" w:ascii="仿宋_GB2312" w:hAnsi="宋体" w:eastAsia="仿宋_GB2312" w:cs="Arial"/>
          <w:color w:val="auto"/>
          <w:kern w:val="0"/>
          <w:sz w:val="30"/>
          <w:szCs w:val="30"/>
          <w:highlight w:val="none"/>
        </w:rPr>
        <w:t>元，增长</w:t>
      </w:r>
      <w:r>
        <w:rPr>
          <w:rFonts w:hint="eastAsia" w:ascii="仿宋_GB2312" w:hAnsi="宋体" w:eastAsia="仿宋_GB2312" w:cs="Arial"/>
          <w:color w:val="auto"/>
          <w:kern w:val="0"/>
          <w:sz w:val="30"/>
          <w:szCs w:val="30"/>
          <w:highlight w:val="none"/>
          <w:lang w:val="en-US" w:eastAsia="zh-CN"/>
        </w:rPr>
        <w:t>9.33</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sz w:val="30"/>
          <w:szCs w:val="30"/>
          <w:highlight w:val="none"/>
          <w:lang w:val="en-US" w:eastAsia="zh-CN"/>
        </w:rPr>
        <w:t>98.47</w:t>
      </w:r>
      <w:r>
        <w:rPr>
          <w:rFonts w:hint="eastAsia" w:ascii="仿宋_GB2312" w:eastAsia="仿宋_GB2312"/>
          <w:color w:val="auto"/>
          <w:sz w:val="30"/>
          <w:szCs w:val="30"/>
          <w:highlight w:val="none"/>
          <w:lang w:val="en-US" w:eastAsia="zh-CN"/>
        </w:rPr>
        <w:t>%</w:t>
      </w:r>
      <w:r>
        <w:rPr>
          <w:rFonts w:hint="eastAsia" w:ascii="仿宋_GB2312" w:hAnsi="宋体" w:eastAsia="仿宋_GB2312" w:cs="Arial"/>
          <w:color w:val="auto"/>
          <w:kern w:val="0"/>
          <w:sz w:val="30"/>
          <w:szCs w:val="30"/>
          <w:highlight w:val="none"/>
        </w:rPr>
        <w:t>。</w:t>
      </w:r>
    </w:p>
    <w:p w14:paraId="473D98F2">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160A9117">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宋体" w:eastAsia="仿宋_GB2312" w:cs="Arial"/>
          <w:kern w:val="0"/>
          <w:sz w:val="30"/>
          <w:szCs w:val="30"/>
          <w:highlight w:val="none"/>
        </w:rPr>
        <w:t>1.一般公共服务（类）支出</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6822675C">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50A908A4">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746ACE88">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4F14C71D">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highlight w:val="none"/>
          <w:lang w:val="en-US"/>
        </w:rPr>
        <w:t>5.教育（类）支出</w:t>
      </w:r>
      <w:r>
        <w:rPr>
          <w:rFonts w:hint="eastAsia" w:ascii="仿宋_GB2312" w:hAnsi="仿宋_GB2312" w:eastAsia="仿宋_GB2312" w:cs="仿宋_GB2312"/>
          <w:color w:val="auto"/>
          <w:sz w:val="30"/>
          <w:szCs w:val="30"/>
          <w:highlight w:val="none"/>
          <w:lang w:val="en-US" w:eastAsia="zh-CN"/>
        </w:rPr>
        <w:t>8532153.71</w:t>
      </w:r>
      <w:r>
        <w:rPr>
          <w:rFonts w:hint="eastAsia" w:ascii="仿宋_GB2312" w:hAnsi="仿宋_GB2312" w:eastAsia="仿宋_GB2312" w:cs="仿宋_GB2312"/>
          <w:color w:val="auto"/>
          <w:kern w:val="0"/>
          <w:sz w:val="30"/>
          <w:highlight w:val="none"/>
          <w:lang w:val="en-US"/>
        </w:rPr>
        <w:t>元，</w:t>
      </w:r>
      <w:r>
        <w:rPr>
          <w:rFonts w:hint="eastAsia" w:ascii="仿宋_GB2312" w:hAnsi="仿宋_GB2312" w:eastAsia="仿宋_GB2312" w:cs="仿宋_GB2312"/>
          <w:color w:val="auto"/>
          <w:sz w:val="30"/>
          <w:highlight w:val="none"/>
          <w:lang w:val="en-US"/>
        </w:rPr>
        <w:t>占一般公共预算财政拨款总支出的</w:t>
      </w:r>
      <w:r>
        <w:rPr>
          <w:rFonts w:hint="eastAsia" w:ascii="仿宋_GB2312" w:hAnsi="仿宋_GB2312" w:eastAsia="仿宋_GB2312" w:cs="仿宋_GB2312"/>
          <w:color w:val="auto"/>
          <w:sz w:val="30"/>
          <w:szCs w:val="30"/>
          <w:highlight w:val="none"/>
          <w:lang w:val="en-US" w:eastAsia="zh-CN"/>
        </w:rPr>
        <w:t>74.52</w:t>
      </w:r>
      <w:r>
        <w:rPr>
          <w:rFonts w:hint="eastAsia" w:ascii="仿宋_GB2312" w:hAnsi="仿宋_GB2312" w:eastAsia="仿宋_GB2312" w:cs="仿宋_GB2312"/>
          <w:color w:val="auto"/>
          <w:sz w:val="30"/>
          <w:highlight w:val="none"/>
          <w:lang w:val="en-US"/>
        </w:rPr>
        <w:t>%</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sz w:val="30"/>
          <w:szCs w:val="30"/>
          <w:highlight w:val="none"/>
          <w:lang w:val="en-US" w:eastAsia="zh-CN"/>
        </w:rPr>
        <w:t>99.82</w:t>
      </w:r>
      <w:r>
        <w:rPr>
          <w:rFonts w:hint="eastAsia" w:ascii="仿宋_GB2312" w:eastAsia="仿宋_GB2312"/>
          <w:color w:val="auto"/>
          <w:sz w:val="30"/>
          <w:szCs w:val="30"/>
          <w:highlight w:val="none"/>
          <w:lang w:val="en-US" w:eastAsia="zh-CN"/>
        </w:rPr>
        <w:t>%</w:t>
      </w:r>
      <w:r>
        <w:rPr>
          <w:rFonts w:hint="eastAsia" w:ascii="仿宋_GB2312" w:eastAsia="仿宋_GB2312"/>
          <w:color w:val="auto"/>
          <w:sz w:val="30"/>
          <w:szCs w:val="30"/>
          <w:highlight w:val="none"/>
        </w:rPr>
        <w:t>。</w:t>
      </w:r>
      <w:r>
        <w:rPr>
          <w:rFonts w:hint="eastAsia" w:ascii="仿宋_GB2312" w:hAnsi="宋体" w:eastAsia="仿宋_GB2312" w:cs="Arial"/>
          <w:color w:val="auto"/>
          <w:kern w:val="0"/>
          <w:sz w:val="30"/>
          <w:szCs w:val="30"/>
          <w:highlight w:val="none"/>
        </w:rPr>
        <w:t>主要用于</w:t>
      </w:r>
      <w:r>
        <w:rPr>
          <w:rFonts w:ascii="仿宋" w:hAnsi="仿宋" w:eastAsia="仿宋" w:cs="仿宋"/>
          <w:color w:val="auto"/>
          <w:sz w:val="30"/>
          <w:szCs w:val="30"/>
        </w:rPr>
        <w:t>人员经费、办公</w:t>
      </w:r>
      <w:r>
        <w:rPr>
          <w:rFonts w:hint="eastAsia" w:ascii="仿宋" w:hAnsi="仿宋" w:eastAsia="仿宋" w:cs="仿宋"/>
          <w:color w:val="auto"/>
          <w:sz w:val="30"/>
          <w:szCs w:val="30"/>
          <w:lang w:val="en-US" w:eastAsia="zh-CN"/>
        </w:rPr>
        <w:t>费</w:t>
      </w:r>
      <w:r>
        <w:rPr>
          <w:rFonts w:ascii="仿宋" w:hAnsi="仿宋" w:eastAsia="仿宋" w:cs="仿宋"/>
          <w:color w:val="auto"/>
          <w:sz w:val="30"/>
          <w:szCs w:val="30"/>
        </w:rPr>
        <w:t>及日常水电费、</w:t>
      </w:r>
      <w:r>
        <w:rPr>
          <w:rFonts w:hint="eastAsia" w:ascii="仿宋" w:hAnsi="仿宋" w:eastAsia="仿宋" w:cs="仿宋"/>
          <w:color w:val="auto"/>
          <w:sz w:val="30"/>
          <w:szCs w:val="30"/>
          <w:lang w:val="en-US" w:eastAsia="zh-CN"/>
        </w:rPr>
        <w:t>邮电</w:t>
      </w:r>
      <w:r>
        <w:rPr>
          <w:rFonts w:ascii="仿宋" w:hAnsi="仿宋" w:eastAsia="仿宋" w:cs="仿宋"/>
          <w:color w:val="auto"/>
          <w:sz w:val="30"/>
          <w:szCs w:val="30"/>
        </w:rPr>
        <w:t>费</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公务用车运行费、培训费、维修（护）费</w:t>
      </w:r>
      <w:r>
        <w:rPr>
          <w:rFonts w:ascii="仿宋" w:hAnsi="仿宋" w:eastAsia="仿宋" w:cs="仿宋"/>
          <w:color w:val="auto"/>
          <w:sz w:val="30"/>
          <w:szCs w:val="30"/>
        </w:rPr>
        <w:t>的支出。</w:t>
      </w:r>
      <w:r>
        <w:rPr>
          <w:rFonts w:hint="eastAsia" w:ascii="仿宋_GB2312" w:hAnsi="宋体" w:eastAsia="仿宋_GB2312" w:cs="Arial"/>
          <w:color w:val="auto"/>
          <w:kern w:val="0"/>
          <w:sz w:val="30"/>
          <w:szCs w:val="30"/>
          <w:highlight w:val="none"/>
          <w:lang w:eastAsia="zh-CN"/>
        </w:rPr>
        <w:t>造成预决算差异的主要原因是</w:t>
      </w:r>
      <w:r>
        <w:rPr>
          <w:rFonts w:hint="eastAsia" w:ascii="仿宋_GB2312" w:hAnsi="宋体" w:eastAsia="仿宋_GB2312" w:cs="Arial"/>
          <w:color w:val="auto"/>
          <w:kern w:val="0"/>
          <w:sz w:val="30"/>
          <w:szCs w:val="30"/>
          <w:highlight w:val="none"/>
          <w:lang w:val="en-US" w:eastAsia="zh-CN"/>
        </w:rPr>
        <w:t>在职转退休及岗位变动、薪级工资晋升等人员经费的变化</w:t>
      </w:r>
      <w:r>
        <w:rPr>
          <w:rFonts w:hint="eastAsia" w:ascii="仿宋_GB2312" w:hAnsi="宋体" w:eastAsia="仿宋_GB2312" w:cs="Arial"/>
          <w:color w:val="auto"/>
          <w:kern w:val="0"/>
          <w:sz w:val="30"/>
          <w:szCs w:val="30"/>
          <w:highlight w:val="none"/>
          <w:lang w:eastAsia="zh-CN"/>
        </w:rPr>
        <w:t>。</w:t>
      </w:r>
    </w:p>
    <w:p w14:paraId="7E32E1EB">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仿宋_GB2312" w:eastAsia="仿宋_GB2312" w:cs="仿宋_GB2312"/>
          <w:color w:val="auto"/>
          <w:kern w:val="0"/>
          <w:sz w:val="30"/>
          <w:highlight w:val="none"/>
          <w:lang w:val="en-US"/>
        </w:rPr>
        <w:t>6.科学技术（类）支出</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color w:val="auto"/>
          <w:kern w:val="0"/>
          <w:sz w:val="30"/>
          <w:highlight w:val="none"/>
          <w:lang w:val="en-US"/>
        </w:rPr>
        <w:t>元，</w:t>
      </w:r>
      <w:r>
        <w:rPr>
          <w:rFonts w:hint="eastAsia" w:ascii="仿宋_GB2312" w:hAnsi="仿宋_GB2312" w:eastAsia="仿宋_GB2312" w:cs="仿宋_GB2312"/>
          <w:color w:val="auto"/>
          <w:sz w:val="30"/>
          <w:highlight w:val="none"/>
          <w:lang w:val="en-US"/>
        </w:rPr>
        <w:t>占一般公共预算财政拨款总支出的</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color w:val="auto"/>
          <w:sz w:val="30"/>
          <w:highlight w:val="none"/>
          <w:lang w:val="en-US"/>
        </w:rPr>
        <w:t>%</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6DDB6F94">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仿宋_GB2312" w:eastAsia="仿宋_GB2312" w:cs="仿宋_GB2312"/>
          <w:color w:val="auto"/>
          <w:kern w:val="0"/>
          <w:sz w:val="30"/>
          <w:highlight w:val="none"/>
          <w:lang w:val="en-US"/>
        </w:rPr>
        <w:t>7.文化旅游体育与传媒（类）支出</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color w:val="auto"/>
          <w:kern w:val="0"/>
          <w:sz w:val="30"/>
          <w:highlight w:val="none"/>
          <w:lang w:val="en-US"/>
        </w:rPr>
        <w:t>元，</w:t>
      </w:r>
      <w:r>
        <w:rPr>
          <w:rFonts w:hint="eastAsia" w:ascii="仿宋_GB2312" w:hAnsi="仿宋_GB2312" w:eastAsia="仿宋_GB2312" w:cs="仿宋_GB2312"/>
          <w:color w:val="auto"/>
          <w:sz w:val="30"/>
          <w:highlight w:val="none"/>
          <w:lang w:val="en-US"/>
        </w:rPr>
        <w:t>占一般公共预算财政拨款总支出的</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color w:val="auto"/>
          <w:sz w:val="30"/>
          <w:highlight w:val="none"/>
          <w:lang w:val="en-US"/>
        </w:rPr>
        <w:t>%</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0142444D">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highlight w:val="none"/>
          <w:lang w:val="en-US"/>
        </w:rPr>
        <w:t>8.社会保障和就业（类）支出</w:t>
      </w:r>
      <w:r>
        <w:rPr>
          <w:rFonts w:hint="eastAsia" w:ascii="仿宋_GB2312" w:hAnsi="仿宋_GB2312" w:eastAsia="仿宋_GB2312" w:cs="仿宋_GB2312"/>
          <w:color w:val="auto"/>
          <w:sz w:val="30"/>
          <w:szCs w:val="30"/>
          <w:highlight w:val="none"/>
          <w:lang w:eastAsia="zh-CN"/>
        </w:rPr>
        <w:t>1094878.01</w:t>
      </w:r>
      <w:r>
        <w:rPr>
          <w:rFonts w:hint="eastAsia" w:ascii="仿宋_GB2312" w:hAnsi="仿宋_GB2312" w:eastAsia="仿宋_GB2312" w:cs="仿宋_GB2312"/>
          <w:color w:val="auto"/>
          <w:kern w:val="0"/>
          <w:sz w:val="30"/>
          <w:highlight w:val="none"/>
          <w:lang w:val="en-US"/>
        </w:rPr>
        <w:t>元，</w:t>
      </w:r>
      <w:r>
        <w:rPr>
          <w:rFonts w:hint="eastAsia" w:ascii="仿宋_GB2312" w:hAnsi="仿宋_GB2312" w:eastAsia="仿宋_GB2312" w:cs="仿宋_GB2312"/>
          <w:color w:val="auto"/>
          <w:sz w:val="30"/>
          <w:highlight w:val="none"/>
          <w:lang w:val="en-US"/>
        </w:rPr>
        <w:t>占一般公共预算财政拨款总支出的</w:t>
      </w:r>
      <w:r>
        <w:rPr>
          <w:rFonts w:hint="eastAsia" w:ascii="仿宋_GB2312" w:hAnsi="仿宋_GB2312" w:eastAsia="仿宋_GB2312" w:cs="仿宋_GB2312"/>
          <w:color w:val="auto"/>
          <w:sz w:val="30"/>
          <w:szCs w:val="30"/>
          <w:highlight w:val="none"/>
          <w:lang w:val="en-US" w:eastAsia="zh-CN"/>
        </w:rPr>
        <w:t>9.56</w:t>
      </w:r>
      <w:r>
        <w:rPr>
          <w:rFonts w:hint="eastAsia" w:ascii="仿宋_GB2312" w:hAnsi="仿宋_GB2312" w:eastAsia="仿宋_GB2312" w:cs="仿宋_GB2312"/>
          <w:color w:val="auto"/>
          <w:sz w:val="30"/>
          <w:highlight w:val="none"/>
          <w:lang w:val="en-US"/>
        </w:rPr>
        <w:t>%</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sz w:val="30"/>
          <w:szCs w:val="30"/>
          <w:highlight w:val="none"/>
          <w:lang w:val="en-US" w:eastAsia="zh-CN"/>
        </w:rPr>
        <w:t>94.23</w:t>
      </w:r>
      <w:r>
        <w:rPr>
          <w:rFonts w:hint="eastAsia" w:ascii="仿宋_GB2312" w:eastAsia="仿宋_GB2312"/>
          <w:color w:val="auto"/>
          <w:sz w:val="30"/>
          <w:szCs w:val="30"/>
          <w:highlight w:val="none"/>
          <w:lang w:val="en-US" w:eastAsia="zh-CN"/>
        </w:rPr>
        <w:t>%</w:t>
      </w:r>
      <w:r>
        <w:rPr>
          <w:rFonts w:hint="eastAsia" w:ascii="仿宋_GB2312" w:eastAsia="仿宋_GB2312"/>
          <w:color w:val="auto"/>
          <w:sz w:val="30"/>
          <w:szCs w:val="30"/>
          <w:highlight w:val="none"/>
        </w:rPr>
        <w:t>。</w:t>
      </w:r>
      <w:r>
        <w:rPr>
          <w:rFonts w:hint="eastAsia" w:ascii="仿宋_GB2312" w:hAnsi="宋体" w:eastAsia="仿宋_GB2312" w:cs="Arial"/>
          <w:color w:val="auto"/>
          <w:kern w:val="0"/>
          <w:sz w:val="30"/>
          <w:szCs w:val="30"/>
          <w:highlight w:val="none"/>
        </w:rPr>
        <w:t>主要用于</w:t>
      </w:r>
      <w:r>
        <w:rPr>
          <w:rFonts w:hint="eastAsia" w:ascii="仿宋" w:hAnsi="仿宋" w:eastAsia="仿宋"/>
          <w:color w:val="auto"/>
          <w:sz w:val="30"/>
          <w:lang w:val="en-US" w:eastAsia="zh-CN"/>
        </w:rPr>
        <w:t>主要用于在职教职工基本养老保险缴费支出、退休人员死亡抚恤金、遗属生活补助等支出</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造成预决算差异的主要原因是</w:t>
      </w:r>
      <w:r>
        <w:rPr>
          <w:rFonts w:hint="eastAsia" w:ascii="仿宋_GB2312" w:eastAsia="仿宋_GB2312"/>
          <w:color w:val="auto"/>
          <w:sz w:val="30"/>
          <w:szCs w:val="30"/>
          <w:highlight w:val="none"/>
          <w:lang w:val="en-US" w:eastAsia="zh-CN"/>
        </w:rPr>
        <w:t>2025年下半年退休的2名教师职工养老保险职业年金未在当年实现缴费</w:t>
      </w:r>
      <w:r>
        <w:rPr>
          <w:rFonts w:hint="eastAsia" w:ascii="仿宋_GB2312" w:hAnsi="宋体" w:eastAsia="仿宋_GB2312" w:cs="Arial"/>
          <w:color w:val="auto"/>
          <w:kern w:val="0"/>
          <w:sz w:val="30"/>
          <w:szCs w:val="30"/>
          <w:highlight w:val="none"/>
          <w:lang w:eastAsia="zh-CN"/>
        </w:rPr>
        <w:t>。</w:t>
      </w:r>
    </w:p>
    <w:p w14:paraId="1890C8D6">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highlight w:val="none"/>
          <w:lang w:val="en-US"/>
        </w:rPr>
        <w:t>9.卫生健康（类）支出</w:t>
      </w:r>
      <w:r>
        <w:rPr>
          <w:rFonts w:hint="eastAsia" w:ascii="仿宋_GB2312" w:hAnsi="仿宋_GB2312" w:eastAsia="仿宋_GB2312" w:cs="仿宋_GB2312"/>
          <w:color w:val="auto"/>
          <w:sz w:val="30"/>
          <w:szCs w:val="30"/>
          <w:highlight w:val="none"/>
          <w:lang w:eastAsia="zh-CN"/>
        </w:rPr>
        <w:t>1073471.46</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sz w:val="30"/>
          <w:szCs w:val="30"/>
          <w:highlight w:val="none"/>
          <w:lang w:val="en-US" w:eastAsia="zh-CN"/>
        </w:rPr>
        <w:t>9.37</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sz w:val="30"/>
          <w:szCs w:val="30"/>
          <w:highlight w:val="none"/>
          <w:lang w:val="en-US" w:eastAsia="zh-CN"/>
        </w:rPr>
        <w:t>98.99</w:t>
      </w:r>
      <w:r>
        <w:rPr>
          <w:rFonts w:hint="eastAsia" w:ascii="仿宋_GB2312" w:eastAsia="仿宋_GB2312"/>
          <w:color w:val="auto"/>
          <w:sz w:val="30"/>
          <w:szCs w:val="30"/>
          <w:highlight w:val="none"/>
          <w:lang w:val="en-US" w:eastAsia="zh-CN"/>
        </w:rPr>
        <w:t>%</w:t>
      </w:r>
      <w:r>
        <w:rPr>
          <w:rFonts w:hint="eastAsia" w:ascii="仿宋_GB2312" w:hAnsi="宋体" w:eastAsia="仿宋_GB2312" w:cs="Arial"/>
          <w:color w:val="auto"/>
          <w:kern w:val="0"/>
          <w:sz w:val="30"/>
          <w:szCs w:val="30"/>
          <w:highlight w:val="none"/>
          <w:lang w:eastAsia="zh-CN"/>
        </w:rPr>
        <w:t>。</w:t>
      </w:r>
      <w:r>
        <w:rPr>
          <w:rFonts w:hint="eastAsia" w:ascii="仿宋" w:hAnsi="仿宋" w:eastAsia="仿宋"/>
          <w:color w:val="auto"/>
          <w:kern w:val="0"/>
          <w:sz w:val="30"/>
        </w:rPr>
        <w:t>主要用于</w:t>
      </w:r>
      <w:r>
        <w:rPr>
          <w:rFonts w:hint="eastAsia" w:ascii="仿宋" w:hAnsi="仿宋" w:eastAsia="仿宋"/>
          <w:color w:val="auto"/>
          <w:kern w:val="0"/>
          <w:sz w:val="30"/>
          <w:lang w:val="en-US" w:eastAsia="zh-CN"/>
        </w:rPr>
        <w:t>在职教职工基本医疗保险、工伤保险、在职及退休职工公务员补助等支出</w:t>
      </w:r>
      <w:r>
        <w:rPr>
          <w:rFonts w:hint="eastAsia" w:ascii="仿宋" w:hAnsi="仿宋" w:eastAsia="仿宋" w:cs="仿宋"/>
          <w:color w:val="auto"/>
          <w:sz w:val="30"/>
          <w:szCs w:val="30"/>
          <w:shd w:val="clear" w:color="auto" w:fill="FFFFFF"/>
          <w:lang w:eastAsia="zh-CN"/>
        </w:rPr>
        <w:t>；</w:t>
      </w:r>
      <w:r>
        <w:rPr>
          <w:rFonts w:hint="eastAsia" w:ascii="仿宋_GB2312" w:hAnsi="宋体" w:eastAsia="仿宋_GB2312" w:cs="Arial"/>
          <w:color w:val="auto"/>
          <w:kern w:val="0"/>
          <w:sz w:val="30"/>
          <w:szCs w:val="30"/>
          <w:highlight w:val="none"/>
          <w:lang w:eastAsia="zh-CN"/>
        </w:rPr>
        <w:t>造成预决算差异的主要原因是</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县管校聘”对应的人员调整及在职教师退休</w:t>
      </w:r>
      <w:r>
        <w:rPr>
          <w:rFonts w:hint="eastAsia" w:ascii="仿宋_GB2312" w:hAnsi="宋体" w:eastAsia="仿宋_GB2312" w:cs="Arial"/>
          <w:color w:val="auto"/>
          <w:kern w:val="0"/>
          <w:sz w:val="30"/>
          <w:szCs w:val="30"/>
          <w:highlight w:val="none"/>
          <w:lang w:eastAsia="zh-CN"/>
        </w:rPr>
        <w:t>。</w:t>
      </w:r>
      <w:bookmarkStart w:id="0" w:name="_GoBack"/>
      <w:bookmarkEnd w:id="0"/>
    </w:p>
    <w:p w14:paraId="6508DA19">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仿宋_GB2312" w:eastAsia="仿宋_GB2312" w:cs="仿宋_GB2312"/>
          <w:color w:val="auto"/>
          <w:kern w:val="0"/>
          <w:sz w:val="30"/>
          <w:highlight w:val="none"/>
          <w:lang w:val="en-US"/>
        </w:rPr>
        <w:t>10.节能环保（类）支出</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3B27372A">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仿宋_GB2312" w:eastAsia="仿宋_GB2312" w:cs="仿宋_GB2312"/>
          <w:color w:val="auto"/>
          <w:kern w:val="0"/>
          <w:sz w:val="30"/>
          <w:highlight w:val="none"/>
          <w:lang w:val="en-US"/>
        </w:rPr>
        <w:t>11.城乡社区（类）支出</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1B54ED2C">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仿宋_GB2312" w:eastAsia="仿宋_GB2312" w:cs="仿宋_GB2312"/>
          <w:color w:val="auto"/>
          <w:kern w:val="0"/>
          <w:sz w:val="30"/>
          <w:highlight w:val="none"/>
          <w:lang w:val="en-US"/>
        </w:rPr>
        <w:t>12.农林水（类）支出</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178616B3">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仿宋_GB2312" w:eastAsia="仿宋_GB2312" w:cs="仿宋_GB2312"/>
          <w:color w:val="auto"/>
          <w:kern w:val="0"/>
          <w:sz w:val="30"/>
          <w:highlight w:val="none"/>
          <w:lang w:val="en-US"/>
        </w:rPr>
        <w:t>13.交通运输（类）支出</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24B128BD">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仿宋_GB2312" w:eastAsia="仿宋_GB2312" w:cs="仿宋_GB2312"/>
          <w:color w:val="auto"/>
          <w:kern w:val="0"/>
          <w:sz w:val="30"/>
          <w:highlight w:val="none"/>
          <w:lang w:val="en-US"/>
        </w:rPr>
        <w:t>14.资源勘探工业信息等（类）支出</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4DD39B63">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仿宋_GB2312" w:eastAsia="仿宋_GB2312" w:cs="仿宋_GB2312"/>
          <w:color w:val="auto"/>
          <w:kern w:val="0"/>
          <w:sz w:val="30"/>
          <w:highlight w:val="none"/>
          <w:lang w:val="en-US"/>
        </w:rPr>
        <w:t>15.商业服务业等（类）支出</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24C8660B">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仿宋_GB2312" w:eastAsia="仿宋_GB2312" w:cs="仿宋_GB2312"/>
          <w:color w:val="auto"/>
          <w:kern w:val="0"/>
          <w:sz w:val="30"/>
          <w:highlight w:val="none"/>
          <w:lang w:val="en-US"/>
        </w:rPr>
        <w:t>16.金融（类）支出</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342EC147">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仿宋_GB2312" w:eastAsia="仿宋_GB2312" w:cs="仿宋_GB2312"/>
          <w:color w:val="auto"/>
          <w:kern w:val="0"/>
          <w:sz w:val="30"/>
          <w:highlight w:val="none"/>
          <w:lang w:val="en-US"/>
        </w:rPr>
        <w:t>17.援助其他地区（类）支出</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7B62A7B8">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仿宋_GB2312" w:eastAsia="仿宋_GB2312" w:cs="仿宋_GB2312"/>
          <w:color w:val="auto"/>
          <w:kern w:val="0"/>
          <w:sz w:val="30"/>
          <w:highlight w:val="none"/>
          <w:lang w:val="en-US"/>
        </w:rPr>
        <w:t>18.自然资源海洋气象等（类）支出</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741D423B">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highlight w:val="none"/>
          <w:lang w:val="en-US"/>
        </w:rPr>
        <w:t>19.住房保障（类）支出</w:t>
      </w:r>
      <w:r>
        <w:rPr>
          <w:rFonts w:hint="eastAsia" w:ascii="仿宋_GB2312" w:hAnsi="仿宋_GB2312" w:eastAsia="仿宋_GB2312" w:cs="仿宋_GB2312"/>
          <w:color w:val="auto"/>
          <w:sz w:val="30"/>
          <w:szCs w:val="30"/>
          <w:highlight w:val="none"/>
          <w:lang w:eastAsia="zh-CN"/>
        </w:rPr>
        <w:t>749657</w:t>
      </w:r>
      <w:r>
        <w:rPr>
          <w:rFonts w:hint="eastAsia" w:ascii="仿宋_GB2312" w:hAnsi="仿宋_GB2312" w:eastAsia="仿宋_GB2312" w:cs="仿宋_GB2312"/>
          <w:color w:val="auto"/>
          <w:sz w:val="30"/>
          <w:szCs w:val="30"/>
          <w:highlight w:val="none"/>
          <w:lang w:val="en-US" w:eastAsia="zh-CN"/>
        </w:rPr>
        <w:t>.00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sz w:val="30"/>
          <w:szCs w:val="30"/>
          <w:highlight w:val="none"/>
          <w:lang w:val="en-US" w:eastAsia="zh-CN"/>
        </w:rPr>
        <w:t>6.55</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sz w:val="30"/>
          <w:szCs w:val="30"/>
          <w:highlight w:val="none"/>
          <w:lang w:val="en-US" w:eastAsia="zh-CN"/>
        </w:rPr>
        <w:t>90.43</w:t>
      </w:r>
      <w:r>
        <w:rPr>
          <w:rFonts w:hint="eastAsia" w:ascii="仿宋_GB2312" w:eastAsia="仿宋_GB2312"/>
          <w:color w:val="auto"/>
          <w:sz w:val="30"/>
          <w:szCs w:val="30"/>
          <w:highlight w:val="none"/>
          <w:lang w:val="en-US" w:eastAsia="zh-CN"/>
        </w:rPr>
        <w:t>%</w:t>
      </w:r>
      <w:r>
        <w:rPr>
          <w:rFonts w:hint="eastAsia" w:ascii="仿宋_GB2312" w:eastAsia="仿宋_GB2312"/>
          <w:color w:val="auto"/>
          <w:sz w:val="30"/>
          <w:szCs w:val="30"/>
          <w:highlight w:val="none"/>
        </w:rPr>
        <w:t>。</w:t>
      </w:r>
      <w:r>
        <w:rPr>
          <w:rFonts w:hint="eastAsia" w:ascii="仿宋" w:hAnsi="仿宋" w:eastAsia="仿宋"/>
          <w:color w:val="auto"/>
          <w:kern w:val="0"/>
          <w:sz w:val="30"/>
        </w:rPr>
        <w:t>主要用于</w:t>
      </w:r>
      <w:r>
        <w:rPr>
          <w:rFonts w:hint="eastAsia" w:ascii="仿宋" w:hAnsi="仿宋" w:eastAsia="仿宋"/>
          <w:color w:val="auto"/>
          <w:kern w:val="0"/>
          <w:sz w:val="30"/>
          <w:lang w:val="en-US" w:eastAsia="zh-CN"/>
        </w:rPr>
        <w:t>缴纳全体在职教职工的住房公积金</w:t>
      </w:r>
      <w:r>
        <w:rPr>
          <w:rFonts w:hint="eastAsia" w:ascii="仿宋" w:hAnsi="仿宋" w:eastAsia="仿宋" w:cs="仿宋"/>
          <w:color w:val="auto"/>
          <w:sz w:val="30"/>
          <w:szCs w:val="30"/>
          <w:shd w:val="clear" w:color="auto" w:fill="FFFFFF"/>
          <w:lang w:eastAsia="zh-CN"/>
        </w:rPr>
        <w:t>；</w:t>
      </w:r>
      <w:r>
        <w:rPr>
          <w:rFonts w:hint="eastAsia" w:ascii="仿宋_GB2312" w:hAnsi="宋体" w:eastAsia="仿宋_GB2312" w:cs="Arial"/>
          <w:color w:val="auto"/>
          <w:kern w:val="0"/>
          <w:sz w:val="30"/>
          <w:szCs w:val="30"/>
          <w:highlight w:val="none"/>
          <w:lang w:eastAsia="zh-CN"/>
        </w:rPr>
        <w:t>造成预决算差异的主要原因是</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县管校聘”对应的人员调整及在职教师退休</w:t>
      </w:r>
      <w:r>
        <w:rPr>
          <w:rFonts w:hint="eastAsia" w:ascii="仿宋_GB2312" w:hAnsi="宋体" w:eastAsia="仿宋_GB2312" w:cs="Arial"/>
          <w:color w:val="auto"/>
          <w:kern w:val="0"/>
          <w:sz w:val="30"/>
          <w:szCs w:val="30"/>
          <w:highlight w:val="none"/>
          <w:lang w:eastAsia="zh-CN"/>
        </w:rPr>
        <w:t>。</w:t>
      </w:r>
    </w:p>
    <w:p w14:paraId="6EB1F89F">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仿宋_GB2312" w:eastAsia="仿宋_GB2312" w:cs="仿宋_GB2312"/>
          <w:color w:val="auto"/>
          <w:kern w:val="0"/>
          <w:sz w:val="30"/>
          <w:highlight w:val="none"/>
          <w:lang w:val="en-US"/>
        </w:rPr>
        <w:t>20.粮油物资储备（类）支出</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75F2AECC">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仿宋_GB2312" w:eastAsia="仿宋_GB2312" w:cs="仿宋_GB2312"/>
          <w:color w:val="auto"/>
          <w:kern w:val="0"/>
          <w:sz w:val="30"/>
          <w:highlight w:val="none"/>
          <w:lang w:val="en-US"/>
        </w:rPr>
        <w:t>21.国有资本经营预算（类）支出</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104756D0">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仿宋_GB2312" w:eastAsia="仿宋_GB2312" w:cs="仿宋_GB2312"/>
          <w:color w:val="auto"/>
          <w:kern w:val="0"/>
          <w:sz w:val="30"/>
          <w:highlight w:val="none"/>
          <w:lang w:val="en-US"/>
        </w:rPr>
        <w:t>22.灾害防治及应急管理（类）支出</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57140687">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仿宋_GB2312" w:eastAsia="仿宋_GB2312" w:cs="仿宋_GB2312"/>
          <w:color w:val="auto"/>
          <w:kern w:val="0"/>
          <w:sz w:val="30"/>
          <w:highlight w:val="none"/>
          <w:lang w:val="en-US"/>
        </w:rPr>
        <w:t>23.其他（类）支出</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2E27AC02">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仿宋_GB2312" w:eastAsia="仿宋_GB2312" w:cs="仿宋_GB2312"/>
          <w:color w:val="auto"/>
          <w:kern w:val="0"/>
          <w:sz w:val="30"/>
          <w:highlight w:val="none"/>
          <w:lang w:val="en-US"/>
        </w:rPr>
        <w:t>24.债务还本（类）支出</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614D6940">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仿宋_GB2312" w:eastAsia="仿宋_GB2312" w:cs="仿宋_GB2312"/>
          <w:color w:val="auto"/>
          <w:kern w:val="0"/>
          <w:sz w:val="30"/>
          <w:highlight w:val="none"/>
          <w:lang w:val="en-US"/>
        </w:rPr>
        <w:t>25.债务付息（类）支出</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5E37AD22">
      <w:pPr>
        <w:widowControl/>
        <w:snapToGrid w:val="0"/>
        <w:spacing w:before="100" w:after="100" w:line="360" w:lineRule="auto"/>
        <w:ind w:firstLine="600" w:firstLineChars="200"/>
        <w:jc w:val="left"/>
        <w:rPr>
          <w:rFonts w:hint="eastAsia" w:ascii="仿宋_GB2312" w:eastAsia="仿宋_GB2312"/>
          <w:color w:val="FF0000"/>
          <w:sz w:val="30"/>
          <w:szCs w:val="30"/>
          <w:highlight w:val="none"/>
          <w:lang w:eastAsia="zh-CN"/>
        </w:rPr>
      </w:pPr>
      <w:r>
        <w:rPr>
          <w:rFonts w:hint="eastAsia" w:ascii="仿宋_GB2312" w:hAnsi="仿宋_GB2312" w:eastAsia="仿宋_GB2312" w:cs="仿宋_GB2312"/>
          <w:color w:val="auto"/>
          <w:kern w:val="0"/>
          <w:sz w:val="30"/>
          <w:highlight w:val="none"/>
          <w:lang w:val="en-US"/>
        </w:rPr>
        <w:t>26.抗疫特别国债安排（类）支出</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67109C11">
      <w:pPr>
        <w:widowControl/>
        <w:numPr>
          <w:ilvl w:val="0"/>
          <w:numId w:val="1"/>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6CC6699C">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0F39989C">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highlight w:val="none"/>
          <w:lang w:eastAsia="zh-CN"/>
        </w:rPr>
      </w:pPr>
      <w:r>
        <w:rPr>
          <w:rFonts w:hint="eastAsia" w:ascii="仿宋_GB2312" w:hAnsi="宋体" w:eastAsia="仿宋_GB2312" w:cs="Arial"/>
          <w:kern w:val="0"/>
          <w:sz w:val="30"/>
          <w:szCs w:val="30"/>
          <w:highlight w:val="none"/>
          <w:lang w:val="en-US" w:eastAsia="zh-CN"/>
        </w:rPr>
        <w:t>2025</w:t>
      </w:r>
      <w:r>
        <w:rPr>
          <w:rFonts w:hint="eastAsia" w:ascii="仿宋_GB2312" w:hAnsi="宋体" w:eastAsia="仿宋_GB2312" w:cs="Arial"/>
          <w:kern w:val="0"/>
          <w:sz w:val="30"/>
          <w:szCs w:val="30"/>
          <w:highlight w:val="none"/>
        </w:rPr>
        <w:t>年度财政拨款“三公”经费支出决算中，财政拨款“三公”经费支出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sz w:val="30"/>
          <w:szCs w:val="30"/>
          <w:highlight w:val="none"/>
          <w:lang w:val="en-US" w:eastAsia="zh-CN"/>
        </w:rPr>
        <w:t>12000.00</w:t>
      </w:r>
      <w:r>
        <w:rPr>
          <w:rFonts w:hint="eastAsia" w:ascii="仿宋_GB2312" w:hAnsi="宋体" w:eastAsia="仿宋_GB2312" w:cs="Arial"/>
          <w:kern w:val="0"/>
          <w:sz w:val="30"/>
          <w:szCs w:val="30"/>
          <w:highlight w:val="none"/>
        </w:rPr>
        <w:t>元，决算为</w:t>
      </w:r>
      <w:r>
        <w:rPr>
          <w:rFonts w:hint="eastAsia" w:ascii="仿宋_GB2312" w:hAnsi="仿宋_GB2312" w:eastAsia="仿宋_GB2312" w:cs="仿宋_GB2312"/>
          <w:sz w:val="30"/>
          <w:szCs w:val="30"/>
          <w:highlight w:val="none"/>
          <w:lang w:val="en-US" w:eastAsia="zh-CN"/>
        </w:rPr>
        <w:t>11896.00</w:t>
      </w:r>
      <w:r>
        <w:rPr>
          <w:rFonts w:hint="eastAsia" w:ascii="仿宋_GB2312" w:hAnsi="宋体" w:eastAsia="仿宋_GB2312" w:cs="Arial"/>
          <w:kern w:val="0"/>
          <w:sz w:val="30"/>
          <w:szCs w:val="30"/>
          <w:highlight w:val="none"/>
        </w:rPr>
        <w:t>元，完成</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预算的</w:t>
      </w:r>
      <w:r>
        <w:rPr>
          <w:rFonts w:hint="eastAsia" w:ascii="仿宋_GB2312" w:hAnsi="仿宋_GB2312" w:eastAsia="仿宋_GB2312" w:cs="仿宋_GB2312"/>
          <w:sz w:val="30"/>
          <w:szCs w:val="30"/>
          <w:highlight w:val="none"/>
          <w:lang w:val="en-US" w:eastAsia="zh-CN"/>
        </w:rPr>
        <w:t>99.13</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；支出决算较上年增加</w:t>
      </w:r>
      <w:r>
        <w:rPr>
          <w:rFonts w:hint="eastAsia" w:ascii="仿宋_GB2312" w:hAnsi="宋体" w:eastAsia="仿宋_GB2312" w:cs="Arial"/>
          <w:kern w:val="0"/>
          <w:sz w:val="30"/>
          <w:szCs w:val="30"/>
          <w:highlight w:val="none"/>
          <w:lang w:val="en-US" w:eastAsia="zh-CN"/>
        </w:rPr>
        <w:t>11896.00元，增长100%</w:t>
      </w:r>
      <w:r>
        <w:rPr>
          <w:rFonts w:hint="eastAsia" w:ascii="仿宋_GB2312" w:eastAsia="仿宋_GB2312"/>
          <w:color w:val="auto"/>
          <w:sz w:val="30"/>
          <w:szCs w:val="30"/>
          <w:highlight w:val="none"/>
          <w:lang w:eastAsia="zh-CN"/>
        </w:rPr>
        <w:t>。</w:t>
      </w:r>
    </w:p>
    <w:p w14:paraId="418F4685">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FF0000"/>
          <w:sz w:val="30"/>
          <w:szCs w:val="30"/>
          <w:highlight w:val="none"/>
          <w:lang w:eastAsia="zh-CN"/>
        </w:rPr>
      </w:pPr>
      <w:r>
        <w:rPr>
          <w:rFonts w:hint="eastAsia" w:ascii="仿宋_GB2312" w:hAnsi="宋体" w:eastAsia="仿宋_GB2312" w:cs="Arial"/>
          <w:kern w:val="0"/>
          <w:sz w:val="30"/>
          <w:szCs w:val="30"/>
          <w:highlight w:val="none"/>
          <w:lang w:eastAsia="zh-CN"/>
        </w:rPr>
        <w:t>因公出国（境）费用</w:t>
      </w:r>
      <w:r>
        <w:rPr>
          <w:rFonts w:hint="eastAsia" w:ascii="仿宋_GB2312" w:hAnsi="宋体" w:eastAsia="仿宋_GB2312" w:cs="Arial"/>
          <w:kern w:val="0"/>
          <w:sz w:val="30"/>
          <w:szCs w:val="30"/>
          <w:highlight w:val="none"/>
        </w:rPr>
        <w:t>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rPr>
        <w:t>元；公务用车购置费支出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rPr>
        <w:t>元；公务用车</w:t>
      </w:r>
      <w:r>
        <w:rPr>
          <w:rFonts w:hint="eastAsia" w:ascii="仿宋_GB2312" w:hAnsi="宋体" w:eastAsia="仿宋_GB2312" w:cs="Arial"/>
          <w:kern w:val="0"/>
          <w:sz w:val="30"/>
          <w:szCs w:val="30"/>
          <w:highlight w:val="none"/>
          <w:lang w:eastAsia="zh-CN"/>
        </w:rPr>
        <w:t>运行维护</w:t>
      </w:r>
      <w:r>
        <w:rPr>
          <w:rFonts w:hint="eastAsia" w:ascii="仿宋_GB2312" w:hAnsi="宋体" w:eastAsia="仿宋_GB2312" w:cs="Arial"/>
          <w:kern w:val="0"/>
          <w:sz w:val="30"/>
          <w:szCs w:val="30"/>
          <w:highlight w:val="none"/>
        </w:rPr>
        <w:t>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sz w:val="30"/>
          <w:szCs w:val="30"/>
          <w:highlight w:val="none"/>
          <w:lang w:val="en-US" w:eastAsia="zh-CN"/>
        </w:rPr>
        <w:t>12000.00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eastAsia="仿宋_GB2312"/>
          <w:sz w:val="30"/>
          <w:szCs w:val="30"/>
          <w:highlight w:val="none"/>
          <w:lang w:val="en-US" w:eastAsia="zh-CN"/>
        </w:rPr>
        <w:t>11896.00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sz w:val="30"/>
          <w:szCs w:val="30"/>
          <w:highlight w:val="none"/>
          <w:lang w:val="en-US" w:eastAsia="zh-CN"/>
        </w:rPr>
        <w:t>100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，完成年初预算的</w:t>
      </w:r>
      <w:r>
        <w:rPr>
          <w:rFonts w:hint="eastAsia" w:ascii="仿宋_GB2312" w:hAnsi="仿宋_GB2312" w:eastAsia="仿宋_GB2312" w:cs="仿宋_GB2312"/>
          <w:sz w:val="30"/>
          <w:szCs w:val="30"/>
          <w:highlight w:val="none"/>
          <w:lang w:val="en-US" w:eastAsia="zh-CN"/>
        </w:rPr>
        <w:t>99.13</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公务接待费支出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w:t>
      </w:r>
    </w:p>
    <w:p w14:paraId="4CAB1DF5">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楷体_GB2312" w:hAnsi="楷体_GB2312" w:eastAsia="楷体_GB2312" w:cs="楷体_GB2312"/>
          <w:kern w:val="0"/>
          <w:sz w:val="30"/>
          <w:szCs w:val="30"/>
          <w:highlight w:val="none"/>
          <w:lang w:val="en-US" w:eastAsia="zh-CN"/>
        </w:rPr>
      </w:pPr>
      <w:r>
        <w:rPr>
          <w:rFonts w:hint="eastAsia" w:ascii="仿宋_GB2312" w:eastAsia="仿宋_GB2312"/>
          <w:sz w:val="30"/>
          <w:szCs w:val="30"/>
          <w:highlight w:val="none"/>
          <w:lang w:eastAsia="zh-CN"/>
        </w:rPr>
        <w:t>因公出国（境）费用</w:t>
      </w:r>
      <w:r>
        <w:rPr>
          <w:rFonts w:hint="eastAsia" w:ascii="仿宋_GB2312" w:hAnsi="宋体" w:eastAsia="仿宋_GB2312" w:cs="Arial"/>
          <w:kern w:val="0"/>
          <w:sz w:val="30"/>
          <w:szCs w:val="30"/>
          <w:highlight w:val="none"/>
          <w:lang w:eastAsia="zh-CN"/>
        </w:rPr>
        <w:t>支出决算较上年增加</w:t>
      </w:r>
      <w:r>
        <w:rPr>
          <w:rFonts w:hint="eastAsia" w:ascii="仿宋_GB2312" w:hAnsi="宋体" w:eastAsia="仿宋_GB2312" w:cs="Arial"/>
          <w:kern w:val="0"/>
          <w:sz w:val="30"/>
          <w:szCs w:val="30"/>
          <w:highlight w:val="none"/>
          <w:lang w:val="en-US" w:eastAsia="zh-CN"/>
        </w:rPr>
        <w:t>0元，</w:t>
      </w:r>
      <w:r>
        <w:rPr>
          <w:rFonts w:hint="eastAsia" w:ascii="仿宋_GB2312" w:eastAsia="仿宋_GB2312"/>
          <w:color w:val="auto"/>
          <w:sz w:val="30"/>
          <w:szCs w:val="30"/>
          <w:highlight w:val="none"/>
          <w:lang w:eastAsia="zh-CN"/>
        </w:rPr>
        <w:t>上年无此项支出</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sz w:val="30"/>
          <w:szCs w:val="30"/>
          <w:highlight w:val="none"/>
        </w:rPr>
        <w:t>公务用车购置费</w:t>
      </w:r>
      <w:r>
        <w:rPr>
          <w:rFonts w:hint="eastAsia" w:ascii="仿宋_GB2312" w:hAnsi="宋体" w:eastAsia="仿宋_GB2312" w:cs="Arial"/>
          <w:kern w:val="0"/>
          <w:sz w:val="30"/>
          <w:szCs w:val="30"/>
          <w:highlight w:val="none"/>
          <w:lang w:eastAsia="zh-CN"/>
        </w:rPr>
        <w:t>支出决算较上年增加</w:t>
      </w:r>
      <w:r>
        <w:rPr>
          <w:rFonts w:hint="eastAsia" w:ascii="仿宋_GB2312" w:hAnsi="宋体" w:eastAsia="仿宋_GB2312" w:cs="Arial"/>
          <w:kern w:val="0"/>
          <w:sz w:val="30"/>
          <w:szCs w:val="30"/>
          <w:highlight w:val="none"/>
          <w:lang w:val="en-US" w:eastAsia="zh-CN"/>
        </w:rPr>
        <w:t>0元，</w:t>
      </w:r>
      <w:r>
        <w:rPr>
          <w:rFonts w:hint="eastAsia" w:ascii="仿宋_GB2312" w:eastAsia="仿宋_GB2312"/>
          <w:color w:val="auto"/>
          <w:sz w:val="30"/>
          <w:szCs w:val="30"/>
          <w:highlight w:val="none"/>
          <w:lang w:eastAsia="zh-CN"/>
        </w:rPr>
        <w:t>上年无此项支出</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hAnsi="宋体" w:eastAsia="仿宋_GB2312" w:cs="Arial"/>
          <w:kern w:val="0"/>
          <w:sz w:val="30"/>
          <w:szCs w:val="30"/>
          <w:highlight w:val="none"/>
          <w:lang w:eastAsia="zh-CN"/>
        </w:rPr>
        <w:t>支出决算较上年增加</w:t>
      </w:r>
      <w:r>
        <w:rPr>
          <w:rFonts w:hint="eastAsia" w:ascii="仿宋_GB2312" w:eastAsia="仿宋_GB2312"/>
          <w:sz w:val="30"/>
          <w:szCs w:val="30"/>
          <w:highlight w:val="none"/>
          <w:lang w:val="en-US" w:eastAsia="zh-CN"/>
        </w:rPr>
        <w:t>11896.00</w:t>
      </w:r>
      <w:r>
        <w:rPr>
          <w:rFonts w:hint="eastAsia" w:ascii="仿宋_GB2312" w:hAnsi="宋体" w:eastAsia="仿宋_GB2312" w:cs="Arial"/>
          <w:kern w:val="0"/>
          <w:sz w:val="30"/>
          <w:szCs w:val="30"/>
          <w:highlight w:val="none"/>
          <w:lang w:val="en-US" w:eastAsia="zh-CN"/>
        </w:rPr>
        <w:t>元，增长100%</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公务接待费</w:t>
      </w:r>
      <w:r>
        <w:rPr>
          <w:rFonts w:hint="eastAsia" w:ascii="仿宋_GB2312" w:hAnsi="宋体" w:eastAsia="仿宋_GB2312" w:cs="Arial"/>
          <w:kern w:val="0"/>
          <w:sz w:val="30"/>
          <w:szCs w:val="30"/>
          <w:highlight w:val="none"/>
          <w:lang w:eastAsia="zh-CN"/>
        </w:rPr>
        <w:t>支出决算较上年增加</w:t>
      </w:r>
      <w:r>
        <w:rPr>
          <w:rFonts w:hint="eastAsia" w:ascii="仿宋_GB2312" w:hAnsi="宋体" w:eastAsia="仿宋_GB2312" w:cs="Arial"/>
          <w:kern w:val="0"/>
          <w:sz w:val="30"/>
          <w:szCs w:val="30"/>
          <w:highlight w:val="none"/>
          <w:lang w:val="en-US" w:eastAsia="zh-CN"/>
        </w:rPr>
        <w:t>0元，</w:t>
      </w:r>
      <w:r>
        <w:rPr>
          <w:rFonts w:hint="eastAsia" w:ascii="仿宋_GB2312" w:eastAsia="仿宋_GB2312"/>
          <w:color w:val="auto"/>
          <w:sz w:val="30"/>
          <w:szCs w:val="30"/>
          <w:highlight w:val="none"/>
          <w:lang w:eastAsia="zh-CN"/>
        </w:rPr>
        <w:t>上年无此项支出</w:t>
      </w:r>
      <w:r>
        <w:rPr>
          <w:rFonts w:hint="eastAsia" w:ascii="仿宋_GB2312" w:hAnsi="宋体" w:eastAsia="仿宋_GB2312" w:cs="Arial"/>
          <w:color w:val="auto"/>
          <w:kern w:val="0"/>
          <w:sz w:val="30"/>
          <w:szCs w:val="30"/>
          <w:highlight w:val="none"/>
          <w:lang w:eastAsia="zh-CN"/>
        </w:rPr>
        <w:t>。</w:t>
      </w:r>
    </w:p>
    <w:p w14:paraId="1D09938A">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14:paraId="092CDEF0">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年度一般公共预算财政拨款“三公”经费支出</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预算为</w:t>
      </w:r>
      <w:r>
        <w:rPr>
          <w:rFonts w:hint="eastAsia" w:ascii="仿宋_GB2312" w:hAnsi="仿宋_GB2312" w:eastAsia="仿宋_GB2312" w:cs="仿宋_GB2312"/>
          <w:sz w:val="30"/>
          <w:szCs w:val="30"/>
          <w:highlight w:val="none"/>
          <w:lang w:val="en-US" w:eastAsia="zh-CN"/>
        </w:rPr>
        <w:t>12000.00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，支出决算为</w:t>
      </w:r>
      <w:r>
        <w:rPr>
          <w:rFonts w:hint="eastAsia" w:ascii="仿宋_GB2312" w:eastAsia="仿宋_GB2312"/>
          <w:sz w:val="30"/>
          <w:szCs w:val="30"/>
          <w:highlight w:val="none"/>
          <w:lang w:val="en-US" w:eastAsia="zh-CN"/>
        </w:rPr>
        <w:t>11896.00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sz w:val="30"/>
          <w:szCs w:val="30"/>
          <w:highlight w:val="none"/>
          <w:lang w:val="en-US" w:eastAsia="zh-CN"/>
        </w:rPr>
        <w:t>99.13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hAnsi="宋体" w:eastAsia="仿宋_GB2312" w:cs="Arial"/>
          <w:kern w:val="0"/>
          <w:sz w:val="30"/>
          <w:szCs w:val="30"/>
          <w:highlight w:val="none"/>
          <w:lang w:eastAsia="zh-CN"/>
        </w:rPr>
        <w:t>支出决算较上年增加</w:t>
      </w:r>
      <w:r>
        <w:rPr>
          <w:rFonts w:hint="eastAsia" w:ascii="仿宋_GB2312" w:hAnsi="宋体" w:eastAsia="仿宋_GB2312" w:cs="Arial"/>
          <w:kern w:val="0"/>
          <w:sz w:val="30"/>
          <w:szCs w:val="30"/>
          <w:highlight w:val="none"/>
          <w:lang w:val="en-US" w:eastAsia="zh-CN"/>
        </w:rPr>
        <w:t>11896.00元，增长100%</w:t>
      </w:r>
      <w:r>
        <w:rPr>
          <w:rFonts w:hint="eastAsia" w:ascii="仿宋_GB2312" w:hAnsi="宋体" w:eastAsia="仿宋_GB2312" w:cs="Arial"/>
          <w:kern w:val="0"/>
          <w:sz w:val="30"/>
          <w:szCs w:val="30"/>
          <w:highlight w:val="none"/>
          <w:lang w:eastAsia="zh-CN"/>
        </w:rPr>
        <w:t>。</w:t>
      </w:r>
    </w:p>
    <w:p w14:paraId="24F56739">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中：因公出国（境）费用</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；公务用车购置费支出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sz w:val="30"/>
          <w:szCs w:val="30"/>
          <w:highlight w:val="none"/>
          <w:lang w:val="en-US" w:eastAsia="zh-CN"/>
        </w:rPr>
        <w:t>12000.00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eastAsia="仿宋_GB2312"/>
          <w:sz w:val="30"/>
          <w:szCs w:val="30"/>
          <w:highlight w:val="none"/>
          <w:lang w:val="en-US" w:eastAsia="zh-CN"/>
        </w:rPr>
        <w:t>11896.00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sz w:val="30"/>
          <w:szCs w:val="30"/>
          <w:highlight w:val="none"/>
          <w:lang w:val="en-US" w:eastAsia="zh-CN"/>
        </w:rPr>
        <w:t>99.13</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年度一般公共预算财政拨款“三公”经费支出决算数小于</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预算数的主要原因</w:t>
      </w:r>
      <w:r>
        <w:rPr>
          <w:rFonts w:hint="eastAsia" w:ascii="仿宋_GB2312" w:eastAsia="仿宋_GB2312"/>
          <w:sz w:val="30"/>
          <w:szCs w:val="30"/>
          <w:highlight w:val="none"/>
          <w:lang w:eastAsia="zh-CN"/>
        </w:rPr>
        <w:t>是</w:t>
      </w:r>
      <w:r>
        <w:rPr>
          <w:rFonts w:hint="eastAsia" w:ascii="仿宋_GB2312" w:eastAsia="仿宋_GB2312"/>
          <w:color w:val="auto"/>
          <w:sz w:val="30"/>
          <w:szCs w:val="30"/>
          <w:highlight w:val="none"/>
          <w:lang w:val="en-US" w:eastAsia="zh-CN"/>
        </w:rPr>
        <w:t>年末公务用车维修费未结清324元，预算金额仅余104元，不足以支付欠款</w:t>
      </w:r>
      <w:r>
        <w:rPr>
          <w:rFonts w:hint="eastAsia" w:ascii="仿宋_GB2312" w:eastAsia="仿宋_GB2312"/>
          <w:color w:val="auto"/>
          <w:sz w:val="30"/>
          <w:szCs w:val="30"/>
          <w:highlight w:val="none"/>
        </w:rPr>
        <w:t>。</w:t>
      </w:r>
    </w:p>
    <w:p w14:paraId="7DDAF5B3">
      <w:pPr>
        <w:keepNext w:val="0"/>
        <w:keepLines w:val="0"/>
        <w:pageBreakBefore w:val="0"/>
        <w:widowControl/>
        <w:numPr>
          <w:ilvl w:val="0"/>
          <w:numId w:val="0"/>
        </w:numPr>
        <w:kinsoku/>
        <w:wordWrap/>
        <w:overflowPunct/>
        <w:topLinePunct w:val="0"/>
        <w:autoSpaceDE/>
        <w:autoSpaceDN/>
        <w:bidi w:val="0"/>
        <w:adjustRightInd/>
        <w:snapToGrid w:val="0"/>
        <w:spacing w:before="100" w:line="560" w:lineRule="exact"/>
        <w:ind w:firstLine="600" w:firstLineChars="200"/>
        <w:jc w:val="left"/>
        <w:textAlignment w:val="auto"/>
        <w:rPr>
          <w:rFonts w:hint="eastAsia" w:ascii="仿宋_GB2312" w:eastAsia="仿宋_GB2312"/>
          <w:color w:val="auto"/>
          <w:sz w:val="30"/>
          <w:szCs w:val="30"/>
          <w:highlight w:val="none"/>
          <w:lang w:val="en-US"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中：因公出国（境）费用</w:t>
      </w:r>
      <w:r>
        <w:rPr>
          <w:rFonts w:hint="eastAsia" w:ascii="仿宋_GB2312" w:eastAsia="仿宋_GB2312"/>
          <w:sz w:val="30"/>
          <w:szCs w:val="30"/>
          <w:highlight w:val="none"/>
        </w:rPr>
        <w:t>支出决算增加</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上年无此项支出</w:t>
      </w:r>
      <w:r>
        <w:rPr>
          <w:rFonts w:hint="eastAsia" w:ascii="仿宋_GB2312" w:eastAsia="仿宋_GB2312"/>
          <w:color w:val="auto"/>
          <w:sz w:val="30"/>
          <w:szCs w:val="30"/>
          <w:highlight w:val="none"/>
        </w:rPr>
        <w:t>；公务用车购置费支出决算增加</w:t>
      </w:r>
      <w:r>
        <w:rPr>
          <w:rFonts w:hint="eastAsia" w:ascii="仿宋_GB2312" w:eastAsia="仿宋_GB2312"/>
          <w:color w:val="auto"/>
          <w:sz w:val="30"/>
          <w:szCs w:val="30"/>
          <w:highlight w:val="none"/>
          <w:lang w:val="en-US" w:eastAsia="zh-CN"/>
        </w:rPr>
        <w:t>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上年无此项支出</w:t>
      </w:r>
      <w:r>
        <w:rPr>
          <w:rFonts w:hint="eastAsia" w:ascii="仿宋_GB2312" w:eastAsia="仿宋_GB2312"/>
          <w:color w:val="auto"/>
          <w:sz w:val="30"/>
          <w:szCs w:val="30"/>
          <w:highlight w:val="none"/>
        </w:rPr>
        <w:t>；</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支出决算增加</w:t>
      </w:r>
      <w:r>
        <w:rPr>
          <w:rFonts w:hint="eastAsia" w:ascii="仿宋_GB2312" w:eastAsia="仿宋_GB2312"/>
          <w:sz w:val="30"/>
          <w:szCs w:val="30"/>
          <w:highlight w:val="none"/>
          <w:lang w:val="en-US" w:eastAsia="zh-CN"/>
        </w:rPr>
        <w:t>11896.00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，增长</w:t>
      </w:r>
      <w:r>
        <w:rPr>
          <w:rFonts w:hint="eastAsia" w:ascii="仿宋_GB2312" w:eastAsia="仿宋_GB2312"/>
          <w:sz w:val="30"/>
          <w:szCs w:val="30"/>
          <w:highlight w:val="none"/>
          <w:lang w:val="en-US" w:eastAsia="zh-CN"/>
        </w:rPr>
        <w:t>100</w:t>
      </w:r>
      <w:r>
        <w:rPr>
          <w:rFonts w:hint="eastAsia" w:ascii="仿宋_GB2312" w:eastAsia="仿宋_GB2312"/>
          <w:sz w:val="30"/>
          <w:szCs w:val="30"/>
          <w:highlight w:val="none"/>
        </w:rPr>
        <w:t>%；公务接待费支出决算增加</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上年无此项支出</w:t>
      </w:r>
      <w:r>
        <w:rPr>
          <w:rFonts w:hint="eastAsia" w:ascii="仿宋_GB2312" w:eastAsia="仿宋_GB2312"/>
          <w:color w:val="auto"/>
          <w:sz w:val="30"/>
          <w:szCs w:val="30"/>
          <w:highlight w:val="none"/>
          <w:lang w:val="en-US" w:eastAsia="zh-CN"/>
        </w:rPr>
        <w:t>；</w:t>
      </w:r>
      <w:r>
        <w:rPr>
          <w:rFonts w:hint="eastAsia" w:ascii="仿宋_GB2312" w:hAnsi="宋体" w:eastAsia="仿宋_GB2312" w:cs="Arial"/>
          <w:kern w:val="0"/>
          <w:sz w:val="30"/>
          <w:szCs w:val="30"/>
          <w:highlight w:val="none"/>
          <w:lang w:eastAsia="zh-CN"/>
        </w:rPr>
        <w:t>国（境）外接待费支出决算</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lang w:eastAsia="zh-CN"/>
        </w:rPr>
        <w:t>元，</w:t>
      </w:r>
      <w:r>
        <w:rPr>
          <w:rFonts w:hint="eastAsia" w:ascii="仿宋_GB2312" w:eastAsia="仿宋_GB2312"/>
          <w:color w:val="auto"/>
          <w:sz w:val="30"/>
          <w:szCs w:val="30"/>
          <w:highlight w:val="none"/>
          <w:lang w:eastAsia="zh-CN"/>
        </w:rPr>
        <w:t>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年度一般公共预算财政拨款“三公”经费支出决算增加的主要原因</w:t>
      </w:r>
      <w:r>
        <w:rPr>
          <w:rFonts w:hint="eastAsia" w:ascii="仿宋_GB2312" w:eastAsia="仿宋_GB2312"/>
          <w:sz w:val="30"/>
          <w:szCs w:val="30"/>
          <w:highlight w:val="none"/>
          <w:lang w:eastAsia="zh-CN"/>
        </w:rPr>
        <w:t>是</w:t>
      </w:r>
      <w:r>
        <w:rPr>
          <w:rFonts w:hint="eastAsia" w:ascii="仿宋_GB2312" w:eastAsia="仿宋_GB2312"/>
          <w:color w:val="auto"/>
          <w:sz w:val="30"/>
          <w:szCs w:val="30"/>
          <w:highlight w:val="none"/>
          <w:lang w:val="en-US" w:eastAsia="zh-CN"/>
        </w:rPr>
        <w:t>2024年度我单位公务用车运行费全部由非财政性资金支出，未纳入年末统计口径。</w:t>
      </w:r>
    </w:p>
    <w:p w14:paraId="0F3BE6CC">
      <w:pPr>
        <w:keepNext w:val="0"/>
        <w:keepLines w:val="0"/>
        <w:pageBreakBefore w:val="0"/>
        <w:widowControl/>
        <w:numPr>
          <w:ilvl w:val="0"/>
          <w:numId w:val="0"/>
        </w:numPr>
        <w:kinsoku/>
        <w:wordWrap/>
        <w:overflowPunct/>
        <w:topLinePunct w:val="0"/>
        <w:autoSpaceDE/>
        <w:autoSpaceDN/>
        <w:bidi w:val="0"/>
        <w:adjustRightInd/>
        <w:snapToGrid w:val="0"/>
        <w:spacing w:before="100" w:line="56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color w:val="auto"/>
          <w:sz w:val="30"/>
          <w:szCs w:val="30"/>
          <w:highlight w:val="none"/>
          <w:lang w:val="en-US" w:eastAsia="zh-CN"/>
        </w:rPr>
        <w:t>一</w:t>
      </w:r>
      <w:r>
        <w:rPr>
          <w:rFonts w:hint="eastAsia" w:ascii="仿宋_GB2312" w:eastAsia="仿宋_GB2312"/>
          <w:sz w:val="30"/>
          <w:szCs w:val="30"/>
          <w:highlight w:val="none"/>
        </w:rPr>
        <w:t>般公共预算财政拨款“三公”经费</w:t>
      </w:r>
      <w:r>
        <w:rPr>
          <w:rFonts w:hint="eastAsia" w:ascii="仿宋_GB2312" w:eastAsia="仿宋_GB2312"/>
          <w:sz w:val="30"/>
          <w:szCs w:val="30"/>
          <w:highlight w:val="none"/>
          <w:lang w:eastAsia="zh-CN"/>
        </w:rPr>
        <w:t>实物量的</w:t>
      </w:r>
      <w:r>
        <w:rPr>
          <w:rFonts w:hint="eastAsia" w:ascii="仿宋_GB2312" w:eastAsia="仿宋_GB2312"/>
          <w:sz w:val="30"/>
          <w:szCs w:val="30"/>
          <w:highlight w:val="none"/>
        </w:rPr>
        <w:t>具体情况</w:t>
      </w:r>
      <w:r>
        <w:rPr>
          <w:rFonts w:hint="eastAsia" w:ascii="仿宋_GB2312" w:eastAsia="仿宋_GB2312"/>
          <w:sz w:val="30"/>
          <w:szCs w:val="30"/>
          <w:highlight w:val="none"/>
          <w:lang w:eastAsia="zh-CN"/>
        </w:rPr>
        <w:t>：</w:t>
      </w:r>
    </w:p>
    <w:p w14:paraId="1624D64D">
      <w:pPr>
        <w:keepNext w:val="0"/>
        <w:keepLines w:val="0"/>
        <w:pageBreakBefore w:val="0"/>
        <w:widowControl/>
        <w:kinsoku/>
        <w:wordWrap/>
        <w:overflowPunct/>
        <w:topLinePunct w:val="0"/>
        <w:autoSpaceDE/>
        <w:autoSpaceDN/>
        <w:bidi w:val="0"/>
        <w:adjustRightInd/>
        <w:snapToGrid w:val="0"/>
        <w:spacing w:line="560" w:lineRule="exact"/>
        <w:ind w:firstLine="600" w:firstLineChars="200"/>
        <w:jc w:val="left"/>
        <w:textAlignment w:val="auto"/>
        <w:rPr>
          <w:rFonts w:hint="eastAsia" w:ascii="仿宋_GB2312" w:eastAsia="仿宋_GB2312"/>
          <w:b w:val="0"/>
          <w:bCs/>
          <w:sz w:val="30"/>
          <w:szCs w:val="30"/>
          <w:highlight w:val="none"/>
        </w:rPr>
      </w:pPr>
      <w:r>
        <w:rPr>
          <w:rFonts w:hint="eastAsia" w:ascii="仿宋_GB2312" w:eastAsia="仿宋_GB2312"/>
          <w:b w:val="0"/>
          <w:bCs/>
          <w:sz w:val="30"/>
          <w:szCs w:val="30"/>
          <w:highlight w:val="none"/>
        </w:rPr>
        <w:t>1.安排因公出国（境）团组</w:t>
      </w:r>
      <w:r>
        <w:rPr>
          <w:rFonts w:hint="eastAsia" w:ascii="仿宋_GB2312" w:hAnsi="仿宋_GB2312" w:eastAsia="仿宋_GB2312" w:cs="仿宋_GB2312"/>
          <w:sz w:val="30"/>
          <w:szCs w:val="30"/>
          <w:highlight w:val="none"/>
          <w:lang w:val="en-US" w:eastAsia="zh-CN"/>
        </w:rPr>
        <w:t>0</w:t>
      </w:r>
      <w:r>
        <w:rPr>
          <w:rFonts w:hint="eastAsia" w:ascii="仿宋_GB2312" w:eastAsia="仿宋_GB2312"/>
          <w:b w:val="0"/>
          <w:bCs/>
          <w:sz w:val="30"/>
          <w:szCs w:val="30"/>
          <w:highlight w:val="none"/>
        </w:rPr>
        <w:t>个，累计</w:t>
      </w:r>
      <w:r>
        <w:rPr>
          <w:rFonts w:hint="eastAsia" w:ascii="仿宋_GB2312" w:eastAsia="仿宋_GB2312"/>
          <w:sz w:val="30"/>
          <w:szCs w:val="30"/>
          <w:highlight w:val="none"/>
        </w:rPr>
        <w:t>支出</w:t>
      </w:r>
      <w:r>
        <w:rPr>
          <w:rFonts w:hint="eastAsia" w:ascii="仿宋_GB2312" w:hAnsi="仿宋_GB2312" w:eastAsia="仿宋_GB2312" w:cs="仿宋_GB2312"/>
          <w:sz w:val="30"/>
          <w:szCs w:val="30"/>
          <w:highlight w:val="none"/>
          <w:lang w:val="en-US" w:eastAsia="zh-CN"/>
        </w:rPr>
        <w:t>0</w:t>
      </w:r>
      <w:r>
        <w:rPr>
          <w:rFonts w:hint="eastAsia" w:ascii="仿宋_GB2312" w:eastAsia="仿宋_GB2312"/>
          <w:b w:val="0"/>
          <w:bCs/>
          <w:sz w:val="30"/>
          <w:szCs w:val="30"/>
          <w:highlight w:val="none"/>
        </w:rPr>
        <w:t>人次。</w:t>
      </w:r>
    </w:p>
    <w:p w14:paraId="61D0B311">
      <w:pPr>
        <w:keepNext w:val="0"/>
        <w:keepLines w:val="0"/>
        <w:pageBreakBefore w:val="0"/>
        <w:widowControl/>
        <w:kinsoku/>
        <w:wordWrap/>
        <w:overflowPunct/>
        <w:topLinePunct w:val="0"/>
        <w:autoSpaceDE/>
        <w:autoSpaceDN/>
        <w:bidi w:val="0"/>
        <w:adjustRightInd/>
        <w:snapToGrid w:val="0"/>
        <w:spacing w:after="100" w:line="560" w:lineRule="atLeast"/>
        <w:ind w:firstLine="600" w:firstLineChars="200"/>
        <w:jc w:val="left"/>
        <w:textAlignment w:val="auto"/>
        <w:rPr>
          <w:rFonts w:hint="eastAsia" w:ascii="仿宋_GB2312" w:hAnsi="Times New Roman" w:eastAsia="仿宋_GB2312" w:cs="Times New Roman"/>
          <w:b w:val="0"/>
          <w:bCs/>
          <w:sz w:val="30"/>
          <w:szCs w:val="30"/>
          <w:highlight w:val="none"/>
        </w:rPr>
      </w:pPr>
      <w:r>
        <w:rPr>
          <w:rFonts w:hint="eastAsia" w:ascii="仿宋_GB2312" w:hAnsi="Times New Roman" w:eastAsia="仿宋_GB2312" w:cs="Times New Roman"/>
          <w:b w:val="0"/>
          <w:bCs/>
          <w:sz w:val="30"/>
          <w:szCs w:val="30"/>
          <w:highlight w:val="none"/>
        </w:rPr>
        <w:t>2.购置车辆</w:t>
      </w:r>
      <w:r>
        <w:rPr>
          <w:rFonts w:hint="eastAsia" w:ascii="仿宋_GB2312" w:hAnsi="Times New Roman" w:eastAsia="仿宋_GB2312" w:cs="Times New Roman"/>
          <w:b w:val="0"/>
          <w:bCs/>
          <w:sz w:val="30"/>
          <w:szCs w:val="30"/>
          <w:highlight w:val="none"/>
          <w:lang w:val="en-US" w:eastAsia="zh-CN"/>
        </w:rPr>
        <w:t>0</w:t>
      </w:r>
      <w:r>
        <w:rPr>
          <w:rFonts w:hint="eastAsia" w:ascii="仿宋_GB2312" w:hAnsi="Times New Roman" w:eastAsia="仿宋_GB2312" w:cs="Times New Roman"/>
          <w:b w:val="0"/>
          <w:bCs/>
          <w:sz w:val="30"/>
          <w:szCs w:val="30"/>
          <w:highlight w:val="none"/>
        </w:rPr>
        <w:t>辆。开支一般公共预算财政拨款的公务用车保有量为</w:t>
      </w:r>
      <w:r>
        <w:rPr>
          <w:rFonts w:hint="eastAsia" w:ascii="仿宋_GB2312" w:hAnsi="Times New Roman" w:eastAsia="仿宋_GB2312" w:cs="Times New Roman"/>
          <w:b w:val="0"/>
          <w:bCs/>
          <w:sz w:val="30"/>
          <w:szCs w:val="30"/>
          <w:highlight w:val="none"/>
          <w:lang w:val="en-US" w:eastAsia="zh-CN"/>
        </w:rPr>
        <w:t>1</w:t>
      </w:r>
      <w:r>
        <w:rPr>
          <w:rFonts w:hint="eastAsia" w:ascii="仿宋_GB2312" w:hAnsi="Times New Roman" w:eastAsia="仿宋_GB2312" w:cs="Times New Roman"/>
          <w:b w:val="0"/>
          <w:bCs/>
          <w:sz w:val="30"/>
          <w:szCs w:val="30"/>
          <w:highlight w:val="none"/>
        </w:rPr>
        <w:t>辆。主要用于</w:t>
      </w:r>
      <w:r>
        <w:rPr>
          <w:rFonts w:hint="eastAsia" w:ascii="仿宋_GB2312" w:hAnsi="Times New Roman" w:eastAsia="仿宋_GB2312" w:cs="Times New Roman"/>
          <w:b w:val="0"/>
          <w:bCs/>
          <w:sz w:val="30"/>
          <w:szCs w:val="30"/>
          <w:highlight w:val="none"/>
          <w:lang w:val="en-US" w:eastAsia="zh-CN"/>
        </w:rPr>
        <w:t>教科研</w:t>
      </w:r>
      <w:r>
        <w:rPr>
          <w:rFonts w:hint="eastAsia" w:ascii="仿宋_GB2312" w:hAnsi="Times New Roman" w:eastAsia="仿宋_GB2312" w:cs="Times New Roman"/>
          <w:b w:val="0"/>
          <w:bCs/>
          <w:sz w:val="30"/>
          <w:szCs w:val="30"/>
          <w:highlight w:val="none"/>
        </w:rPr>
        <w:t>中心研训人员</w:t>
      </w:r>
      <w:r>
        <w:rPr>
          <w:rFonts w:hint="eastAsia" w:ascii="仿宋_GB2312" w:hAnsi="Times New Roman" w:eastAsia="仿宋_GB2312" w:cs="Times New Roman"/>
          <w:b w:val="0"/>
          <w:bCs/>
          <w:sz w:val="30"/>
          <w:szCs w:val="30"/>
          <w:highlight w:val="none"/>
          <w:lang w:val="en-US" w:eastAsia="zh-CN"/>
        </w:rPr>
        <w:t>及学生资助管理中心教师</w:t>
      </w:r>
      <w:r>
        <w:rPr>
          <w:rFonts w:hint="eastAsia" w:ascii="仿宋_GB2312" w:hAnsi="Times New Roman" w:eastAsia="仿宋_GB2312" w:cs="Times New Roman"/>
          <w:b w:val="0"/>
          <w:bCs/>
          <w:sz w:val="30"/>
          <w:szCs w:val="30"/>
          <w:highlight w:val="none"/>
        </w:rPr>
        <w:t>到全县各中小学校（园）开展教学调研指导活动</w:t>
      </w:r>
      <w:r>
        <w:rPr>
          <w:rFonts w:hint="eastAsia" w:ascii="仿宋_GB2312" w:hAnsi="Times New Roman" w:eastAsia="仿宋_GB2312" w:cs="Times New Roman"/>
          <w:b w:val="0"/>
          <w:bCs/>
          <w:sz w:val="30"/>
          <w:szCs w:val="30"/>
          <w:highlight w:val="none"/>
          <w:lang w:val="en-US" w:eastAsia="zh-CN"/>
        </w:rPr>
        <w:t>及学生资助工作</w:t>
      </w:r>
      <w:r>
        <w:rPr>
          <w:rFonts w:hint="eastAsia" w:ascii="仿宋_GB2312" w:hAnsi="Times New Roman" w:eastAsia="仿宋_GB2312" w:cs="Times New Roman"/>
          <w:b w:val="0"/>
          <w:bCs/>
          <w:sz w:val="30"/>
          <w:szCs w:val="30"/>
          <w:highlight w:val="none"/>
        </w:rPr>
        <w:t>所需车辆燃料费、维修费、过路过桥费、保险费等。</w:t>
      </w:r>
    </w:p>
    <w:p w14:paraId="5142C518">
      <w:pPr>
        <w:keepNext w:val="0"/>
        <w:keepLines w:val="0"/>
        <w:pageBreakBefore w:val="0"/>
        <w:widowControl/>
        <w:kinsoku/>
        <w:wordWrap/>
        <w:overflowPunct/>
        <w:topLinePunct w:val="0"/>
        <w:autoSpaceDE/>
        <w:autoSpaceDN/>
        <w:bidi w:val="0"/>
        <w:adjustRightInd/>
        <w:snapToGrid w:val="0"/>
        <w:spacing w:after="100" w:line="560" w:lineRule="atLeast"/>
        <w:ind w:firstLine="600" w:firstLineChars="200"/>
        <w:jc w:val="left"/>
        <w:textAlignment w:val="auto"/>
        <w:rPr>
          <w:rFonts w:hint="eastAsia" w:ascii="仿宋_GB2312" w:eastAsia="仿宋_GB2312"/>
          <w:sz w:val="30"/>
          <w:szCs w:val="30"/>
          <w:highlight w:val="none"/>
        </w:rPr>
      </w:pPr>
      <w:r>
        <w:rPr>
          <w:rFonts w:hint="eastAsia" w:ascii="仿宋_GB2312" w:hAnsi="Times New Roman" w:eastAsia="仿宋_GB2312" w:cs="Times New Roman"/>
          <w:b w:val="0"/>
          <w:bCs/>
          <w:sz w:val="30"/>
          <w:szCs w:val="30"/>
          <w:highlight w:val="none"/>
        </w:rPr>
        <w:t>3.安排国内公务接待</w:t>
      </w:r>
      <w:r>
        <w:rPr>
          <w:rFonts w:hint="eastAsia" w:ascii="仿宋_GB2312" w:hAnsi="Times New Roman" w:eastAsia="仿宋_GB2312" w:cs="Times New Roman"/>
          <w:b w:val="0"/>
          <w:bCs/>
          <w:sz w:val="30"/>
          <w:szCs w:val="30"/>
          <w:highlight w:val="none"/>
          <w:lang w:val="en-US" w:eastAsia="zh-CN"/>
        </w:rPr>
        <w:t>0</w:t>
      </w:r>
      <w:r>
        <w:rPr>
          <w:rFonts w:hint="eastAsia" w:ascii="仿宋_GB2312" w:hAnsi="Times New Roman" w:eastAsia="仿宋_GB2312" w:cs="Times New Roman"/>
          <w:b w:val="0"/>
          <w:bCs/>
          <w:sz w:val="30"/>
          <w:szCs w:val="30"/>
          <w:highlight w:val="none"/>
        </w:rPr>
        <w:t>批次（其中：外事接待</w:t>
      </w:r>
      <w:r>
        <w:rPr>
          <w:rFonts w:hint="eastAsia" w:ascii="仿宋_GB2312" w:hAnsi="Times New Roman" w:eastAsia="仿宋_GB2312" w:cs="Times New Roman"/>
          <w:b w:val="0"/>
          <w:bCs/>
          <w:sz w:val="30"/>
          <w:szCs w:val="30"/>
          <w:highlight w:val="none"/>
          <w:lang w:val="en-US" w:eastAsia="zh-CN"/>
        </w:rPr>
        <w:t>0</w:t>
      </w:r>
      <w:r>
        <w:rPr>
          <w:rFonts w:hint="eastAsia" w:ascii="仿宋_GB2312" w:hAnsi="Times New Roman" w:eastAsia="仿宋_GB2312" w:cs="Times New Roman"/>
          <w:b w:val="0"/>
          <w:bCs/>
          <w:sz w:val="30"/>
          <w:szCs w:val="30"/>
          <w:highlight w:val="none"/>
        </w:rPr>
        <w:t>批次），接待</w:t>
      </w:r>
      <w:r>
        <w:rPr>
          <w:rFonts w:hint="eastAsia" w:ascii="仿宋_GB2312" w:eastAsia="仿宋_GB2312"/>
          <w:sz w:val="30"/>
          <w:szCs w:val="30"/>
          <w:highlight w:val="none"/>
        </w:rPr>
        <w:t>人次</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人（其中：外事接待人次</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人）。安排国（境）外公务接待</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批次，接待人次</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人。</w:t>
      </w:r>
    </w:p>
    <w:p w14:paraId="06AF0565">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3EB53F95">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hAnsi="仿宋_GB2312" w:eastAsia="仿宋_GB2312" w:cs="仿宋_GB2312"/>
          <w:color w:val="auto"/>
          <w:sz w:val="30"/>
          <w:lang w:val="zh-CN"/>
        </w:rPr>
        <w:t>富民县教育科学研究信息中心</w:t>
      </w:r>
      <w:r>
        <w:rPr>
          <w:rFonts w:hint="eastAsia" w:ascii="仿宋_GB2312" w:hAnsi="黑体" w:eastAsia="仿宋_GB2312" w:cs="方正小标宋简体"/>
          <w:sz w:val="30"/>
          <w:szCs w:val="30"/>
          <w:highlight w:val="none"/>
          <w:lang w:val="en-US" w:eastAsia="zh-CN"/>
        </w:rPr>
        <w:t>2025</w:t>
      </w:r>
      <w:r>
        <w:rPr>
          <w:rFonts w:hint="eastAsia" w:ascii="仿宋_GB2312" w:hAnsi="黑体" w:eastAsia="仿宋_GB2312" w:cs="方正小标宋简体"/>
          <w:sz w:val="30"/>
          <w:szCs w:val="30"/>
          <w:highlight w:val="none"/>
        </w:rPr>
        <w:t>年</w:t>
      </w:r>
      <w:r>
        <w:rPr>
          <w:rFonts w:hint="eastAsia" w:ascii="仿宋_GB2312" w:eastAsia="仿宋_GB2312"/>
          <w:sz w:val="30"/>
          <w:szCs w:val="30"/>
          <w:highlight w:val="none"/>
          <w:lang w:eastAsia="zh-CN"/>
        </w:rPr>
        <w:t>不存在需要说明的事项。</w:t>
      </w:r>
    </w:p>
    <w:p w14:paraId="53E72E4C">
      <w:pPr>
        <w:widowControl/>
        <w:snapToGrid w:val="0"/>
        <w:spacing w:before="100" w:after="100" w:line="360" w:lineRule="auto"/>
        <w:ind w:firstLine="640" w:firstLineChars="200"/>
        <w:jc w:val="left"/>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69EABB03">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475E7B2E">
      <w:pPr>
        <w:ind w:firstLine="600" w:firstLineChars="200"/>
        <w:jc w:val="left"/>
        <w:rPr>
          <w:rFonts w:hint="eastAsia" w:ascii="仿宋_GB2312" w:hAnsi="黑体" w:eastAsia="仿宋_GB2312" w:cs="方正小标宋简体"/>
          <w:sz w:val="30"/>
          <w:szCs w:val="30"/>
          <w:highlight w:val="none"/>
        </w:rPr>
      </w:pPr>
      <w:r>
        <w:rPr>
          <w:rFonts w:hint="eastAsia" w:ascii="仿宋_GB2312" w:hAnsi="仿宋_GB2312" w:eastAsia="仿宋_GB2312" w:cs="仿宋_GB2312"/>
          <w:color w:val="auto"/>
          <w:sz w:val="30"/>
          <w:lang w:val="zh-CN"/>
        </w:rPr>
        <w:t>富民县教育科学研究信息中心</w:t>
      </w:r>
      <w:r>
        <w:rPr>
          <w:rFonts w:hint="eastAsia" w:ascii="仿宋_GB2312" w:hAnsi="黑体" w:eastAsia="仿宋_GB2312" w:cs="方正小标宋简体"/>
          <w:sz w:val="30"/>
          <w:szCs w:val="30"/>
          <w:highlight w:val="none"/>
          <w:lang w:val="en-US" w:eastAsia="zh-CN"/>
        </w:rPr>
        <w:t>2025</w:t>
      </w:r>
      <w:r>
        <w:rPr>
          <w:rFonts w:hint="eastAsia" w:ascii="仿宋_GB2312" w:hAnsi="黑体" w:eastAsia="仿宋_GB2312" w:cs="方正小标宋简体"/>
          <w:sz w:val="30"/>
          <w:szCs w:val="30"/>
          <w:highlight w:val="none"/>
        </w:rPr>
        <w:t>年机关运行经费支出</w:t>
      </w:r>
      <w:r>
        <w:rPr>
          <w:rFonts w:hint="eastAsia" w:ascii="仿宋_GB2312" w:hAnsi="仿宋_GB2312" w:eastAsia="仿宋_GB2312" w:cs="仿宋_GB2312"/>
          <w:sz w:val="30"/>
          <w:szCs w:val="30"/>
          <w:highlight w:val="none"/>
          <w:lang w:val="en-US" w:eastAsia="zh-CN"/>
        </w:rPr>
        <w:t>0</w:t>
      </w:r>
      <w:r>
        <w:rPr>
          <w:rFonts w:hint="eastAsia" w:ascii="仿宋_GB2312" w:hAnsi="黑体" w:eastAsia="仿宋_GB2312" w:cs="方正小标宋简体"/>
          <w:sz w:val="30"/>
          <w:szCs w:val="30"/>
          <w:highlight w:val="none"/>
          <w:lang w:eastAsia="zh-CN"/>
        </w:rPr>
        <w:t>元</w:t>
      </w:r>
      <w:r>
        <w:rPr>
          <w:rFonts w:hint="eastAsia" w:ascii="仿宋_GB2312" w:hAnsi="黑体" w:eastAsia="仿宋_GB2312" w:cs="方正小标宋简体"/>
          <w:sz w:val="30"/>
          <w:szCs w:val="30"/>
          <w:highlight w:val="none"/>
        </w:rPr>
        <w:t>，</w:t>
      </w:r>
      <w:r>
        <w:rPr>
          <w:rFonts w:hint="eastAsia" w:ascii="仿宋_GB2312" w:hAnsi="黑体" w:eastAsia="仿宋_GB2312" w:cs="方正小标宋简体"/>
          <w:sz w:val="30"/>
          <w:szCs w:val="30"/>
          <w:highlight w:val="none"/>
          <w:lang w:eastAsia="zh-CN"/>
        </w:rPr>
        <w:t>比上年</w:t>
      </w:r>
      <w:r>
        <w:rPr>
          <w:rFonts w:hint="eastAsia" w:ascii="仿宋_GB2312" w:eastAsia="仿宋_GB2312"/>
          <w:sz w:val="30"/>
          <w:szCs w:val="30"/>
          <w:highlight w:val="none"/>
        </w:rPr>
        <w:t>增加</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hAnsi="黑体" w:eastAsia="仿宋_GB2312" w:cs="方正小标宋简体"/>
          <w:sz w:val="30"/>
          <w:szCs w:val="30"/>
          <w:highlight w:val="none"/>
        </w:rPr>
        <w:t>,主要原因</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color w:val="auto"/>
          <w:sz w:val="30"/>
          <w:szCs w:val="30"/>
          <w:highlight w:val="none"/>
          <w:lang w:val="en-US" w:eastAsia="zh-CN"/>
        </w:rPr>
        <w:t>本单位是事业单位，故无机关运行经费</w:t>
      </w:r>
      <w:r>
        <w:rPr>
          <w:rFonts w:hint="eastAsia" w:ascii="仿宋_GB2312" w:hAnsi="黑体" w:eastAsia="仿宋_GB2312" w:cs="方正小标宋简体"/>
          <w:color w:val="auto"/>
          <w:sz w:val="30"/>
          <w:szCs w:val="30"/>
          <w:highlight w:val="none"/>
        </w:rPr>
        <w:t>。</w:t>
      </w:r>
    </w:p>
    <w:p w14:paraId="29B6A1B5">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14:paraId="3CFE314F">
      <w:pPr>
        <w:widowControl/>
        <w:ind w:firstLine="600" w:firstLineChars="200"/>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截至2025年末，</w:t>
      </w:r>
      <w:r>
        <w:rPr>
          <w:rFonts w:hint="eastAsia" w:ascii="仿宋_GB2312" w:hAnsi="仿宋_GB2312" w:eastAsia="仿宋_GB2312" w:cs="仿宋_GB2312"/>
          <w:color w:val="auto"/>
          <w:sz w:val="30"/>
          <w:lang w:val="zh-CN"/>
        </w:rPr>
        <w:t>富民县教育科学研究信息中心</w:t>
      </w:r>
      <w:r>
        <w:rPr>
          <w:rFonts w:hint="eastAsia" w:ascii="仿宋_GB2312" w:hAnsi="仿宋_GB2312" w:eastAsia="仿宋_GB2312" w:cs="仿宋_GB2312"/>
          <w:sz w:val="30"/>
          <w:szCs w:val="30"/>
          <w:highlight w:val="none"/>
          <w:lang w:eastAsia="zh-CN"/>
        </w:rPr>
        <w:t>资产总额</w:t>
      </w:r>
      <w:r>
        <w:rPr>
          <w:rFonts w:hint="eastAsia" w:ascii="仿宋_GB2312" w:hAnsi="仿宋_GB2312" w:eastAsia="仿宋_GB2312" w:cs="仿宋_GB2312"/>
          <w:sz w:val="30"/>
          <w:szCs w:val="30"/>
          <w:highlight w:val="none"/>
          <w:lang w:val="en-US" w:eastAsia="zh-CN"/>
        </w:rPr>
        <w:t>601054.98</w:t>
      </w:r>
      <w:r>
        <w:rPr>
          <w:rFonts w:hint="eastAsia" w:ascii="仿宋_GB2312" w:hAnsi="仿宋_GB2312" w:eastAsia="仿宋_GB2312" w:cs="仿宋_GB2312"/>
          <w:sz w:val="30"/>
          <w:szCs w:val="30"/>
          <w:highlight w:val="none"/>
          <w:lang w:eastAsia="zh-CN"/>
        </w:rPr>
        <w:t>元，其中，流动资产</w:t>
      </w:r>
      <w:r>
        <w:rPr>
          <w:rFonts w:hint="eastAsia" w:ascii="仿宋_GB2312" w:hAnsi="仿宋_GB2312" w:eastAsia="仿宋_GB2312" w:cs="仿宋_GB2312"/>
          <w:sz w:val="30"/>
          <w:szCs w:val="30"/>
          <w:highlight w:val="none"/>
          <w:lang w:val="en-US" w:eastAsia="zh-CN"/>
        </w:rPr>
        <w:t>183052.54</w:t>
      </w:r>
      <w:r>
        <w:rPr>
          <w:rFonts w:hint="eastAsia" w:ascii="仿宋_GB2312" w:hAnsi="仿宋_GB2312" w:eastAsia="仿宋_GB2312" w:cs="仿宋_GB2312"/>
          <w:sz w:val="30"/>
          <w:szCs w:val="30"/>
          <w:highlight w:val="none"/>
          <w:lang w:eastAsia="zh-CN"/>
        </w:rPr>
        <w:t>元，固定资产</w:t>
      </w:r>
      <w:r>
        <w:rPr>
          <w:rFonts w:hint="eastAsia" w:ascii="仿宋_GB2312" w:hAnsi="仿宋_GB2312" w:eastAsia="仿宋_GB2312" w:cs="仿宋_GB2312"/>
          <w:sz w:val="30"/>
          <w:szCs w:val="30"/>
          <w:highlight w:val="none"/>
          <w:lang w:val="en-US" w:eastAsia="zh-CN"/>
        </w:rPr>
        <w:t>418001.44</w:t>
      </w:r>
      <w:r>
        <w:rPr>
          <w:rFonts w:hint="eastAsia" w:ascii="仿宋_GB2312" w:hAnsi="仿宋_GB2312" w:eastAsia="仿宋_GB2312" w:cs="仿宋_GB2312"/>
          <w:sz w:val="30"/>
          <w:szCs w:val="30"/>
          <w:highlight w:val="none"/>
          <w:lang w:eastAsia="zh-CN"/>
        </w:rPr>
        <w:t>元（净值），对外投资及有价证券</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sz w:val="30"/>
          <w:szCs w:val="30"/>
          <w:highlight w:val="none"/>
          <w:lang w:eastAsia="zh-CN"/>
        </w:rPr>
        <w:t>元，在建工程</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sz w:val="30"/>
          <w:szCs w:val="30"/>
          <w:highlight w:val="none"/>
          <w:lang w:eastAsia="zh-CN"/>
        </w:rPr>
        <w:t>元，无形资产</w:t>
      </w:r>
      <w:r>
        <w:rPr>
          <w:rFonts w:hint="eastAsia" w:ascii="仿宋_GB2312" w:hAnsi="仿宋_GB2312" w:eastAsia="仿宋_GB2312" w:cs="仿宋_GB2312"/>
          <w:sz w:val="30"/>
          <w:szCs w:val="30"/>
          <w:highlight w:val="none"/>
          <w:lang w:val="en-US" w:eastAsia="zh-CN"/>
        </w:rPr>
        <w:t>1.00</w:t>
      </w:r>
      <w:r>
        <w:rPr>
          <w:rFonts w:hint="eastAsia" w:ascii="仿宋_GB2312" w:hAnsi="仿宋_GB2312" w:eastAsia="仿宋_GB2312" w:cs="仿宋_GB2312"/>
          <w:sz w:val="30"/>
          <w:szCs w:val="30"/>
          <w:highlight w:val="none"/>
          <w:lang w:eastAsia="zh-CN"/>
        </w:rPr>
        <w:t>元（净值），其他资产</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黑体" w:eastAsia="仿宋_GB2312" w:cs="方正小标宋简体"/>
          <w:color w:val="000000"/>
          <w:kern w:val="0"/>
          <w:sz w:val="30"/>
          <w:szCs w:val="30"/>
          <w:highlight w:val="none"/>
        </w:rPr>
        <w:t>。与上年相比，本年资产总额减少</w:t>
      </w:r>
      <w:r>
        <w:rPr>
          <w:rFonts w:hint="eastAsia" w:ascii="仿宋_GB2312" w:hAnsi="黑体" w:eastAsia="仿宋_GB2312" w:cs="方正小标宋简体"/>
          <w:color w:val="000000"/>
          <w:kern w:val="0"/>
          <w:sz w:val="30"/>
          <w:szCs w:val="30"/>
          <w:highlight w:val="none"/>
          <w:lang w:val="en-US" w:eastAsia="zh-CN"/>
        </w:rPr>
        <w:t>100260.96</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，其中固定资产减少</w:t>
      </w:r>
      <w:r>
        <w:rPr>
          <w:rFonts w:hint="eastAsia" w:ascii="仿宋_GB2312" w:hAnsi="黑体" w:eastAsia="仿宋_GB2312" w:cs="方正小标宋简体"/>
          <w:color w:val="000000"/>
          <w:kern w:val="0"/>
          <w:sz w:val="30"/>
          <w:szCs w:val="30"/>
          <w:highlight w:val="none"/>
          <w:lang w:val="en-US" w:eastAsia="zh-CN"/>
        </w:rPr>
        <w:t>91328.40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。处置房屋建筑物</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；处置车辆</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辆，账面原值</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；报废报损资产</w:t>
      </w:r>
      <w:r>
        <w:rPr>
          <w:rFonts w:hint="eastAsia" w:ascii="仿宋_GB2312" w:hAnsi="黑体" w:eastAsia="仿宋_GB2312" w:cs="方正小标宋简体"/>
          <w:color w:val="000000"/>
          <w:kern w:val="0"/>
          <w:sz w:val="30"/>
          <w:szCs w:val="30"/>
          <w:highlight w:val="none"/>
          <w:lang w:val="en-US" w:eastAsia="zh-CN"/>
        </w:rPr>
        <w:t>173</w:t>
      </w:r>
      <w:r>
        <w:rPr>
          <w:rFonts w:hint="eastAsia" w:ascii="仿宋_GB2312" w:hAnsi="黑体" w:eastAsia="仿宋_GB2312" w:cs="方正小标宋简体"/>
          <w:color w:val="000000"/>
          <w:kern w:val="0"/>
          <w:sz w:val="30"/>
          <w:szCs w:val="30"/>
          <w:highlight w:val="none"/>
        </w:rPr>
        <w:t>项，账面原值</w:t>
      </w:r>
      <w:r>
        <w:rPr>
          <w:rFonts w:hint="eastAsia" w:ascii="仿宋_GB2312" w:hAnsi="黑体" w:eastAsia="仿宋_GB2312" w:cs="方正小标宋简体"/>
          <w:color w:val="000000"/>
          <w:kern w:val="0"/>
          <w:sz w:val="30"/>
          <w:szCs w:val="30"/>
          <w:highlight w:val="none"/>
          <w:lang w:val="en-US" w:eastAsia="zh-CN"/>
        </w:rPr>
        <w:t>24500.00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，实现资产处置收入</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；出租房屋</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，实现资产使用收入</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w:t>
      </w:r>
    </w:p>
    <w:p w14:paraId="3CDFEE84">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p w14:paraId="69A11BA6">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515BC143">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2025年度，单位政府采购支出总额16015.35元，其中：政府采购货物支出2980.32元；政府采购工程支出0元；政府采购服务支出13035.03元。授予中小企业合同金额0元，其中：授予小微企业合同金额</w:t>
      </w:r>
      <w:r>
        <w:rPr>
          <w:rFonts w:hint="eastAsia" w:ascii="仿宋_GB2312" w:hAnsi="仿宋_GB2312" w:eastAsia="仿宋_GB2312" w:cs="仿宋_GB2312"/>
          <w:color w:val="auto"/>
          <w:sz w:val="30"/>
          <w:highlight w:val="none"/>
          <w:lang w:val="en-US" w:eastAsia="zh-CN"/>
        </w:rPr>
        <w:t>0</w:t>
      </w:r>
      <w:r>
        <w:rPr>
          <w:rFonts w:hint="eastAsia" w:ascii="仿宋_GB2312" w:hAnsi="仿宋_GB2312" w:eastAsia="仿宋_GB2312" w:cs="仿宋_GB2312"/>
          <w:sz w:val="30"/>
          <w:szCs w:val="30"/>
          <w:highlight w:val="none"/>
          <w:lang w:val="en-US" w:eastAsia="zh-CN"/>
        </w:rPr>
        <w:t>元。</w:t>
      </w:r>
    </w:p>
    <w:p w14:paraId="59B68707">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14:paraId="017FA6E5">
      <w:pPr>
        <w:widowControl/>
        <w:snapToGrid w:val="0"/>
        <w:spacing w:before="100" w:after="100"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14:paraId="0A0567F8">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623E2DE0">
      <w:pPr>
        <w:widowControl/>
        <w:numPr>
          <w:ilvl w:val="0"/>
          <w:numId w:val="0"/>
        </w:numPr>
        <w:snapToGrid w:val="0"/>
        <w:spacing w:before="100" w:after="100" w:line="360" w:lineRule="auto"/>
        <w:ind w:leftChars="200" w:firstLine="300" w:firstLineChars="100"/>
        <w:jc w:val="left"/>
        <w:outlineLvl w:val="1"/>
        <w:rPr>
          <w:rFonts w:ascii="宋体" w:hAnsi="宋体" w:eastAsia="宋体" w:cs="宋体"/>
          <w:color w:val="auto"/>
          <w:sz w:val="30"/>
          <w:szCs w:val="30"/>
        </w:rPr>
      </w:pPr>
      <w:r>
        <w:rPr>
          <w:rFonts w:ascii="仿宋" w:hAnsi="仿宋" w:eastAsia="仿宋" w:cs="仿宋"/>
          <w:color w:val="auto"/>
          <w:sz w:val="30"/>
          <w:szCs w:val="30"/>
          <w:shd w:val="clear" w:color="auto" w:fill="FFFFFF"/>
        </w:rPr>
        <w:t>我单位</w:t>
      </w:r>
      <w:r>
        <w:rPr>
          <w:rFonts w:hint="eastAsia" w:ascii="仿宋" w:hAnsi="仿宋" w:eastAsia="仿宋" w:cs="仿宋"/>
          <w:color w:val="auto"/>
          <w:sz w:val="30"/>
          <w:szCs w:val="30"/>
          <w:shd w:val="clear" w:color="auto" w:fill="FFFFFF"/>
          <w:lang w:val="en-US" w:eastAsia="zh-CN"/>
        </w:rPr>
        <w:t>2025年</w:t>
      </w:r>
      <w:r>
        <w:rPr>
          <w:rFonts w:ascii="仿宋" w:hAnsi="仿宋" w:eastAsia="仿宋" w:cs="仿宋"/>
          <w:color w:val="auto"/>
          <w:sz w:val="30"/>
          <w:szCs w:val="30"/>
          <w:shd w:val="clear" w:color="auto" w:fill="FFFFFF"/>
        </w:rPr>
        <w:t>无其他重要事项情况说明。</w:t>
      </w:r>
    </w:p>
    <w:p w14:paraId="3F863A4F">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3B60BC03">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14:paraId="4159321D">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14:paraId="18843524">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w:t>
      </w:r>
      <w:r>
        <w:rPr>
          <w:rFonts w:hint="eastAsia" w:ascii="仿宋_GB2312" w:hAnsi="黑体" w:eastAsia="仿宋_GB2312" w:cs="方正小标宋简体"/>
          <w:sz w:val="30"/>
          <w:szCs w:val="30"/>
          <w:highlight w:val="none"/>
          <w:lang w:eastAsia="zh-CN"/>
        </w:rPr>
        <w:t>因公出国（境）费用</w:t>
      </w:r>
      <w:r>
        <w:rPr>
          <w:rFonts w:hint="eastAsia" w:ascii="仿宋_GB2312" w:hAnsi="黑体" w:eastAsia="仿宋_GB2312" w:cs="方正小标宋简体"/>
          <w:sz w:val="30"/>
          <w:szCs w:val="30"/>
          <w:highlight w:val="none"/>
        </w:rPr>
        <w:t>、公务用车购置及运行维护费、公务接待费。其中：</w:t>
      </w:r>
      <w:r>
        <w:rPr>
          <w:rFonts w:hint="eastAsia" w:ascii="仿宋_GB2312" w:hAnsi="黑体" w:eastAsia="仿宋_GB2312" w:cs="方正小标宋简体"/>
          <w:sz w:val="30"/>
          <w:szCs w:val="30"/>
          <w:highlight w:val="none"/>
          <w:lang w:eastAsia="zh-CN"/>
        </w:rPr>
        <w:t>因公出国（境）费用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1F62D002">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w:t>
      </w:r>
      <w:r>
        <w:rPr>
          <w:rFonts w:hint="eastAsia" w:ascii="仿宋_GB2312" w:hAnsi="黑体" w:eastAsia="仿宋_GB2312" w:cs="方正小标宋简体"/>
          <w:sz w:val="30"/>
          <w:szCs w:val="30"/>
          <w:highlight w:val="none"/>
          <w:lang w:eastAsia="zh-CN"/>
        </w:rPr>
        <w:t>因公出国（境）费用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14:paraId="178E504E">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71290806">
      <w:pPr>
        <w:ind w:firstLine="600" w:firstLineChars="200"/>
        <w:jc w:val="left"/>
        <w:rPr>
          <w:highlight w:val="none"/>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4D"/>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B6935">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BA83C5A">
                          <w:pPr>
                            <w:pStyle w:val="6"/>
                            <w:rPr>
                              <w:rStyle w:val="10"/>
                            </w:rPr>
                          </w:pPr>
                          <w:r>
                            <w:rPr>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5BA83C5A">
                    <w:pPr>
                      <w:pStyle w:val="6"/>
                      <w:rPr>
                        <w:rStyle w:val="10"/>
                      </w:rPr>
                    </w:pPr>
                    <w:r>
                      <w:rPr>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BFEF2">
    <w:pPr>
      <w:pStyle w:val="6"/>
      <w:framePr w:wrap="around" w:vAnchor="text" w:hAnchor="margin" w:xAlign="center" w:y="1"/>
      <w:rPr>
        <w:rStyle w:val="10"/>
      </w:rPr>
    </w:pPr>
    <w:r>
      <w:fldChar w:fldCharType="begin"/>
    </w:r>
    <w:r>
      <w:rPr>
        <w:rStyle w:val="10"/>
      </w:rPr>
      <w:instrText xml:space="preserve">PAGE  </w:instrText>
    </w:r>
    <w:r>
      <w:fldChar w:fldCharType="separate"/>
    </w:r>
    <w:r>
      <w:fldChar w:fldCharType="end"/>
    </w:r>
  </w:p>
  <w:p w14:paraId="4EFF7ABF">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E6C6F">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09A084"/>
    <w:multiLevelType w:val="singleLevel"/>
    <w:tmpl w:val="B809A084"/>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6D5B44"/>
    <w:rsid w:val="00295221"/>
    <w:rsid w:val="004428D7"/>
    <w:rsid w:val="007769FD"/>
    <w:rsid w:val="009D25BF"/>
    <w:rsid w:val="01207E49"/>
    <w:rsid w:val="01ED26C2"/>
    <w:rsid w:val="025811C6"/>
    <w:rsid w:val="02896555"/>
    <w:rsid w:val="029B292C"/>
    <w:rsid w:val="02B75F93"/>
    <w:rsid w:val="02B871BB"/>
    <w:rsid w:val="02E24634"/>
    <w:rsid w:val="02FB33E1"/>
    <w:rsid w:val="03305DE9"/>
    <w:rsid w:val="034D0487"/>
    <w:rsid w:val="03A86B64"/>
    <w:rsid w:val="03B11286"/>
    <w:rsid w:val="03CA58FE"/>
    <w:rsid w:val="041A7827"/>
    <w:rsid w:val="04271BFA"/>
    <w:rsid w:val="04BC11CE"/>
    <w:rsid w:val="04C10576"/>
    <w:rsid w:val="05174717"/>
    <w:rsid w:val="0574646B"/>
    <w:rsid w:val="058F13D8"/>
    <w:rsid w:val="059C5753"/>
    <w:rsid w:val="05DC7F46"/>
    <w:rsid w:val="05E97883"/>
    <w:rsid w:val="060B1C24"/>
    <w:rsid w:val="062A0404"/>
    <w:rsid w:val="06444EBA"/>
    <w:rsid w:val="065D0EEB"/>
    <w:rsid w:val="067D4F13"/>
    <w:rsid w:val="07405F45"/>
    <w:rsid w:val="074E4226"/>
    <w:rsid w:val="075C4FC8"/>
    <w:rsid w:val="07B029A5"/>
    <w:rsid w:val="07BB3ECB"/>
    <w:rsid w:val="089E4E3D"/>
    <w:rsid w:val="08D05336"/>
    <w:rsid w:val="08D44158"/>
    <w:rsid w:val="08D73239"/>
    <w:rsid w:val="08F51F25"/>
    <w:rsid w:val="0944019E"/>
    <w:rsid w:val="095E4341"/>
    <w:rsid w:val="09EF4584"/>
    <w:rsid w:val="0A095F75"/>
    <w:rsid w:val="0A3177B0"/>
    <w:rsid w:val="0A51772C"/>
    <w:rsid w:val="0A5C0B70"/>
    <w:rsid w:val="0A96061B"/>
    <w:rsid w:val="0B2129CD"/>
    <w:rsid w:val="0B6111D7"/>
    <w:rsid w:val="0B870169"/>
    <w:rsid w:val="0C16119B"/>
    <w:rsid w:val="0C3F033D"/>
    <w:rsid w:val="0C9678DC"/>
    <w:rsid w:val="0D11231B"/>
    <w:rsid w:val="0D805349"/>
    <w:rsid w:val="0D974C37"/>
    <w:rsid w:val="0DAD6122"/>
    <w:rsid w:val="0DE011E3"/>
    <w:rsid w:val="0E260B59"/>
    <w:rsid w:val="0E36301F"/>
    <w:rsid w:val="0E522B37"/>
    <w:rsid w:val="0E9E11F2"/>
    <w:rsid w:val="0ED33725"/>
    <w:rsid w:val="0EEE1C8C"/>
    <w:rsid w:val="0EFF905A"/>
    <w:rsid w:val="0F567CC7"/>
    <w:rsid w:val="0F912D77"/>
    <w:rsid w:val="0FA0503D"/>
    <w:rsid w:val="0FAA4025"/>
    <w:rsid w:val="10A96308"/>
    <w:rsid w:val="10C74EB5"/>
    <w:rsid w:val="10CC4F4C"/>
    <w:rsid w:val="10D57F53"/>
    <w:rsid w:val="10F92FC2"/>
    <w:rsid w:val="11A074A9"/>
    <w:rsid w:val="11B85B08"/>
    <w:rsid w:val="12192820"/>
    <w:rsid w:val="12B37192"/>
    <w:rsid w:val="12CA3600"/>
    <w:rsid w:val="13174A9C"/>
    <w:rsid w:val="133D1BD6"/>
    <w:rsid w:val="138D1BA8"/>
    <w:rsid w:val="141806CE"/>
    <w:rsid w:val="14AE268B"/>
    <w:rsid w:val="14E6571C"/>
    <w:rsid w:val="15081CAF"/>
    <w:rsid w:val="154214E8"/>
    <w:rsid w:val="15E37E25"/>
    <w:rsid w:val="16007566"/>
    <w:rsid w:val="16020FCA"/>
    <w:rsid w:val="1658184C"/>
    <w:rsid w:val="16662B77"/>
    <w:rsid w:val="167105AF"/>
    <w:rsid w:val="16875E24"/>
    <w:rsid w:val="16F67E8F"/>
    <w:rsid w:val="175A544A"/>
    <w:rsid w:val="17DC2136"/>
    <w:rsid w:val="17DF1149"/>
    <w:rsid w:val="18212C19"/>
    <w:rsid w:val="18EB5F6F"/>
    <w:rsid w:val="18F42ED9"/>
    <w:rsid w:val="19024D8D"/>
    <w:rsid w:val="191028B7"/>
    <w:rsid w:val="19326BF6"/>
    <w:rsid w:val="196F58D1"/>
    <w:rsid w:val="19EF2C27"/>
    <w:rsid w:val="1A2B1B6F"/>
    <w:rsid w:val="1A473E5F"/>
    <w:rsid w:val="1A4B77A0"/>
    <w:rsid w:val="1A555294"/>
    <w:rsid w:val="1AB64312"/>
    <w:rsid w:val="1ADD6866"/>
    <w:rsid w:val="1AE314CA"/>
    <w:rsid w:val="1AEB2A75"/>
    <w:rsid w:val="1AEC1322"/>
    <w:rsid w:val="1AF03547"/>
    <w:rsid w:val="1AF570FB"/>
    <w:rsid w:val="1B291FC1"/>
    <w:rsid w:val="1B512D88"/>
    <w:rsid w:val="1C060756"/>
    <w:rsid w:val="1C951110"/>
    <w:rsid w:val="1C982A4B"/>
    <w:rsid w:val="1CA001A1"/>
    <w:rsid w:val="1CA2700A"/>
    <w:rsid w:val="1D2C0DC3"/>
    <w:rsid w:val="1D4D5A3F"/>
    <w:rsid w:val="1DB86B36"/>
    <w:rsid w:val="1E1A4F9E"/>
    <w:rsid w:val="1E842C65"/>
    <w:rsid w:val="1E8C1E71"/>
    <w:rsid w:val="1E912C74"/>
    <w:rsid w:val="1EE05F70"/>
    <w:rsid w:val="1EE76EF1"/>
    <w:rsid w:val="1F174475"/>
    <w:rsid w:val="1F1D5657"/>
    <w:rsid w:val="1F8D7EC2"/>
    <w:rsid w:val="2005391D"/>
    <w:rsid w:val="20404643"/>
    <w:rsid w:val="205F017A"/>
    <w:rsid w:val="208C5FC9"/>
    <w:rsid w:val="20AC638C"/>
    <w:rsid w:val="20BA7ED4"/>
    <w:rsid w:val="20D7044D"/>
    <w:rsid w:val="20E47C64"/>
    <w:rsid w:val="210F22C5"/>
    <w:rsid w:val="21211468"/>
    <w:rsid w:val="21231873"/>
    <w:rsid w:val="21485CA7"/>
    <w:rsid w:val="21494BAA"/>
    <w:rsid w:val="217B5541"/>
    <w:rsid w:val="218B504F"/>
    <w:rsid w:val="218E7681"/>
    <w:rsid w:val="2194487E"/>
    <w:rsid w:val="21B519F4"/>
    <w:rsid w:val="21CB04C7"/>
    <w:rsid w:val="21E01D62"/>
    <w:rsid w:val="21F3287C"/>
    <w:rsid w:val="2222656A"/>
    <w:rsid w:val="224F1F1F"/>
    <w:rsid w:val="225F006D"/>
    <w:rsid w:val="22736EC0"/>
    <w:rsid w:val="22904445"/>
    <w:rsid w:val="22BE7196"/>
    <w:rsid w:val="22FE172B"/>
    <w:rsid w:val="22FF4B33"/>
    <w:rsid w:val="23090C44"/>
    <w:rsid w:val="231D41B2"/>
    <w:rsid w:val="236F7A9C"/>
    <w:rsid w:val="2372573E"/>
    <w:rsid w:val="23731D80"/>
    <w:rsid w:val="239422C2"/>
    <w:rsid w:val="23E06206"/>
    <w:rsid w:val="23FC6838"/>
    <w:rsid w:val="2406257A"/>
    <w:rsid w:val="24067402"/>
    <w:rsid w:val="24883467"/>
    <w:rsid w:val="24C04E6B"/>
    <w:rsid w:val="24C1257F"/>
    <w:rsid w:val="24D26AB6"/>
    <w:rsid w:val="253936BF"/>
    <w:rsid w:val="25A131FF"/>
    <w:rsid w:val="25AF2274"/>
    <w:rsid w:val="25BD0873"/>
    <w:rsid w:val="25C828BD"/>
    <w:rsid w:val="25D83E02"/>
    <w:rsid w:val="261B19B5"/>
    <w:rsid w:val="262B61F3"/>
    <w:rsid w:val="26551548"/>
    <w:rsid w:val="26A32E80"/>
    <w:rsid w:val="26C9124A"/>
    <w:rsid w:val="26E302AC"/>
    <w:rsid w:val="26E716EB"/>
    <w:rsid w:val="26E821F4"/>
    <w:rsid w:val="26F32549"/>
    <w:rsid w:val="27811B2D"/>
    <w:rsid w:val="27F85AB9"/>
    <w:rsid w:val="28007168"/>
    <w:rsid w:val="28032F29"/>
    <w:rsid w:val="28732C56"/>
    <w:rsid w:val="28EF77AE"/>
    <w:rsid w:val="290465B4"/>
    <w:rsid w:val="291A1CD0"/>
    <w:rsid w:val="292345FF"/>
    <w:rsid w:val="29713E9A"/>
    <w:rsid w:val="2988177C"/>
    <w:rsid w:val="29AF2EC1"/>
    <w:rsid w:val="29F379FC"/>
    <w:rsid w:val="29F75FB8"/>
    <w:rsid w:val="2A1B2E51"/>
    <w:rsid w:val="2A4250E7"/>
    <w:rsid w:val="2A470D3B"/>
    <w:rsid w:val="2A63427A"/>
    <w:rsid w:val="2A9A2652"/>
    <w:rsid w:val="2ADD0968"/>
    <w:rsid w:val="2B1B7108"/>
    <w:rsid w:val="2B87285B"/>
    <w:rsid w:val="2BA25686"/>
    <w:rsid w:val="2BBB79B6"/>
    <w:rsid w:val="2BD173A2"/>
    <w:rsid w:val="2C325893"/>
    <w:rsid w:val="2C39073D"/>
    <w:rsid w:val="2C49057B"/>
    <w:rsid w:val="2C6D413B"/>
    <w:rsid w:val="2C6E752F"/>
    <w:rsid w:val="2C8B49F0"/>
    <w:rsid w:val="2CA07FE0"/>
    <w:rsid w:val="2CF73501"/>
    <w:rsid w:val="2CFA1B54"/>
    <w:rsid w:val="2D6A0CD0"/>
    <w:rsid w:val="2D6E47ED"/>
    <w:rsid w:val="2DB839F8"/>
    <w:rsid w:val="2DB93F6F"/>
    <w:rsid w:val="2DBC2EE6"/>
    <w:rsid w:val="2E001FA1"/>
    <w:rsid w:val="2E19735E"/>
    <w:rsid w:val="2E311C70"/>
    <w:rsid w:val="2EC200F1"/>
    <w:rsid w:val="2EEC20C5"/>
    <w:rsid w:val="2F070B32"/>
    <w:rsid w:val="2F5319D5"/>
    <w:rsid w:val="2F6F68DF"/>
    <w:rsid w:val="30006F3F"/>
    <w:rsid w:val="30170C37"/>
    <w:rsid w:val="307E00A8"/>
    <w:rsid w:val="30987FD3"/>
    <w:rsid w:val="309D69CA"/>
    <w:rsid w:val="30B90B35"/>
    <w:rsid w:val="30F10F6B"/>
    <w:rsid w:val="311634A4"/>
    <w:rsid w:val="31290D56"/>
    <w:rsid w:val="31A07D10"/>
    <w:rsid w:val="32353CF2"/>
    <w:rsid w:val="32367BE1"/>
    <w:rsid w:val="329747D7"/>
    <w:rsid w:val="32A34D83"/>
    <w:rsid w:val="339B40BE"/>
    <w:rsid w:val="33EF767C"/>
    <w:rsid w:val="34031CD9"/>
    <w:rsid w:val="34164660"/>
    <w:rsid w:val="3484654D"/>
    <w:rsid w:val="34C358E4"/>
    <w:rsid w:val="34ED2FD4"/>
    <w:rsid w:val="35193A9B"/>
    <w:rsid w:val="359B67E6"/>
    <w:rsid w:val="35E72C38"/>
    <w:rsid w:val="360B4DA5"/>
    <w:rsid w:val="364F30EB"/>
    <w:rsid w:val="369F7346"/>
    <w:rsid w:val="36A645FC"/>
    <w:rsid w:val="36DE447A"/>
    <w:rsid w:val="36F315F4"/>
    <w:rsid w:val="37282ED2"/>
    <w:rsid w:val="38892B9F"/>
    <w:rsid w:val="388C1B47"/>
    <w:rsid w:val="38D163E1"/>
    <w:rsid w:val="38DE5FCC"/>
    <w:rsid w:val="39431FB5"/>
    <w:rsid w:val="394E1A4D"/>
    <w:rsid w:val="395D7B12"/>
    <w:rsid w:val="398B6BF8"/>
    <w:rsid w:val="39D407FB"/>
    <w:rsid w:val="39E061C4"/>
    <w:rsid w:val="3AC20DED"/>
    <w:rsid w:val="3AF04F3A"/>
    <w:rsid w:val="3AF962CD"/>
    <w:rsid w:val="3AFA7487"/>
    <w:rsid w:val="3B072224"/>
    <w:rsid w:val="3B4A1EE5"/>
    <w:rsid w:val="3B667025"/>
    <w:rsid w:val="3B954C1E"/>
    <w:rsid w:val="3B990744"/>
    <w:rsid w:val="3B9D7FB8"/>
    <w:rsid w:val="3C776E08"/>
    <w:rsid w:val="3D5A33CC"/>
    <w:rsid w:val="3D62570E"/>
    <w:rsid w:val="3DDF50EC"/>
    <w:rsid w:val="3DE37522"/>
    <w:rsid w:val="3E106008"/>
    <w:rsid w:val="3E444804"/>
    <w:rsid w:val="3E623312"/>
    <w:rsid w:val="3E907212"/>
    <w:rsid w:val="3EB014F1"/>
    <w:rsid w:val="3FCD7387"/>
    <w:rsid w:val="3FE8782C"/>
    <w:rsid w:val="40F03BB3"/>
    <w:rsid w:val="40F811B0"/>
    <w:rsid w:val="41B01923"/>
    <w:rsid w:val="41F16AFC"/>
    <w:rsid w:val="42055244"/>
    <w:rsid w:val="420A7EBF"/>
    <w:rsid w:val="42AE60B2"/>
    <w:rsid w:val="42C65DB9"/>
    <w:rsid w:val="42CB3B33"/>
    <w:rsid w:val="4331430B"/>
    <w:rsid w:val="434B1318"/>
    <w:rsid w:val="435E72D5"/>
    <w:rsid w:val="437E3642"/>
    <w:rsid w:val="438415F8"/>
    <w:rsid w:val="43885EFC"/>
    <w:rsid w:val="43A2314C"/>
    <w:rsid w:val="43B832ED"/>
    <w:rsid w:val="43E4284F"/>
    <w:rsid w:val="4409139E"/>
    <w:rsid w:val="44235D2F"/>
    <w:rsid w:val="443F0DBF"/>
    <w:rsid w:val="44907E93"/>
    <w:rsid w:val="44AB71BA"/>
    <w:rsid w:val="44BC401A"/>
    <w:rsid w:val="44E53468"/>
    <w:rsid w:val="44E91DF6"/>
    <w:rsid w:val="45203683"/>
    <w:rsid w:val="453244B9"/>
    <w:rsid w:val="45A4152D"/>
    <w:rsid w:val="45A867F1"/>
    <w:rsid w:val="45ED4C8D"/>
    <w:rsid w:val="466729D6"/>
    <w:rsid w:val="46705E11"/>
    <w:rsid w:val="47D42FF0"/>
    <w:rsid w:val="48E1676A"/>
    <w:rsid w:val="48E40429"/>
    <w:rsid w:val="49181F09"/>
    <w:rsid w:val="49247934"/>
    <w:rsid w:val="49723E09"/>
    <w:rsid w:val="49B2744B"/>
    <w:rsid w:val="49C155BF"/>
    <w:rsid w:val="4A81167B"/>
    <w:rsid w:val="4AAC7FF4"/>
    <w:rsid w:val="4ACC74A7"/>
    <w:rsid w:val="4B3C05BE"/>
    <w:rsid w:val="4BA86912"/>
    <w:rsid w:val="4BEA0B1C"/>
    <w:rsid w:val="4C2F3911"/>
    <w:rsid w:val="4C9A6C67"/>
    <w:rsid w:val="4CB51270"/>
    <w:rsid w:val="4CC672B1"/>
    <w:rsid w:val="4D3B1B78"/>
    <w:rsid w:val="4DE00542"/>
    <w:rsid w:val="4E321376"/>
    <w:rsid w:val="4E776A0A"/>
    <w:rsid w:val="4EAA7777"/>
    <w:rsid w:val="4EBD7EDB"/>
    <w:rsid w:val="4ECC0D58"/>
    <w:rsid w:val="4EF76621"/>
    <w:rsid w:val="4F17581D"/>
    <w:rsid w:val="4FE20970"/>
    <w:rsid w:val="50066E8B"/>
    <w:rsid w:val="504A4293"/>
    <w:rsid w:val="50500969"/>
    <w:rsid w:val="505638FA"/>
    <w:rsid w:val="508F7B4A"/>
    <w:rsid w:val="509A082B"/>
    <w:rsid w:val="50E847AB"/>
    <w:rsid w:val="51CD169C"/>
    <w:rsid w:val="51CD4EE8"/>
    <w:rsid w:val="525E5D62"/>
    <w:rsid w:val="527B1241"/>
    <w:rsid w:val="529F347E"/>
    <w:rsid w:val="52CB24B4"/>
    <w:rsid w:val="53F542FC"/>
    <w:rsid w:val="53FC1D2A"/>
    <w:rsid w:val="544F51F8"/>
    <w:rsid w:val="54683F4C"/>
    <w:rsid w:val="546911CC"/>
    <w:rsid w:val="54DD506F"/>
    <w:rsid w:val="54FF40F9"/>
    <w:rsid w:val="55293A5A"/>
    <w:rsid w:val="554B2170"/>
    <w:rsid w:val="5550572B"/>
    <w:rsid w:val="55544AF4"/>
    <w:rsid w:val="5595621E"/>
    <w:rsid w:val="55E45084"/>
    <w:rsid w:val="563E1B84"/>
    <w:rsid w:val="567E52FA"/>
    <w:rsid w:val="573B7525"/>
    <w:rsid w:val="57AB0622"/>
    <w:rsid w:val="57BC6DB9"/>
    <w:rsid w:val="586645BB"/>
    <w:rsid w:val="588751F0"/>
    <w:rsid w:val="58E11859"/>
    <w:rsid w:val="591F00FC"/>
    <w:rsid w:val="593B754E"/>
    <w:rsid w:val="597F68B1"/>
    <w:rsid w:val="598658E0"/>
    <w:rsid w:val="59B359C0"/>
    <w:rsid w:val="5A352E07"/>
    <w:rsid w:val="5A70538B"/>
    <w:rsid w:val="5A9666AC"/>
    <w:rsid w:val="5AD00A3C"/>
    <w:rsid w:val="5ADB39B5"/>
    <w:rsid w:val="5AFA4609"/>
    <w:rsid w:val="5B5D5515"/>
    <w:rsid w:val="5BB524B0"/>
    <w:rsid w:val="5BDF6159"/>
    <w:rsid w:val="5C0D5C7B"/>
    <w:rsid w:val="5C1F4663"/>
    <w:rsid w:val="5C2C10F5"/>
    <w:rsid w:val="5C9D5C13"/>
    <w:rsid w:val="5CBE484A"/>
    <w:rsid w:val="5CCD6C15"/>
    <w:rsid w:val="5CDC559C"/>
    <w:rsid w:val="5CFB2A97"/>
    <w:rsid w:val="5D11570E"/>
    <w:rsid w:val="5DA058C2"/>
    <w:rsid w:val="5DC9252F"/>
    <w:rsid w:val="5DE073F8"/>
    <w:rsid w:val="5E102C77"/>
    <w:rsid w:val="5E181AE8"/>
    <w:rsid w:val="5E200FB4"/>
    <w:rsid w:val="5E286A5D"/>
    <w:rsid w:val="5E715CB3"/>
    <w:rsid w:val="5E7721E8"/>
    <w:rsid w:val="5F2E3F03"/>
    <w:rsid w:val="5F400E00"/>
    <w:rsid w:val="5F585DDC"/>
    <w:rsid w:val="5FCD49D0"/>
    <w:rsid w:val="5FEE67D5"/>
    <w:rsid w:val="600606E1"/>
    <w:rsid w:val="60A25007"/>
    <w:rsid w:val="60DC08A3"/>
    <w:rsid w:val="61063D04"/>
    <w:rsid w:val="61372C6A"/>
    <w:rsid w:val="61507D62"/>
    <w:rsid w:val="6182198A"/>
    <w:rsid w:val="61B374F7"/>
    <w:rsid w:val="61CA6AF3"/>
    <w:rsid w:val="61CD3BE8"/>
    <w:rsid w:val="620165C0"/>
    <w:rsid w:val="62662701"/>
    <w:rsid w:val="627A3650"/>
    <w:rsid w:val="62A1560C"/>
    <w:rsid w:val="62E005A6"/>
    <w:rsid w:val="62F656EA"/>
    <w:rsid w:val="630A3753"/>
    <w:rsid w:val="63232B02"/>
    <w:rsid w:val="636A1AC0"/>
    <w:rsid w:val="638E2EFC"/>
    <w:rsid w:val="63CD6E9B"/>
    <w:rsid w:val="63DE34EA"/>
    <w:rsid w:val="63FD3D96"/>
    <w:rsid w:val="640E26EA"/>
    <w:rsid w:val="6471083B"/>
    <w:rsid w:val="656808BF"/>
    <w:rsid w:val="657B0DDB"/>
    <w:rsid w:val="658E12F0"/>
    <w:rsid w:val="65B77098"/>
    <w:rsid w:val="65C62867"/>
    <w:rsid w:val="65C7004B"/>
    <w:rsid w:val="661D12A7"/>
    <w:rsid w:val="661E3D1F"/>
    <w:rsid w:val="66624235"/>
    <w:rsid w:val="66857217"/>
    <w:rsid w:val="67FD5BCA"/>
    <w:rsid w:val="68401F2D"/>
    <w:rsid w:val="68425B60"/>
    <w:rsid w:val="684A5B2A"/>
    <w:rsid w:val="687E16C8"/>
    <w:rsid w:val="689C104D"/>
    <w:rsid w:val="68B77D10"/>
    <w:rsid w:val="68C0397C"/>
    <w:rsid w:val="69022D41"/>
    <w:rsid w:val="69425B67"/>
    <w:rsid w:val="695176FB"/>
    <w:rsid w:val="69B61240"/>
    <w:rsid w:val="69FB41BB"/>
    <w:rsid w:val="6A340551"/>
    <w:rsid w:val="6A4709B8"/>
    <w:rsid w:val="6A806C9E"/>
    <w:rsid w:val="6AFC751A"/>
    <w:rsid w:val="6B0C3CD1"/>
    <w:rsid w:val="6B1462EA"/>
    <w:rsid w:val="6B1D2257"/>
    <w:rsid w:val="6B9F6057"/>
    <w:rsid w:val="6BAF510F"/>
    <w:rsid w:val="6BE78CA3"/>
    <w:rsid w:val="6BED4E02"/>
    <w:rsid w:val="6BFA28A1"/>
    <w:rsid w:val="6C0758A4"/>
    <w:rsid w:val="6C6D5B44"/>
    <w:rsid w:val="6C746E90"/>
    <w:rsid w:val="6C9F5465"/>
    <w:rsid w:val="6CA506FA"/>
    <w:rsid w:val="6D126704"/>
    <w:rsid w:val="6D3A5A3C"/>
    <w:rsid w:val="6D6D49D5"/>
    <w:rsid w:val="6E2A40BA"/>
    <w:rsid w:val="6E78248F"/>
    <w:rsid w:val="6E7C42BF"/>
    <w:rsid w:val="6E9470E2"/>
    <w:rsid w:val="6EB646C6"/>
    <w:rsid w:val="6ED1053F"/>
    <w:rsid w:val="6EFF5E89"/>
    <w:rsid w:val="6F2830B0"/>
    <w:rsid w:val="6F330BF1"/>
    <w:rsid w:val="6F44559A"/>
    <w:rsid w:val="6F507BFB"/>
    <w:rsid w:val="6F614322"/>
    <w:rsid w:val="6FA21EBF"/>
    <w:rsid w:val="6FBDCC2D"/>
    <w:rsid w:val="6FE770FD"/>
    <w:rsid w:val="7016782F"/>
    <w:rsid w:val="701A6502"/>
    <w:rsid w:val="704163FD"/>
    <w:rsid w:val="70644DB9"/>
    <w:rsid w:val="708616B2"/>
    <w:rsid w:val="708C3518"/>
    <w:rsid w:val="70AC5C45"/>
    <w:rsid w:val="70C9768C"/>
    <w:rsid w:val="711A53E2"/>
    <w:rsid w:val="7122697F"/>
    <w:rsid w:val="712A376B"/>
    <w:rsid w:val="71446C65"/>
    <w:rsid w:val="71A84B94"/>
    <w:rsid w:val="71D46217"/>
    <w:rsid w:val="71EF717B"/>
    <w:rsid w:val="723C678F"/>
    <w:rsid w:val="723E21E1"/>
    <w:rsid w:val="72760386"/>
    <w:rsid w:val="72C725F2"/>
    <w:rsid w:val="72D7692B"/>
    <w:rsid w:val="737F124C"/>
    <w:rsid w:val="73D78A0C"/>
    <w:rsid w:val="747157DD"/>
    <w:rsid w:val="74746803"/>
    <w:rsid w:val="74855269"/>
    <w:rsid w:val="74FE13D7"/>
    <w:rsid w:val="7590055C"/>
    <w:rsid w:val="75E675A1"/>
    <w:rsid w:val="76CD6A75"/>
    <w:rsid w:val="76DA4A35"/>
    <w:rsid w:val="775942E7"/>
    <w:rsid w:val="77786669"/>
    <w:rsid w:val="77D77E74"/>
    <w:rsid w:val="77EFDA2F"/>
    <w:rsid w:val="780E06BE"/>
    <w:rsid w:val="782A5A14"/>
    <w:rsid w:val="78423926"/>
    <w:rsid w:val="787F460C"/>
    <w:rsid w:val="78E43650"/>
    <w:rsid w:val="78F1359A"/>
    <w:rsid w:val="790C6195"/>
    <w:rsid w:val="79197BA3"/>
    <w:rsid w:val="79486D64"/>
    <w:rsid w:val="796C2A54"/>
    <w:rsid w:val="797F9E17"/>
    <w:rsid w:val="79F94C6D"/>
    <w:rsid w:val="79FD4EE1"/>
    <w:rsid w:val="7A1E467C"/>
    <w:rsid w:val="7A840A52"/>
    <w:rsid w:val="7A8D4744"/>
    <w:rsid w:val="7A8D5499"/>
    <w:rsid w:val="7AA028C5"/>
    <w:rsid w:val="7AD95CEC"/>
    <w:rsid w:val="7B482360"/>
    <w:rsid w:val="7B5423EC"/>
    <w:rsid w:val="7B886F65"/>
    <w:rsid w:val="7B991389"/>
    <w:rsid w:val="7CA01B71"/>
    <w:rsid w:val="7CF52723"/>
    <w:rsid w:val="7CF93F8F"/>
    <w:rsid w:val="7CFE370D"/>
    <w:rsid w:val="7D3455C0"/>
    <w:rsid w:val="7D5216BB"/>
    <w:rsid w:val="7DC123FB"/>
    <w:rsid w:val="7DCA4966"/>
    <w:rsid w:val="7DD6636F"/>
    <w:rsid w:val="7E21732F"/>
    <w:rsid w:val="7E2E406D"/>
    <w:rsid w:val="7E391E44"/>
    <w:rsid w:val="7E637FA1"/>
    <w:rsid w:val="7E9D3A96"/>
    <w:rsid w:val="7E9F516C"/>
    <w:rsid w:val="7EBC5951"/>
    <w:rsid w:val="7EC85AD8"/>
    <w:rsid w:val="7EDE5857"/>
    <w:rsid w:val="7F2A6FBC"/>
    <w:rsid w:val="7F4E0757"/>
    <w:rsid w:val="7F6C1599"/>
    <w:rsid w:val="7F6E7B17"/>
    <w:rsid w:val="7F9F8FD7"/>
    <w:rsid w:val="BFFB94F9"/>
    <w:rsid w:val="CBEF7D62"/>
    <w:rsid w:val="DFFEEDAC"/>
    <w:rsid w:val="E67A7A9C"/>
    <w:rsid w:val="EBF53932"/>
    <w:rsid w:val="FD8F9265"/>
    <w:rsid w:val="FFF79E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line="560" w:lineRule="exact"/>
      <w:jc w:val="left"/>
      <w:outlineLvl w:val="0"/>
    </w:pPr>
    <w:rPr>
      <w:kern w:val="44"/>
      <w:sz w:val="32"/>
      <w:szCs w:val="32"/>
    </w:rPr>
  </w:style>
  <w:style w:type="paragraph" w:styleId="4">
    <w:name w:val="heading 2"/>
    <w:basedOn w:val="1"/>
    <w:next w:val="1"/>
    <w:qFormat/>
    <w:uiPriority w:val="99"/>
    <w:pPr>
      <w:spacing w:line="473" w:lineRule="exact"/>
      <w:ind w:left="902"/>
      <w:outlineLvl w:val="1"/>
    </w:pPr>
    <w:rPr>
      <w:rFonts w:ascii="Microsoft JhengHei" w:hAnsi="Microsoft JhengHei" w:eastAsia="Microsoft JhengHei" w:cs="Microsoft JhengHei"/>
      <w:b/>
      <w:bCs/>
      <w:lang w:val="zh-CN"/>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正文缩进1"/>
    <w:basedOn w:val="1"/>
    <w:qFormat/>
    <w:uiPriority w:val="0"/>
    <w:pPr>
      <w:ind w:firstLine="420" w:firstLineChars="200"/>
    </w:pPr>
  </w:style>
  <w:style w:type="paragraph" w:styleId="5">
    <w:name w:val="Body Text"/>
    <w:basedOn w:val="1"/>
    <w:qFormat/>
    <w:uiPriority w:val="0"/>
    <w:pPr>
      <w:spacing w:before="93" w:beforeLines="30"/>
    </w:pPr>
    <w:rPr>
      <w:rFonts w:ascii="仿宋_GB2312" w:eastAsia="仿宋_GB2312"/>
      <w:sz w:val="30"/>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10">
    <w:name w:val="page number"/>
    <w:basedOn w:val="9"/>
    <w:qFormat/>
    <w:uiPriority w:val="0"/>
  </w:style>
  <w:style w:type="paragraph" w:customStyle="1" w:styleId="11">
    <w:name w:val="p_MsoNormal"/>
    <w:basedOn w:val="1"/>
    <w:qFormat/>
    <w:uiPriority w:val="0"/>
    <w:pPr>
      <w:jc w:val="left"/>
    </w:pPr>
    <w:rPr>
      <w:rFonts w:ascii="宋体" w:hAnsi="宋体" w:eastAsia="宋体" w:cs="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17</Pages>
  <Words>7157</Words>
  <Characters>8022</Characters>
  <Lines>0</Lines>
  <Paragraphs>0</Paragraphs>
  <TotalTime>19</TotalTime>
  <ScaleCrop>false</ScaleCrop>
  <LinksUpToDate>false</LinksUpToDate>
  <CharactersWithSpaces>8087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2024-06-05T01:34:00Z</dcterms:created>
  <dc:creator>李瑞婷(拟稿)</dc:creator>
  <cp:lastModifiedBy>张桂芳</cp:lastModifiedBy>
  <cp:lastPrinted>2026-10-26T08:09:00Z</cp:lastPrinted>
  <dcterms:modified xsi:type="dcterms:W3CDTF">2026-10-26T09:22:42Z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eyJoZGlkIjoiMWM3NzY0NTY4OGVjNWQ4NTA4YWE1ZjA1MzY1ZDE3MmQiLCJ1c2VySWQiOiIxODM5ODUwODE2In0=</vt:lpwstr>
  </property>
  <property fmtid="{D5CDD505-2E9C-101B-9397-08002B2CF9AE}" pid="4" name="ICV">
    <vt:lpwstr>8412DD7C93B343DAA4E756544EC629C4_12</vt:lpwstr>
  </property>
</Properties>
</file>