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rPr>
          <w:rFonts w:hint="eastAsia"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sz w:val="36"/>
          <w:lang w:val="zh-CN"/>
        </w:rPr>
        <w:t>富民县永定小学</w:t>
      </w:r>
      <w:r>
        <w:rPr>
          <w:rFonts w:hint="eastAsia" w:ascii="方正小标宋简体" w:hAnsi="方正小标宋简体" w:eastAsia="方正小标宋简体" w:cs="方正小标宋简体"/>
          <w:sz w:val="36"/>
          <w:szCs w:val="36"/>
          <w:highlight w:val="none"/>
          <w:lang w:val="en-US" w:eastAsia="zh-CN"/>
        </w:rPr>
        <w:t>2025年度</w:t>
      </w:r>
      <w:r>
        <w:rPr>
          <w:rFonts w:hint="eastAsia" w:ascii="方正小标宋简体" w:hAnsi="方正小标宋简体" w:eastAsia="方正小标宋简体" w:cs="方正小标宋简体"/>
          <w:sz w:val="36"/>
          <w:szCs w:val="36"/>
          <w:highlight w:val="none"/>
        </w:rPr>
        <w:t>部门决算</w:t>
      </w:r>
    </w:p>
    <w:p>
      <w:pPr>
        <w:jc w:val="center"/>
        <w:rPr>
          <w:rFonts w:hint="eastAsia" w:ascii="方正小标宋简体" w:hAnsi="方正小标宋简体" w:eastAsia="方正小标宋简体" w:cs="方正小标宋简体"/>
          <w:sz w:val="36"/>
          <w:szCs w:val="36"/>
          <w:highlight w:val="none"/>
        </w:rPr>
      </w:pPr>
    </w:p>
    <w:p>
      <w:pPr>
        <w:jc w:val="center"/>
        <w:outlineLvl w:val="0"/>
        <w:rPr>
          <w:rFonts w:hint="eastAsia" w:ascii="方正小标宋简体" w:hAnsi="方正小标宋简体" w:eastAsia="方正小标宋简体" w:cs="方正小标宋简体"/>
          <w:sz w:val="36"/>
          <w:szCs w:val="36"/>
          <w:highlight w:val="none"/>
          <w:lang w:eastAsia="zh-CN"/>
        </w:rPr>
      </w:pPr>
      <w:r>
        <w:rPr>
          <w:rFonts w:hint="eastAsia" w:ascii="方正小标宋简体" w:hAnsi="方正小标宋简体" w:eastAsia="方正小标宋简体" w:cs="方正小标宋简体"/>
          <w:sz w:val="36"/>
          <w:szCs w:val="36"/>
          <w:highlight w:val="none"/>
          <w:lang w:eastAsia="zh-CN"/>
        </w:rPr>
        <w:t>目录</w:t>
      </w:r>
    </w:p>
    <w:p>
      <w:pPr>
        <w:jc w:val="left"/>
        <w:rPr>
          <w:rFonts w:hint="eastAsia" w:ascii="黑体" w:hAnsi="黑体" w:eastAsia="黑体"/>
          <w:sz w:val="30"/>
          <w:szCs w:val="30"/>
          <w:highlight w:val="none"/>
        </w:rPr>
      </w:pPr>
    </w:p>
    <w:p>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第一部分  </w:t>
      </w:r>
      <w:r>
        <w:rPr>
          <w:rFonts w:hint="eastAsia" w:ascii="黑体" w:hAnsi="黑体" w:eastAsia="黑体"/>
          <w:sz w:val="30"/>
          <w:szCs w:val="30"/>
          <w:highlight w:val="none"/>
          <w:lang w:eastAsia="zh-CN"/>
        </w:rPr>
        <w:t>单位</w:t>
      </w:r>
      <w:r>
        <w:rPr>
          <w:rFonts w:hint="eastAsia" w:ascii="黑体" w:hAnsi="黑体" w:eastAsia="黑体"/>
          <w:sz w:val="30"/>
          <w:szCs w:val="30"/>
          <w:highlight w:val="none"/>
        </w:rPr>
        <w:t>概况</w:t>
      </w:r>
    </w:p>
    <w:p>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一、主要职</w:t>
      </w:r>
      <w:r>
        <w:rPr>
          <w:rFonts w:hint="eastAsia" w:ascii="楷体" w:hAnsi="楷体" w:eastAsia="楷体"/>
          <w:sz w:val="30"/>
          <w:szCs w:val="30"/>
          <w:highlight w:val="none"/>
          <w:lang w:eastAsia="zh-CN"/>
        </w:rPr>
        <w:t>责</w:t>
      </w:r>
    </w:p>
    <w:p>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二、</w:t>
      </w:r>
      <w:r>
        <w:rPr>
          <w:rFonts w:hint="eastAsia" w:ascii="楷体" w:hAnsi="楷体" w:eastAsia="楷体"/>
          <w:sz w:val="30"/>
          <w:szCs w:val="30"/>
          <w:highlight w:val="none"/>
          <w:lang w:eastAsia="zh-CN"/>
        </w:rPr>
        <w:t>基本情况</w:t>
      </w:r>
    </w:p>
    <w:p>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三、重点工作概述</w:t>
      </w:r>
    </w:p>
    <w:p>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第二部分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一、收入支出决算表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二、收入决算表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三、支出决算表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四、财政拨款收入支出决算表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五、一般公共预算财政拨款收入支出决算表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六、一般公共预算财政拨款基本支出决算表</w:t>
      </w:r>
    </w:p>
    <w:p>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七、</w:t>
      </w:r>
      <w:r>
        <w:rPr>
          <w:rFonts w:hint="eastAsia" w:ascii="楷体" w:hAnsi="楷体" w:eastAsia="楷体"/>
          <w:sz w:val="30"/>
          <w:szCs w:val="30"/>
          <w:highlight w:val="none"/>
          <w:lang w:eastAsia="zh-CN"/>
        </w:rPr>
        <w:t>一般公共预算财政拨款项目支出决算表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八</w:t>
      </w:r>
      <w:r>
        <w:rPr>
          <w:rFonts w:hint="eastAsia" w:ascii="楷体" w:hAnsi="楷体" w:eastAsia="楷体"/>
          <w:sz w:val="30"/>
          <w:szCs w:val="30"/>
          <w:highlight w:val="none"/>
        </w:rPr>
        <w:t>、政府性基金预算财政拨款收入支出决算表</w:t>
      </w:r>
    </w:p>
    <w:p>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九、国有资本经营预算财政拨款收入支出决算表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十</w:t>
      </w:r>
      <w:r>
        <w:rPr>
          <w:rFonts w:hint="eastAsia" w:ascii="楷体" w:hAnsi="楷体" w:eastAsia="楷体"/>
          <w:sz w:val="30"/>
          <w:szCs w:val="30"/>
          <w:highlight w:val="none"/>
        </w:rPr>
        <w:t>、</w:t>
      </w:r>
      <w:r>
        <w:rPr>
          <w:rFonts w:hint="eastAsia" w:ascii="楷体" w:hAnsi="楷体" w:eastAsia="楷体"/>
          <w:sz w:val="30"/>
          <w:szCs w:val="30"/>
          <w:highlight w:val="none"/>
          <w:lang w:eastAsia="zh-CN"/>
        </w:rPr>
        <w:t>财政拨款</w:t>
      </w:r>
      <w:r>
        <w:rPr>
          <w:rFonts w:hint="eastAsia" w:ascii="楷体" w:hAnsi="楷体" w:eastAsia="楷体"/>
          <w:sz w:val="30"/>
          <w:szCs w:val="30"/>
          <w:highlight w:val="none"/>
        </w:rPr>
        <w:t>“三公”经费、行政参公单位机关运行经费情况表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val="en-US" w:eastAsia="zh-CN"/>
        </w:rPr>
        <w:t>十一、一般公共预算财政拨款“三公”经费情况表</w:t>
      </w:r>
    </w:p>
    <w:p>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第三部</w:t>
      </w:r>
      <w:r>
        <w:rPr>
          <w:rFonts w:hint="eastAsia" w:ascii="黑体" w:hAnsi="黑体" w:eastAsia="黑体"/>
          <w:sz w:val="30"/>
          <w:szCs w:val="30"/>
          <w:highlight w:val="none"/>
          <w:lang w:eastAsia="zh-CN"/>
        </w:rPr>
        <w:t>分</w:t>
      </w:r>
      <w:r>
        <w:rPr>
          <w:rFonts w:hint="eastAsia" w:ascii="黑体" w:hAnsi="黑体" w:eastAsia="黑体"/>
          <w:sz w:val="30"/>
          <w:szCs w:val="30"/>
          <w:highlight w:val="none"/>
        </w:rPr>
        <w:t xml:space="preserve">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部门决算情况说明</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一、收入决算情况说明</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二、支出决算情况说明</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三、一般公共预算财政拨款支出决算情况说明</w:t>
      </w:r>
    </w:p>
    <w:p>
      <w:pPr>
        <w:widowControl/>
        <w:snapToGrid w:val="0"/>
        <w:spacing w:before="100" w:after="100" w:line="360" w:lineRule="auto"/>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w:t>
      </w:r>
      <w:r>
        <w:rPr>
          <w:rFonts w:hint="eastAsia" w:ascii="楷体" w:hAnsi="楷体" w:eastAsia="楷体"/>
          <w:sz w:val="28"/>
          <w:szCs w:val="28"/>
          <w:highlight w:val="none"/>
        </w:rPr>
        <w:t>“三公”经费支出决</w:t>
      </w:r>
      <w:r>
        <w:rPr>
          <w:rFonts w:hint="eastAsia" w:ascii="楷体" w:hAnsi="楷体" w:eastAsia="楷体"/>
          <w:sz w:val="30"/>
          <w:szCs w:val="30"/>
          <w:highlight w:val="none"/>
        </w:rPr>
        <w:t>算情况说明</w:t>
      </w:r>
    </w:p>
    <w:p>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lang w:eastAsia="zh-CN"/>
        </w:rPr>
        <w:t>第四部分</w:t>
      </w:r>
      <w:r>
        <w:rPr>
          <w:rFonts w:hint="eastAsia" w:ascii="楷体" w:hAnsi="楷体" w:eastAsia="楷体"/>
          <w:sz w:val="30"/>
          <w:szCs w:val="30"/>
          <w:highlight w:val="none"/>
          <w:lang w:val="en-US" w:eastAsia="zh-CN"/>
        </w:rPr>
        <w:t xml:space="preserve">  </w:t>
      </w:r>
      <w:r>
        <w:rPr>
          <w:rFonts w:hint="eastAsia" w:ascii="黑体" w:hAnsi="黑体" w:eastAsia="黑体"/>
          <w:sz w:val="30"/>
          <w:szCs w:val="30"/>
          <w:highlight w:val="none"/>
        </w:rPr>
        <w:t>其他重要事项及相关口径情况说明</w:t>
      </w:r>
    </w:p>
    <w:p>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一、</w:t>
      </w:r>
      <w:r>
        <w:rPr>
          <w:rFonts w:hint="eastAsia" w:ascii="楷体" w:hAnsi="楷体" w:eastAsia="楷体"/>
          <w:sz w:val="30"/>
          <w:szCs w:val="30"/>
          <w:highlight w:val="none"/>
        </w:rPr>
        <w:t>机关运行经费支出情况</w:t>
      </w:r>
    </w:p>
    <w:p>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国有资产占用情况</w:t>
      </w:r>
    </w:p>
    <w:p>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w:t>
      </w:r>
      <w:r>
        <w:rPr>
          <w:rFonts w:hint="eastAsia" w:ascii="楷体" w:hAnsi="楷体" w:eastAsia="楷体"/>
          <w:sz w:val="30"/>
          <w:szCs w:val="30"/>
          <w:highlight w:val="none"/>
        </w:rPr>
        <w:t>政府采购支出情况</w:t>
      </w:r>
    </w:p>
    <w:p>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四、</w:t>
      </w:r>
      <w:r>
        <w:rPr>
          <w:rFonts w:hint="eastAsia" w:ascii="楷体" w:hAnsi="楷体" w:eastAsia="楷体"/>
          <w:sz w:val="30"/>
          <w:szCs w:val="30"/>
          <w:highlight w:val="none"/>
          <w:lang w:val="en-US" w:eastAsia="zh-CN"/>
        </w:rPr>
        <w:t>单位绩效自评情况</w:t>
      </w:r>
    </w:p>
    <w:p>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五、</w:t>
      </w:r>
      <w:r>
        <w:rPr>
          <w:rFonts w:hint="eastAsia" w:ascii="楷体" w:hAnsi="楷体" w:eastAsia="楷体"/>
          <w:sz w:val="30"/>
          <w:szCs w:val="30"/>
          <w:highlight w:val="none"/>
          <w:lang w:val="en-US" w:eastAsia="zh-CN"/>
        </w:rPr>
        <w:t>其他重要事项情况说明</w:t>
      </w:r>
    </w:p>
    <w:p>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六、相关口径说明</w:t>
      </w:r>
    </w:p>
    <w:p>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w:t>
      </w:r>
      <w:r>
        <w:rPr>
          <w:rFonts w:hint="eastAsia" w:ascii="黑体" w:hAnsi="黑体" w:eastAsia="黑体"/>
          <w:sz w:val="30"/>
          <w:szCs w:val="30"/>
          <w:highlight w:val="none"/>
          <w:lang w:eastAsia="zh-CN"/>
        </w:rPr>
        <w:t>五</w:t>
      </w:r>
      <w:r>
        <w:rPr>
          <w:rFonts w:hint="eastAsia" w:ascii="黑体" w:hAnsi="黑体" w:eastAsia="黑体"/>
          <w:sz w:val="30"/>
          <w:szCs w:val="30"/>
          <w:highlight w:val="none"/>
        </w:rPr>
        <w:t>部分  名词解释</w:t>
      </w:r>
    </w:p>
    <w:p>
      <w:pPr>
        <w:jc w:val="center"/>
        <w:rPr>
          <w:rFonts w:hint="eastAsia" w:ascii="黑体" w:hAnsi="黑体" w:eastAsia="黑体"/>
          <w:sz w:val="32"/>
          <w:szCs w:val="32"/>
          <w:highlight w:val="none"/>
        </w:rPr>
      </w:pPr>
    </w:p>
    <w:p>
      <w:pPr>
        <w:jc w:val="center"/>
        <w:rPr>
          <w:rFonts w:hint="eastAsia" w:ascii="黑体" w:hAnsi="黑体" w:eastAsia="黑体"/>
          <w:sz w:val="32"/>
          <w:szCs w:val="32"/>
          <w:highlight w:val="none"/>
        </w:rPr>
      </w:pPr>
    </w:p>
    <w:p>
      <w:pPr>
        <w:jc w:val="center"/>
        <w:rPr>
          <w:rFonts w:hint="eastAsia" w:ascii="黑体" w:hAnsi="黑体" w:eastAsia="黑体"/>
          <w:sz w:val="32"/>
          <w:szCs w:val="32"/>
          <w:highlight w:val="none"/>
        </w:rPr>
      </w:pPr>
    </w:p>
    <w:p>
      <w:pPr>
        <w:jc w:val="center"/>
        <w:rPr>
          <w:rFonts w:hint="eastAsia" w:ascii="黑体" w:hAnsi="黑体" w:eastAsia="黑体"/>
          <w:sz w:val="32"/>
          <w:szCs w:val="32"/>
          <w:highlight w:val="none"/>
        </w:rPr>
      </w:pPr>
    </w:p>
    <w:p>
      <w:pPr>
        <w:jc w:val="center"/>
        <w:rPr>
          <w:rFonts w:hint="eastAsia" w:ascii="黑体" w:hAnsi="黑体" w:eastAsia="黑体"/>
          <w:sz w:val="32"/>
          <w:szCs w:val="32"/>
          <w:highlight w:val="none"/>
        </w:rPr>
      </w:pPr>
    </w:p>
    <w:p>
      <w:pPr>
        <w:jc w:val="center"/>
        <w:rPr>
          <w:rFonts w:hint="eastAsia" w:ascii="黑体" w:hAnsi="黑体" w:eastAsia="黑体"/>
          <w:sz w:val="32"/>
          <w:szCs w:val="32"/>
          <w:highlight w:val="none"/>
        </w:rPr>
      </w:pPr>
    </w:p>
    <w:p>
      <w:pPr>
        <w:jc w:val="center"/>
        <w:rPr>
          <w:rFonts w:hint="eastAsia" w:ascii="黑体" w:hAnsi="黑体" w:eastAsia="黑体"/>
          <w:sz w:val="32"/>
          <w:szCs w:val="32"/>
          <w:highlight w:val="none"/>
        </w:rPr>
      </w:pPr>
    </w:p>
    <w:p>
      <w:pPr>
        <w:jc w:val="both"/>
        <w:rPr>
          <w:rFonts w:hint="eastAsia" w:ascii="黑体" w:hAnsi="黑体" w:eastAsia="黑体"/>
          <w:sz w:val="32"/>
          <w:szCs w:val="32"/>
          <w:highlight w:val="none"/>
        </w:rPr>
      </w:pPr>
    </w:p>
    <w:p>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第一部分  </w:t>
      </w:r>
      <w:r>
        <w:rPr>
          <w:rFonts w:hint="eastAsia" w:ascii="黑体" w:hAnsi="黑体" w:eastAsia="黑体"/>
          <w:sz w:val="32"/>
          <w:szCs w:val="32"/>
          <w:highlight w:val="none"/>
          <w:lang w:eastAsia="zh-CN"/>
        </w:rPr>
        <w:t>单位</w:t>
      </w:r>
      <w:r>
        <w:rPr>
          <w:rFonts w:hint="eastAsia" w:ascii="黑体" w:hAnsi="黑体" w:eastAsia="黑体"/>
          <w:sz w:val="32"/>
          <w:szCs w:val="32"/>
          <w:highlight w:val="none"/>
        </w:rPr>
        <w:t>概况</w:t>
      </w:r>
    </w:p>
    <w:p>
      <w:pPr>
        <w:spacing w:line="600" w:lineRule="exact"/>
        <w:ind w:firstLine="600" w:firstLineChars="200"/>
        <w:outlineLvl w:val="1"/>
        <w:rPr>
          <w:rFonts w:hint="eastAsia" w:ascii="黑体" w:hAnsi="黑体" w:eastAsia="黑体"/>
          <w:sz w:val="30"/>
          <w:szCs w:val="30"/>
          <w:highlight w:val="none"/>
          <w:lang w:eastAsia="zh-CN"/>
        </w:rPr>
      </w:pPr>
      <w:r>
        <w:rPr>
          <w:rFonts w:hint="eastAsia" w:ascii="黑体" w:hAnsi="黑体" w:eastAsia="黑体"/>
          <w:sz w:val="30"/>
          <w:szCs w:val="30"/>
          <w:highlight w:val="none"/>
        </w:rPr>
        <w:t>一、主要</w:t>
      </w:r>
      <w:r>
        <w:rPr>
          <w:rFonts w:hint="eastAsia" w:ascii="黑体" w:hAnsi="黑体" w:eastAsia="黑体"/>
          <w:sz w:val="30"/>
          <w:szCs w:val="30"/>
          <w:highlight w:val="none"/>
          <w:lang w:eastAsia="zh-CN"/>
        </w:rPr>
        <w:t>职责</w:t>
      </w:r>
    </w:p>
    <w:p>
      <w:pPr>
        <w:pStyle w:val="2"/>
        <w:adjustRightInd w:val="0"/>
        <w:snapToGrid w:val="0"/>
        <w:spacing w:line="600" w:lineRule="exact"/>
        <w:ind w:firstLine="630" w:firstLineChars="210"/>
        <w:rPr>
          <w:rFonts w:hint="eastAsia"/>
          <w:bCs/>
          <w:szCs w:val="30"/>
          <w:highlight w:val="none"/>
          <w:lang w:val="en-US" w:eastAsia="zh-CN"/>
        </w:rPr>
      </w:pPr>
      <w:r>
        <w:rPr>
          <w:rFonts w:hint="eastAsia"/>
          <w:bCs/>
          <w:szCs w:val="30"/>
          <w:highlight w:val="none"/>
          <w:lang w:val="en-US" w:eastAsia="zh-CN"/>
        </w:rPr>
        <w:t>实施小学义务教育，促进基础教育发展。小学学历教育（相关社会服务）。</w:t>
      </w:r>
    </w:p>
    <w:p>
      <w:pPr>
        <w:spacing w:line="600" w:lineRule="exact"/>
        <w:ind w:firstLine="600" w:firstLineChars="200"/>
        <w:outlineLvl w:val="1"/>
        <w:rPr>
          <w:rFonts w:hint="eastAsia" w:ascii="黑体" w:hAnsi="黑体" w:eastAsia="黑体"/>
          <w:sz w:val="30"/>
          <w:szCs w:val="30"/>
          <w:highlight w:val="none"/>
        </w:rPr>
      </w:pPr>
      <w:r>
        <w:rPr>
          <w:rFonts w:hint="eastAsia" w:ascii="黑体" w:hAnsi="黑体" w:eastAsia="黑体"/>
          <w:sz w:val="30"/>
          <w:szCs w:val="30"/>
          <w:highlight w:val="none"/>
        </w:rPr>
        <w:t>二、基本情况</w:t>
      </w:r>
    </w:p>
    <w:p>
      <w:pPr>
        <w:spacing w:line="600" w:lineRule="exact"/>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rPr>
        <w:t>（一）机构设置情况</w:t>
      </w:r>
    </w:p>
    <w:p>
      <w:pPr>
        <w:spacing w:line="600" w:lineRule="exact"/>
        <w:ind w:firstLine="600" w:firstLineChars="200"/>
        <w:rPr>
          <w:rFonts w:hint="eastAsia" w:ascii="仿宋_GB2312" w:hAnsi="仿宋_GB2312" w:eastAsia="仿宋_GB2312" w:cs="仿宋_GB2312"/>
          <w:sz w:val="30"/>
          <w:szCs w:val="30"/>
          <w:highlight w:val="none"/>
          <w:lang w:val="en-US" w:eastAsia="zh-CN"/>
        </w:rPr>
      </w:pPr>
      <w:r>
        <w:rPr>
          <w:rFonts w:hint="eastAsia" w:ascii="仿宋_GB2312" w:eastAsia="仿宋_GB2312"/>
          <w:sz w:val="30"/>
          <w:szCs w:val="30"/>
          <w:highlight w:val="none"/>
          <w:lang w:val="en-US" w:eastAsia="zh-CN"/>
        </w:rPr>
        <w:t>我单位共设置3个内设机构，包括：</w:t>
      </w:r>
      <w:r>
        <w:rPr>
          <w:rFonts w:hint="eastAsia" w:ascii="仿宋_GB2312" w:hAnsi="仿宋_GB2312" w:eastAsia="仿宋_GB2312" w:cs="仿宋_GB2312"/>
          <w:sz w:val="30"/>
          <w:lang w:val="en-US" w:eastAsia="zh-CN"/>
        </w:rPr>
        <w:t>教务处、总处务、安全科。</w:t>
      </w:r>
    </w:p>
    <w:p>
      <w:pPr>
        <w:spacing w:line="600" w:lineRule="exact"/>
        <w:ind w:firstLine="600" w:firstLineChars="200"/>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我单位为基层预算单位，无下属单位。</w:t>
      </w:r>
    </w:p>
    <w:p>
      <w:pPr>
        <w:spacing w:line="600" w:lineRule="exact"/>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决算单位构成</w:t>
      </w:r>
    </w:p>
    <w:p>
      <w:pPr>
        <w:spacing w:line="6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auto"/>
          <w:sz w:val="30"/>
          <w:lang w:val="en-US" w:eastAsia="zh-CN"/>
        </w:rPr>
        <w:t>我单位</w:t>
      </w:r>
      <w:r>
        <w:rPr>
          <w:rFonts w:hint="eastAsia" w:ascii="仿宋_GB2312" w:hAnsi="仿宋_GB2312" w:eastAsia="仿宋_GB2312" w:cs="仿宋_GB2312"/>
          <w:color w:val="auto"/>
          <w:sz w:val="30"/>
          <w:lang w:val="en-US"/>
        </w:rPr>
        <w:t>作为</w:t>
      </w:r>
      <w:r>
        <w:rPr>
          <w:rFonts w:hint="eastAsia" w:ascii="仿宋_GB2312" w:hAnsi="仿宋_GB2312" w:eastAsia="仿宋_GB2312" w:cs="仿宋_GB2312"/>
          <w:color w:val="auto"/>
          <w:sz w:val="30"/>
          <w:lang w:val="en-US" w:eastAsia="zh-CN"/>
        </w:rPr>
        <w:t>富民县教育体育局的</w:t>
      </w:r>
      <w:r>
        <w:rPr>
          <w:rFonts w:hint="eastAsia" w:ascii="仿宋_GB2312" w:hAnsi="仿宋_GB2312" w:eastAsia="仿宋_GB2312" w:cs="仿宋_GB2312"/>
          <w:color w:val="auto"/>
          <w:sz w:val="30"/>
          <w:lang w:val="en-US"/>
        </w:rPr>
        <w:t>二级预算单位纳入</w:t>
      </w:r>
      <w:r>
        <w:rPr>
          <w:rFonts w:hint="eastAsia" w:ascii="仿宋_GB2312" w:hAnsi="仿宋_GB2312" w:eastAsia="仿宋_GB2312" w:cs="仿宋_GB2312"/>
          <w:sz w:val="30"/>
          <w:szCs w:val="30"/>
          <w:highlight w:val="none"/>
          <w:lang w:val="en-US" w:eastAsia="zh-CN"/>
        </w:rPr>
        <w:t>2025</w:t>
      </w:r>
      <w:r>
        <w:rPr>
          <w:rFonts w:hint="eastAsia" w:ascii="仿宋_GB2312" w:hAnsi="仿宋_GB2312" w:eastAsia="仿宋_GB2312" w:cs="仿宋_GB2312"/>
          <w:sz w:val="30"/>
          <w:szCs w:val="30"/>
          <w:highlight w:val="none"/>
        </w:rPr>
        <w:t>年度部门决算编报</w:t>
      </w:r>
      <w:r>
        <w:rPr>
          <w:rFonts w:hint="eastAsia" w:ascii="仿宋_GB2312" w:hAnsi="仿宋_GB2312" w:eastAsia="仿宋_GB2312" w:cs="仿宋_GB2312"/>
          <w:sz w:val="30"/>
          <w:szCs w:val="30"/>
          <w:highlight w:val="none"/>
          <w:lang w:eastAsia="zh-CN"/>
        </w:rPr>
        <w:t>范围</w:t>
      </w:r>
      <w:r>
        <w:rPr>
          <w:rFonts w:hint="eastAsia" w:ascii="仿宋_GB2312" w:hAnsi="仿宋_GB2312" w:eastAsia="仿宋_GB2312" w:cs="仿宋_GB2312"/>
          <w:sz w:val="30"/>
          <w:szCs w:val="30"/>
          <w:highlight w:val="none"/>
        </w:rPr>
        <w:t>。</w:t>
      </w:r>
    </w:p>
    <w:p>
      <w:pPr>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rPr>
        <w:t>（</w:t>
      </w:r>
      <w:r>
        <w:rPr>
          <w:rFonts w:hint="eastAsia" w:ascii="楷体" w:hAnsi="楷体" w:eastAsia="楷体"/>
          <w:sz w:val="30"/>
          <w:szCs w:val="30"/>
          <w:highlight w:val="none"/>
          <w:lang w:eastAsia="zh-CN"/>
        </w:rPr>
        <w:t>三</w:t>
      </w:r>
      <w:r>
        <w:rPr>
          <w:rFonts w:hint="eastAsia" w:ascii="楷体" w:hAnsi="楷体" w:eastAsia="楷体"/>
          <w:sz w:val="30"/>
          <w:szCs w:val="30"/>
          <w:highlight w:val="none"/>
        </w:rPr>
        <w:t>）</w:t>
      </w:r>
      <w:r>
        <w:rPr>
          <w:rFonts w:hint="eastAsia" w:ascii="楷体" w:hAnsi="楷体" w:eastAsia="楷体"/>
          <w:sz w:val="30"/>
          <w:szCs w:val="30"/>
          <w:highlight w:val="none"/>
          <w:lang w:eastAsia="zh-CN"/>
        </w:rPr>
        <w:t>单位</w:t>
      </w:r>
      <w:r>
        <w:rPr>
          <w:rFonts w:hint="eastAsia" w:ascii="楷体" w:hAnsi="楷体" w:eastAsia="楷体"/>
          <w:sz w:val="30"/>
          <w:szCs w:val="30"/>
          <w:highlight w:val="none"/>
        </w:rPr>
        <w:t xml:space="preserve">人员和车辆的编制及实有情况 </w:t>
      </w:r>
    </w:p>
    <w:p>
      <w:pPr>
        <w:spacing w:line="600" w:lineRule="exact"/>
        <w:ind w:firstLine="600" w:firstLineChars="200"/>
        <w:rPr>
          <w:rFonts w:hint="eastAsia" w:ascii="仿宋_GB2312" w:hAnsi="宋体" w:eastAsia="仿宋_GB2312" w:cs="Arial"/>
          <w:kern w:val="0"/>
          <w:sz w:val="30"/>
          <w:szCs w:val="30"/>
          <w:highlight w:val="none"/>
          <w:lang w:eastAsia="zh-CN"/>
        </w:rPr>
      </w:pPr>
      <w:r>
        <w:rPr>
          <w:rFonts w:hint="eastAsia" w:ascii="仿宋_GB2312" w:eastAsia="仿宋_GB2312"/>
          <w:sz w:val="30"/>
          <w:szCs w:val="30"/>
          <w:highlight w:val="none"/>
          <w:lang w:eastAsia="zh-CN"/>
        </w:rPr>
        <w:t>我单位</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年末</w:t>
      </w:r>
      <w:r>
        <w:rPr>
          <w:rFonts w:hint="eastAsia" w:ascii="仿宋_GB2312" w:eastAsia="仿宋_GB2312"/>
          <w:sz w:val="30"/>
          <w:szCs w:val="30"/>
          <w:highlight w:val="none"/>
          <w:lang w:eastAsia="zh-CN"/>
        </w:rPr>
        <w:t>编制内</w:t>
      </w:r>
      <w:r>
        <w:rPr>
          <w:rFonts w:hint="eastAsia" w:ascii="仿宋_GB2312" w:eastAsia="仿宋_GB2312"/>
          <w:sz w:val="30"/>
          <w:szCs w:val="30"/>
          <w:highlight w:val="none"/>
        </w:rPr>
        <w:t>实有人员</w:t>
      </w:r>
      <w:r>
        <w:rPr>
          <w:rFonts w:hint="eastAsia" w:ascii="仿宋_GB2312" w:hAnsi="仿宋_GB2312" w:eastAsia="仿宋_GB2312" w:cs="仿宋_GB2312"/>
          <w:color w:val="auto"/>
          <w:sz w:val="30"/>
          <w:szCs w:val="30"/>
          <w:lang w:val="en-US" w:eastAsia="zh-CN"/>
        </w:rPr>
        <w:t>130</w:t>
      </w:r>
      <w:r>
        <w:rPr>
          <w:rFonts w:hint="eastAsia" w:ascii="仿宋_GB2312" w:hAnsi="宋体" w:eastAsia="仿宋_GB2312" w:cs="Arial"/>
          <w:kern w:val="0"/>
          <w:sz w:val="30"/>
          <w:szCs w:val="30"/>
          <w:highlight w:val="none"/>
        </w:rPr>
        <w:t>人。</w:t>
      </w:r>
      <w:r>
        <w:rPr>
          <w:rFonts w:hint="eastAsia" w:ascii="仿宋_GB2312" w:hAnsi="宋体" w:eastAsia="仿宋_GB2312" w:cs="Arial"/>
          <w:b w:val="0"/>
          <w:bCs w:val="0"/>
          <w:kern w:val="0"/>
          <w:sz w:val="30"/>
          <w:szCs w:val="30"/>
          <w:highlight w:val="none"/>
          <w:lang w:eastAsia="zh-CN"/>
        </w:rPr>
        <w:t>包括</w:t>
      </w:r>
      <w:r>
        <w:rPr>
          <w:rFonts w:hint="eastAsia" w:ascii="仿宋_GB2312" w:hAnsi="宋体" w:eastAsia="仿宋_GB2312" w:cs="Arial"/>
          <w:kern w:val="0"/>
          <w:sz w:val="30"/>
          <w:szCs w:val="30"/>
          <w:highlight w:val="none"/>
          <w:lang w:eastAsia="zh-CN"/>
        </w:rPr>
        <w:t>财政拨款开支经费的</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公务员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参照公务员法管理人员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事业管理人员和专业技术人员</w:t>
      </w:r>
      <w:r>
        <w:rPr>
          <w:rFonts w:hint="eastAsia" w:ascii="仿宋_GB2312" w:hAnsi="仿宋_GB2312" w:eastAsia="仿宋_GB2312" w:cs="仿宋_GB2312"/>
          <w:color w:val="auto"/>
          <w:sz w:val="30"/>
          <w:szCs w:val="30"/>
          <w:lang w:val="en-US" w:eastAsia="zh-CN"/>
        </w:rPr>
        <w:t>126</w:t>
      </w:r>
      <w:r>
        <w:rPr>
          <w:rFonts w:hint="eastAsia" w:ascii="仿宋_GB2312" w:hAnsi="宋体" w:eastAsia="仿宋_GB2312" w:cs="Arial"/>
          <w:kern w:val="0"/>
          <w:sz w:val="30"/>
          <w:szCs w:val="30"/>
          <w:highlight w:val="none"/>
        </w:rPr>
        <w:t>人，机关和事业工人</w:t>
      </w:r>
      <w:r>
        <w:rPr>
          <w:rFonts w:hint="eastAsia" w:ascii="仿宋_GB2312" w:hAnsi="仿宋_GB2312" w:eastAsia="仿宋_GB2312" w:cs="仿宋_GB2312"/>
          <w:color w:val="auto"/>
          <w:sz w:val="30"/>
          <w:szCs w:val="30"/>
          <w:lang w:val="en-US" w:eastAsia="zh-CN"/>
        </w:rPr>
        <w:t>4</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；经费自理人员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p>
    <w:p>
      <w:pPr>
        <w:spacing w:line="600" w:lineRule="exact"/>
        <w:ind w:firstLine="600" w:firstLineChars="200"/>
        <w:rPr>
          <w:rFonts w:hint="eastAsia" w:ascii="仿宋_GB2312" w:hAnsi="宋体" w:eastAsia="仿宋_GB2312" w:cs="Arial"/>
          <w:kern w:val="0"/>
          <w:sz w:val="30"/>
          <w:szCs w:val="30"/>
          <w:highlight w:val="none"/>
          <w:lang w:val="en-US" w:eastAsia="zh-CN"/>
        </w:rPr>
      </w:pPr>
      <w:r>
        <w:rPr>
          <w:rFonts w:hint="eastAsia" w:ascii="仿宋_GB2312" w:eastAsia="仿宋_GB2312"/>
          <w:sz w:val="30"/>
          <w:szCs w:val="30"/>
          <w:highlight w:val="none"/>
          <w:lang w:eastAsia="zh-CN"/>
        </w:rPr>
        <w:t>我单位</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年末</w:t>
      </w:r>
      <w:r>
        <w:rPr>
          <w:rFonts w:hint="eastAsia" w:ascii="仿宋_GB2312" w:eastAsia="仿宋_GB2312"/>
          <w:sz w:val="30"/>
          <w:szCs w:val="30"/>
          <w:highlight w:val="none"/>
          <w:lang w:eastAsia="zh-CN"/>
        </w:rPr>
        <w:t>其他人员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val="en-US" w:eastAsia="zh-CN"/>
        </w:rPr>
        <w:t>人。包括财政拨款开支经费的人员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eastAsia="zh-CN"/>
        </w:rPr>
        <w:t>人；经费自理人员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eastAsia="zh-CN"/>
        </w:rPr>
        <w:t>人。</w:t>
      </w:r>
    </w:p>
    <w:p>
      <w:pPr>
        <w:spacing w:line="600" w:lineRule="exact"/>
        <w:ind w:firstLine="600" w:firstLineChars="200"/>
        <w:rPr>
          <w:rFonts w:hint="default" w:ascii="仿宋_GB2312" w:hAnsi="宋体" w:eastAsia="仿宋_GB2312" w:cs="Arial"/>
          <w:color w:val="FF0000"/>
          <w:kern w:val="0"/>
          <w:sz w:val="30"/>
          <w:szCs w:val="30"/>
          <w:highlight w:val="none"/>
          <w:lang w:val="en-US" w:eastAsia="zh-CN"/>
        </w:rPr>
      </w:pPr>
      <w:r>
        <w:rPr>
          <w:rFonts w:hint="eastAsia" w:ascii="仿宋_GB2312" w:hAnsi="宋体" w:eastAsia="仿宋_GB2312" w:cs="Arial"/>
          <w:i w:val="0"/>
          <w:iCs w:val="0"/>
          <w:kern w:val="0"/>
          <w:sz w:val="30"/>
          <w:szCs w:val="30"/>
          <w:highlight w:val="none"/>
          <w:lang w:eastAsia="zh-CN"/>
        </w:rPr>
        <w:t>年末单位发放离退休费的</w:t>
      </w:r>
      <w:r>
        <w:rPr>
          <w:rFonts w:hint="eastAsia" w:ascii="仿宋_GB2312" w:hAnsi="宋体" w:eastAsia="仿宋_GB2312" w:cs="Arial"/>
          <w:i w:val="0"/>
          <w:iCs w:val="0"/>
          <w:strike w:val="0"/>
          <w:dstrike w:val="0"/>
          <w:color w:val="auto"/>
          <w:kern w:val="0"/>
          <w:sz w:val="30"/>
          <w:szCs w:val="30"/>
          <w:highlight w:val="none"/>
        </w:rPr>
        <w:t>离</w:t>
      </w:r>
      <w:r>
        <w:rPr>
          <w:rFonts w:hint="eastAsia" w:ascii="仿宋_GB2312" w:hAnsi="宋体" w:eastAsia="仿宋_GB2312" w:cs="Arial"/>
          <w:i w:val="0"/>
          <w:iCs w:val="0"/>
          <w:kern w:val="0"/>
          <w:sz w:val="30"/>
          <w:szCs w:val="30"/>
          <w:highlight w:val="none"/>
        </w:rPr>
        <w:t>退休人员</w:t>
      </w:r>
      <w:r>
        <w:rPr>
          <w:rFonts w:hint="eastAsia" w:ascii="仿宋_GB2312" w:hAnsi="宋体" w:eastAsia="仿宋_GB2312" w:cs="Arial"/>
          <w:i w:val="0"/>
          <w:iCs w:val="0"/>
          <w:kern w:val="0"/>
          <w:sz w:val="30"/>
          <w:szCs w:val="30"/>
          <w:highlight w:val="none"/>
          <w:lang w:eastAsia="zh-CN"/>
        </w:rPr>
        <w:t>共计</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人，退休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）。年末</w:t>
      </w:r>
      <w:r>
        <w:rPr>
          <w:rFonts w:hint="eastAsia" w:ascii="仿宋_GB2312" w:hAnsi="宋体" w:eastAsia="仿宋_GB2312" w:cs="Arial"/>
          <w:kern w:val="0"/>
          <w:sz w:val="30"/>
          <w:szCs w:val="30"/>
          <w:highlight w:val="none"/>
        </w:rPr>
        <w:t>由养老保险基金发放养老金的离退休人员</w:t>
      </w:r>
      <w:r>
        <w:rPr>
          <w:rFonts w:hint="eastAsia" w:ascii="仿宋_GB2312" w:hAnsi="仿宋_GB2312" w:eastAsia="仿宋_GB2312" w:cs="仿宋_GB2312"/>
          <w:color w:val="auto"/>
          <w:sz w:val="30"/>
          <w:szCs w:val="30"/>
          <w:lang w:val="en-US" w:eastAsia="zh-CN"/>
        </w:rPr>
        <w:t>62</w:t>
      </w:r>
      <w:r>
        <w:rPr>
          <w:rFonts w:hint="eastAsia" w:ascii="仿宋_GB2312" w:hAnsi="宋体" w:eastAsia="仿宋_GB2312" w:cs="Arial"/>
          <w:kern w:val="0"/>
          <w:sz w:val="30"/>
          <w:szCs w:val="30"/>
          <w:highlight w:val="none"/>
          <w:lang w:val="en-US" w:eastAsia="zh-CN"/>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人，退休</w:t>
      </w:r>
      <w:r>
        <w:rPr>
          <w:rFonts w:hint="eastAsia" w:ascii="仿宋_GB2312" w:hAnsi="仿宋_GB2312" w:eastAsia="仿宋_GB2312" w:cs="仿宋_GB2312"/>
          <w:color w:val="auto"/>
          <w:sz w:val="30"/>
          <w:szCs w:val="30"/>
          <w:lang w:val="en-US" w:eastAsia="zh-CN"/>
        </w:rPr>
        <w:t>62</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val="en-US" w:eastAsia="zh-CN"/>
        </w:rPr>
        <w:t>年末学生</w:t>
      </w:r>
      <w:r>
        <w:rPr>
          <w:rFonts w:hint="eastAsia" w:ascii="仿宋_GB2312" w:hAnsi="仿宋_GB2312" w:eastAsia="仿宋_GB2312" w:cs="仿宋_GB2312"/>
          <w:color w:val="auto"/>
          <w:sz w:val="30"/>
          <w:szCs w:val="30"/>
          <w:lang w:val="en-US" w:eastAsia="zh-CN"/>
        </w:rPr>
        <w:t>2308</w:t>
      </w:r>
      <w:r>
        <w:rPr>
          <w:rFonts w:hint="eastAsia" w:ascii="仿宋_GB2312" w:hAnsi="宋体" w:eastAsia="仿宋_GB2312" w:cs="Arial"/>
          <w:kern w:val="0"/>
          <w:sz w:val="30"/>
          <w:szCs w:val="30"/>
          <w:highlight w:val="none"/>
          <w:lang w:val="en-US" w:eastAsia="zh-CN"/>
        </w:rPr>
        <w:t>人。年末遗属</w:t>
      </w:r>
      <w:r>
        <w:rPr>
          <w:rFonts w:hint="eastAsia" w:ascii="仿宋_GB2312" w:hAnsi="仿宋_GB2312" w:eastAsia="仿宋_GB2312" w:cs="仿宋_GB2312"/>
          <w:color w:val="auto"/>
          <w:sz w:val="30"/>
          <w:szCs w:val="30"/>
          <w:lang w:val="en-US" w:eastAsia="zh-CN"/>
        </w:rPr>
        <w:t>4</w:t>
      </w:r>
      <w:r>
        <w:rPr>
          <w:rFonts w:hint="eastAsia" w:ascii="仿宋_GB2312" w:hAnsi="宋体" w:eastAsia="仿宋_GB2312" w:cs="Arial"/>
          <w:kern w:val="0"/>
          <w:sz w:val="30"/>
          <w:szCs w:val="30"/>
          <w:highlight w:val="none"/>
          <w:lang w:val="en-US" w:eastAsia="zh-CN"/>
        </w:rPr>
        <w:t>人。</w:t>
      </w:r>
    </w:p>
    <w:p>
      <w:pPr>
        <w:spacing w:line="600" w:lineRule="exact"/>
        <w:ind w:firstLine="600" w:firstLineChars="200"/>
        <w:jc w:val="left"/>
        <w:rPr>
          <w:rFonts w:hint="eastAsia" w:ascii="仿宋_GB2312" w:hAnsi="宋体" w:eastAsia="仿宋_GB2312" w:cs="Arial"/>
          <w:color w:val="FF0000"/>
          <w:kern w:val="0"/>
          <w:sz w:val="30"/>
          <w:szCs w:val="30"/>
          <w:highlight w:val="none"/>
        </w:rPr>
      </w:pPr>
      <w:r>
        <w:rPr>
          <w:rFonts w:hint="eastAsia" w:ascii="仿宋_GB2312" w:hAnsi="仿宋_GB2312" w:eastAsia="仿宋_GB2312" w:cs="仿宋_GB2312"/>
          <w:b w:val="0"/>
          <w:bCs w:val="0"/>
          <w:sz w:val="30"/>
          <w:szCs w:val="30"/>
          <w:highlight w:val="none"/>
          <w:u w:val="none"/>
          <w:lang w:val="en-US" w:eastAsia="zh-CN"/>
        </w:rPr>
        <w:t>车辆编制1辆，在编实有车辆1辆，超编0辆。</w:t>
      </w:r>
    </w:p>
    <w:p>
      <w:pPr>
        <w:spacing w:line="600" w:lineRule="exact"/>
        <w:ind w:firstLine="600" w:firstLineChars="200"/>
        <w:outlineLvl w:val="1"/>
        <w:rPr>
          <w:rFonts w:hint="eastAsia" w:ascii="黑体" w:hAnsi="黑体" w:eastAsia="黑体"/>
          <w:sz w:val="30"/>
          <w:szCs w:val="30"/>
          <w:highlight w:val="none"/>
          <w:lang w:eastAsia="zh-CN"/>
        </w:rPr>
      </w:pPr>
      <w:r>
        <w:rPr>
          <w:rFonts w:hint="eastAsia" w:ascii="黑体" w:hAnsi="黑体" w:eastAsia="黑体"/>
          <w:sz w:val="30"/>
          <w:szCs w:val="30"/>
          <w:highlight w:val="none"/>
          <w:lang w:eastAsia="zh-CN"/>
        </w:rPr>
        <w:t>三、重点工作概述</w:t>
      </w:r>
    </w:p>
    <w:p>
      <w:pPr>
        <w:keepNext w:val="0"/>
        <w:keepLines w:val="0"/>
        <w:pageBreakBefore w:val="0"/>
        <w:widowControl/>
        <w:suppressLineNumbers w:val="0"/>
        <w:kinsoku/>
        <w:wordWrap/>
        <w:overflowPunct/>
        <w:topLinePunct w:val="0"/>
        <w:autoSpaceDE w:val="0"/>
        <w:autoSpaceDN w:val="0"/>
        <w:bidi w:val="0"/>
        <w:adjustRightInd/>
        <w:snapToGrid/>
        <w:spacing w:beforeAutospacing="0" w:afterAutospacing="0" w:line="560" w:lineRule="exact"/>
        <w:ind w:left="0" w:right="0" w:firstLine="600"/>
        <w:textAlignment w:val="auto"/>
        <w:rPr>
          <w:rFonts w:hint="eastAsia" w:ascii="仿宋_GB2312" w:hAnsi="仿宋_GB2312" w:eastAsia="仿宋_GB2312" w:cs="仿宋_GB2312"/>
          <w:kern w:val="0"/>
          <w:sz w:val="30"/>
          <w:szCs w:val="30"/>
          <w14:ligatures w14:val="none"/>
        </w:rPr>
      </w:pPr>
      <w:r>
        <w:rPr>
          <w:rFonts w:hint="eastAsia" w:ascii="仿宋_GB2312" w:hAnsi="仿宋_GB2312" w:eastAsia="仿宋_GB2312" w:cs="仿宋_GB2312"/>
          <w:kern w:val="0"/>
          <w:sz w:val="30"/>
          <w:szCs w:val="30"/>
          <w14:ligatures w14:val="none"/>
        </w:rPr>
        <w:t>以习近平新时代中国特色社会主义思想为指导，在深入学习习近平总书记关于弘扬教育家精神的重要指示精神引领下，全面贯彻党的教育方针，全</w:t>
      </w:r>
      <w:r>
        <w:rPr>
          <w:rFonts w:hint="eastAsia" w:ascii="仿宋_GB2312" w:hAnsi="仿宋_GB2312" w:eastAsia="仿宋_GB2312" w:cs="仿宋_GB2312"/>
          <w:kern w:val="0"/>
          <w:sz w:val="30"/>
          <w:szCs w:val="30"/>
          <w14:ligatures w14:val="none"/>
        </w:rPr>
        <w:t>面实施素质教育，秉承“和谐永小  润泽人生”的办学理念，坚持立德树人，培养德智体美劳全面发展的社会主义建设者和接班人。以学生为中心，注重个性化发展，尊重学生的兴趣与特长，努力营造和润教育环境，全面提升学生的综合素质，培养学生的创新精神、实践能力和社会责任感。</w:t>
      </w:r>
    </w:p>
    <w:p>
      <w:pPr>
        <w:keepNext w:val="0"/>
        <w:keepLines w:val="0"/>
        <w:pageBreakBefore w:val="0"/>
        <w:widowControl/>
        <w:suppressLineNumbers w:val="0"/>
        <w:kinsoku/>
        <w:wordWrap/>
        <w:overflowPunct/>
        <w:topLinePunct w:val="0"/>
        <w:autoSpaceDE w:val="0"/>
        <w:autoSpaceDN w:val="0"/>
        <w:bidi w:val="0"/>
        <w:adjustRightInd/>
        <w:snapToGrid/>
        <w:spacing w:beforeAutospacing="0" w:afterAutospacing="0" w:line="560" w:lineRule="exact"/>
        <w:ind w:left="0" w:right="0" w:firstLine="600"/>
        <w:textAlignment w:val="auto"/>
        <w:rPr>
          <w:rFonts w:hint="eastAsia" w:ascii="仿宋_GB2312" w:hAnsi="仿宋_GB2312" w:eastAsia="仿宋_GB2312" w:cs="仿宋_GB2312"/>
          <w:kern w:val="0"/>
          <w:sz w:val="30"/>
          <w:szCs w:val="30"/>
          <w14:ligatures w14:val="none"/>
        </w:rPr>
      </w:pPr>
      <w:r>
        <w:rPr>
          <w:rFonts w:hint="eastAsia" w:ascii="仿宋_GB2312" w:hAnsi="仿宋_GB2312" w:eastAsia="仿宋_GB2312" w:cs="仿宋_GB2312"/>
          <w:kern w:val="0"/>
          <w:sz w:val="30"/>
          <w:szCs w:val="30"/>
          <w14:ligatures w14:val="none"/>
        </w:rPr>
        <w:t>1．坚持党的全面领导，深入实施党组织领导的校长负责制。加强党组织建设，以党建引领学校和谐发展，抓实党建规范建设，抓牢意识形态阵地建设，夯实党风廉政建设，进一步巩固党建品牌文化。</w:t>
      </w:r>
    </w:p>
    <w:p>
      <w:pPr>
        <w:keepNext w:val="0"/>
        <w:keepLines w:val="0"/>
        <w:pageBreakBefore w:val="0"/>
        <w:widowControl/>
        <w:suppressLineNumbers w:val="0"/>
        <w:kinsoku/>
        <w:wordWrap/>
        <w:overflowPunct/>
        <w:topLinePunct w:val="0"/>
        <w:autoSpaceDE w:val="0"/>
        <w:autoSpaceDN w:val="0"/>
        <w:bidi w:val="0"/>
        <w:adjustRightInd/>
        <w:snapToGrid/>
        <w:spacing w:beforeAutospacing="0" w:afterAutospacing="0" w:line="560" w:lineRule="exact"/>
        <w:ind w:left="0" w:right="0" w:firstLine="600"/>
        <w:textAlignment w:val="auto"/>
        <w:rPr>
          <w:rFonts w:hint="eastAsia" w:ascii="仿宋_GB2312" w:hAnsi="仿宋_GB2312" w:eastAsia="仿宋_GB2312" w:cs="仿宋_GB2312"/>
          <w:kern w:val="0"/>
          <w:sz w:val="30"/>
          <w:szCs w:val="30"/>
          <w14:ligatures w14:val="none"/>
        </w:rPr>
      </w:pPr>
      <w:r>
        <w:rPr>
          <w:rFonts w:hint="eastAsia" w:ascii="仿宋_GB2312" w:hAnsi="仿宋_GB2312" w:eastAsia="仿宋_GB2312" w:cs="仿宋_GB2312"/>
          <w:kern w:val="0"/>
          <w:sz w:val="30"/>
          <w:szCs w:val="30"/>
          <w14:ligatures w14:val="none"/>
        </w:rPr>
        <w:t>2．弘扬教育家精神，培养高素质的教师队伍。加强师德师风、职业道德建设、纪律作风建设和法制建设，大力弘扬教育家精神，努力建设一支政治素质高、思想作风正、专业素养强、服务意识好、具有创新精神和实践能力的教师队伍。</w:t>
      </w:r>
    </w:p>
    <w:p>
      <w:pPr>
        <w:keepNext w:val="0"/>
        <w:keepLines w:val="0"/>
        <w:pageBreakBefore w:val="0"/>
        <w:widowControl/>
        <w:suppressLineNumbers w:val="0"/>
        <w:kinsoku/>
        <w:wordWrap/>
        <w:overflowPunct/>
        <w:topLinePunct w:val="0"/>
        <w:autoSpaceDE w:val="0"/>
        <w:autoSpaceDN w:val="0"/>
        <w:bidi w:val="0"/>
        <w:adjustRightInd/>
        <w:snapToGrid/>
        <w:spacing w:beforeAutospacing="0" w:afterAutospacing="0" w:line="560" w:lineRule="exact"/>
        <w:ind w:left="0" w:right="0" w:firstLine="600"/>
        <w:textAlignment w:val="auto"/>
        <w:rPr>
          <w:rFonts w:hint="eastAsia" w:ascii="仿宋_GB2312" w:hAnsi="仿宋_GB2312" w:eastAsia="仿宋_GB2312" w:cs="仿宋_GB2312"/>
          <w:kern w:val="0"/>
          <w:sz w:val="30"/>
          <w:szCs w:val="30"/>
          <w14:ligatures w14:val="none"/>
        </w:rPr>
      </w:pPr>
      <w:r>
        <w:rPr>
          <w:rFonts w:hint="eastAsia" w:ascii="仿宋_GB2312" w:hAnsi="仿宋_GB2312" w:eastAsia="仿宋_GB2312" w:cs="仿宋_GB2312"/>
          <w:kern w:val="0"/>
          <w:sz w:val="30"/>
          <w:szCs w:val="30"/>
          <w14:ligatures w14:val="none"/>
        </w:rPr>
        <w:t>3．抓实德育工作，创德育品牌。进一步丰富创新德育路径，培育新时代好少年，加强德育队伍建设，创建良好育人环境。落实落细立德树人根本任务，五育融合促学生全面发展。加强校园文化建设，构建各具特色的班级文化，把班级文化内化于心外化于行，评比展示引领发展，实现文化育人功效。加强学生日常行为规范养成教育，培养具有“和善之品、和雅之美”的时代好少年。</w:t>
      </w:r>
    </w:p>
    <w:p>
      <w:pPr>
        <w:keepNext w:val="0"/>
        <w:keepLines w:val="0"/>
        <w:pageBreakBefore w:val="0"/>
        <w:widowControl/>
        <w:suppressLineNumbers w:val="0"/>
        <w:kinsoku/>
        <w:wordWrap/>
        <w:overflowPunct/>
        <w:topLinePunct w:val="0"/>
        <w:autoSpaceDE w:val="0"/>
        <w:autoSpaceDN w:val="0"/>
        <w:bidi w:val="0"/>
        <w:adjustRightInd/>
        <w:snapToGrid/>
        <w:spacing w:beforeAutospacing="0" w:afterAutospacing="0" w:line="560" w:lineRule="exact"/>
        <w:ind w:left="0" w:right="0" w:firstLine="600"/>
        <w:textAlignment w:val="auto"/>
        <w:rPr>
          <w:rFonts w:hint="eastAsia" w:ascii="仿宋_GB2312" w:hAnsi="仿宋_GB2312" w:eastAsia="仿宋_GB2312" w:cs="仿宋_GB2312"/>
          <w:kern w:val="0"/>
          <w:sz w:val="30"/>
          <w:szCs w:val="30"/>
          <w14:ligatures w14:val="none"/>
        </w:rPr>
      </w:pPr>
      <w:r>
        <w:rPr>
          <w:rFonts w:hint="eastAsia" w:ascii="仿宋_GB2312" w:hAnsi="仿宋_GB2312" w:eastAsia="仿宋_GB2312" w:cs="仿宋_GB2312"/>
          <w:kern w:val="0"/>
          <w:sz w:val="30"/>
          <w:szCs w:val="30"/>
          <w14:ligatures w14:val="none"/>
        </w:rPr>
        <w:t>4. 认真落实教育部《义务教育课程方案（2022版）》及《云南省义务教育课程实施办法》的相关要求，落实国家课程校本化实施，逐步形成学校特色课程体系。</w:t>
      </w:r>
    </w:p>
    <w:p>
      <w:pPr>
        <w:keepNext w:val="0"/>
        <w:keepLines w:val="0"/>
        <w:pageBreakBefore w:val="0"/>
        <w:widowControl/>
        <w:suppressLineNumbers w:val="0"/>
        <w:kinsoku/>
        <w:wordWrap/>
        <w:overflowPunct/>
        <w:topLinePunct w:val="0"/>
        <w:autoSpaceDE w:val="0"/>
        <w:autoSpaceDN w:val="0"/>
        <w:bidi w:val="0"/>
        <w:adjustRightInd/>
        <w:snapToGrid/>
        <w:spacing w:beforeAutospacing="0" w:afterAutospacing="0" w:line="560" w:lineRule="exact"/>
        <w:ind w:left="0" w:right="0" w:firstLine="600"/>
        <w:textAlignment w:val="auto"/>
        <w:rPr>
          <w:rFonts w:hint="eastAsia" w:ascii="仿宋_GB2312" w:hAnsi="仿宋_GB2312" w:eastAsia="仿宋_GB2312" w:cs="仿宋_GB2312"/>
          <w:kern w:val="0"/>
          <w:sz w:val="30"/>
          <w:szCs w:val="30"/>
          <w14:ligatures w14:val="none"/>
        </w:rPr>
      </w:pPr>
      <w:r>
        <w:rPr>
          <w:rFonts w:hint="eastAsia" w:ascii="仿宋_GB2312" w:hAnsi="仿宋_GB2312" w:eastAsia="仿宋_GB2312" w:cs="仿宋_GB2312"/>
          <w:kern w:val="0"/>
          <w:sz w:val="30"/>
          <w:szCs w:val="30"/>
          <w14:ligatures w14:val="none"/>
        </w:rPr>
        <w:t>5．抓实校本研训，持续促进教师专业成长。以“教研主题系统化，教研活动结构化”为抓手，有计划地开展校本研训活动。以深度学习各学科新课标为载体，实现课标思想和要求向课堂实践的进一步转化。继续在学好新课程标准的基础上，优化教学设计、优化练习设计，探索教—学—评一体化模式，促教师专业成长。</w:t>
      </w:r>
    </w:p>
    <w:p>
      <w:pPr>
        <w:keepNext w:val="0"/>
        <w:keepLines w:val="0"/>
        <w:pageBreakBefore w:val="0"/>
        <w:widowControl/>
        <w:suppressLineNumbers w:val="0"/>
        <w:kinsoku/>
        <w:wordWrap/>
        <w:overflowPunct/>
        <w:topLinePunct w:val="0"/>
        <w:autoSpaceDE w:val="0"/>
        <w:autoSpaceDN w:val="0"/>
        <w:bidi w:val="0"/>
        <w:adjustRightInd/>
        <w:snapToGrid/>
        <w:spacing w:beforeAutospacing="0" w:afterAutospacing="0" w:line="560" w:lineRule="exact"/>
        <w:ind w:left="0" w:right="0" w:firstLine="600"/>
        <w:textAlignment w:val="auto"/>
        <w:rPr>
          <w:rFonts w:hint="eastAsia" w:ascii="仿宋_GB2312" w:hAnsi="仿宋_GB2312" w:eastAsia="仿宋_GB2312" w:cs="仿宋_GB2312"/>
          <w:kern w:val="0"/>
          <w:sz w:val="30"/>
          <w:szCs w:val="30"/>
          <w14:ligatures w14:val="none"/>
        </w:rPr>
      </w:pPr>
      <w:r>
        <w:rPr>
          <w:rFonts w:hint="eastAsia" w:ascii="仿宋_GB2312" w:hAnsi="仿宋_GB2312" w:eastAsia="仿宋_GB2312" w:cs="仿宋_GB2312"/>
          <w:kern w:val="0"/>
          <w:sz w:val="30"/>
          <w:szCs w:val="30"/>
          <w14:ligatures w14:val="none"/>
        </w:rPr>
        <w:t>6.细化教学管理，构建“和润课堂”，促进课堂质量提升。进一步规范和完善教学管理制度，聚焦学科核心素养，探究深度课堂，提升教育教学质量。</w:t>
      </w:r>
    </w:p>
    <w:p>
      <w:pPr>
        <w:keepNext w:val="0"/>
        <w:keepLines w:val="0"/>
        <w:pageBreakBefore w:val="0"/>
        <w:widowControl/>
        <w:suppressLineNumbers w:val="0"/>
        <w:kinsoku/>
        <w:wordWrap/>
        <w:overflowPunct/>
        <w:topLinePunct w:val="0"/>
        <w:autoSpaceDE w:val="0"/>
        <w:autoSpaceDN w:val="0"/>
        <w:bidi w:val="0"/>
        <w:adjustRightInd/>
        <w:snapToGrid/>
        <w:spacing w:beforeAutospacing="0" w:afterAutospacing="0" w:line="560" w:lineRule="exact"/>
        <w:ind w:left="0" w:right="0" w:firstLine="600"/>
        <w:textAlignment w:val="auto"/>
        <w:rPr>
          <w:rFonts w:hint="eastAsia" w:ascii="仿宋_GB2312" w:hAnsi="仿宋_GB2312" w:eastAsia="仿宋_GB2312" w:cs="仿宋_GB2312"/>
          <w:kern w:val="0"/>
          <w:sz w:val="30"/>
          <w:szCs w:val="30"/>
          <w14:ligatures w14:val="none"/>
        </w:rPr>
      </w:pPr>
      <w:r>
        <w:rPr>
          <w:rFonts w:hint="eastAsia" w:ascii="仿宋_GB2312" w:hAnsi="仿宋_GB2312" w:eastAsia="仿宋_GB2312" w:cs="仿宋_GB2312"/>
          <w:kern w:val="0"/>
          <w:sz w:val="30"/>
          <w:szCs w:val="30"/>
          <w14:ligatures w14:val="none"/>
        </w:rPr>
        <w:t>7．扎实做好“五项管理”“双减”和课后服务，保障学生健康成长。深化音乐、体育、美术、劳动和心理健康教学，特色办学引领学生成长，扎实做好“五项管理”“双减”和课后服务，保障学生健康成长。</w:t>
      </w:r>
    </w:p>
    <w:p>
      <w:pPr>
        <w:keepNext w:val="0"/>
        <w:keepLines w:val="0"/>
        <w:pageBreakBefore w:val="0"/>
        <w:widowControl/>
        <w:suppressLineNumbers w:val="0"/>
        <w:kinsoku/>
        <w:wordWrap/>
        <w:overflowPunct/>
        <w:topLinePunct w:val="0"/>
        <w:autoSpaceDE w:val="0"/>
        <w:autoSpaceDN w:val="0"/>
        <w:bidi w:val="0"/>
        <w:adjustRightInd/>
        <w:snapToGrid/>
        <w:spacing w:beforeAutospacing="0" w:afterAutospacing="0" w:line="560" w:lineRule="exact"/>
        <w:ind w:left="0" w:right="0" w:firstLine="600"/>
        <w:textAlignment w:val="auto"/>
        <w:rPr>
          <w:rFonts w:hint="eastAsia" w:ascii="仿宋_GB2312" w:hAnsi="仿宋_GB2312" w:eastAsia="仿宋_GB2312" w:cs="仿宋_GB2312"/>
          <w:kern w:val="0"/>
          <w:sz w:val="30"/>
          <w:szCs w:val="30"/>
          <w14:ligatures w14:val="none"/>
        </w:rPr>
      </w:pPr>
      <w:r>
        <w:rPr>
          <w:rFonts w:hint="eastAsia" w:ascii="仿宋_GB2312" w:hAnsi="仿宋_GB2312" w:eastAsia="仿宋_GB2312" w:cs="仿宋_GB2312"/>
          <w:kern w:val="0"/>
          <w:sz w:val="30"/>
          <w:szCs w:val="30"/>
          <w14:ligatures w14:val="none"/>
        </w:rPr>
        <w:t>8．抓实校园安全工作，确保师生平安。进一步健全制度，压实责任，形成严密的校园安全网格。加强安全教育，做好安全应急演练。落实校舍安全隐患排查整改。加强重点领域、重点时段安全治理。按照要求做好护学岗工作。抓实校园食品安全工作和校园周边环境综合治理。</w:t>
      </w:r>
    </w:p>
    <w:p>
      <w:pPr>
        <w:keepNext w:val="0"/>
        <w:keepLines w:val="0"/>
        <w:pageBreakBefore w:val="0"/>
        <w:widowControl/>
        <w:suppressLineNumbers w:val="0"/>
        <w:kinsoku/>
        <w:wordWrap/>
        <w:overflowPunct/>
        <w:topLinePunct w:val="0"/>
        <w:autoSpaceDE w:val="0"/>
        <w:autoSpaceDN w:val="0"/>
        <w:bidi w:val="0"/>
        <w:adjustRightInd/>
        <w:snapToGrid/>
        <w:spacing w:beforeAutospacing="0" w:afterAutospacing="0" w:line="560" w:lineRule="exact"/>
        <w:ind w:left="0" w:right="0" w:firstLine="600"/>
        <w:textAlignment w:val="auto"/>
        <w:rPr>
          <w:rFonts w:hint="eastAsia" w:ascii="仿宋_GB2312" w:hAnsi="仿宋_GB2312" w:eastAsia="仿宋_GB2312" w:cs="仿宋_GB2312"/>
          <w:kern w:val="0"/>
          <w:sz w:val="30"/>
          <w:szCs w:val="30"/>
          <w14:ligatures w14:val="none"/>
        </w:rPr>
      </w:pPr>
      <w:r>
        <w:rPr>
          <w:rFonts w:hint="eastAsia" w:ascii="仿宋_GB2312" w:hAnsi="仿宋_GB2312" w:eastAsia="仿宋_GB2312" w:cs="仿宋_GB2312"/>
          <w:kern w:val="0"/>
          <w:sz w:val="30"/>
          <w:szCs w:val="30"/>
          <w14:ligatures w14:val="none"/>
        </w:rPr>
        <w:t>9.统筹协调各项工作，促学校健康发展。认真做好营养改善计划、贫困学生资助等教育惠民工程，政策落实率100%。关心关爱特殊学生，全力做好控辍保学工作。认真做好法制教育，提升师生法治意识，营造遵纪守法、依法治校、依法执教的良好氛围。</w:t>
      </w:r>
    </w:p>
    <w:p>
      <w:pPr>
        <w:spacing w:line="600" w:lineRule="exact"/>
        <w:jc w:val="left"/>
        <w:rPr>
          <w:rFonts w:hint="eastAsia" w:ascii="仿宋_GB2312" w:hAnsi="宋体" w:eastAsia="仿宋_GB2312" w:cs="Arial"/>
          <w:kern w:val="0"/>
          <w:sz w:val="30"/>
          <w:szCs w:val="30"/>
          <w:highlight w:val="none"/>
        </w:rPr>
      </w:pPr>
    </w:p>
    <w:p>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第二部分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部门决算表</w:t>
      </w:r>
    </w:p>
    <w:p>
      <w:pPr>
        <w:spacing w:line="600" w:lineRule="exact"/>
        <w:ind w:firstLine="600" w:firstLineChars="200"/>
        <w:jc w:val="center"/>
        <w:outlineLvl w:val="1"/>
        <w:rPr>
          <w:rFonts w:hint="eastAsia" w:ascii="仿宋_GB2312" w:eastAsia="仿宋_GB2312"/>
          <w:sz w:val="30"/>
          <w:szCs w:val="30"/>
          <w:highlight w:val="none"/>
        </w:rPr>
      </w:pPr>
      <w:r>
        <w:rPr>
          <w:rFonts w:hint="eastAsia" w:ascii="仿宋_GB2312" w:eastAsia="仿宋_GB2312"/>
          <w:sz w:val="30"/>
          <w:szCs w:val="30"/>
          <w:highlight w:val="none"/>
        </w:rPr>
        <w:t>（详见附件）</w:t>
      </w:r>
    </w:p>
    <w:p>
      <w:pPr>
        <w:spacing w:line="600" w:lineRule="exact"/>
        <w:ind w:firstLine="600" w:firstLineChars="200"/>
        <w:jc w:val="left"/>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本</w:t>
      </w:r>
      <w:r>
        <w:rPr>
          <w:rFonts w:hint="eastAsia" w:ascii="仿宋_GB2312" w:hAnsi="仿宋_GB2312" w:eastAsia="仿宋_GB2312" w:cs="仿宋_GB2312"/>
          <w:kern w:val="0"/>
          <w:sz w:val="30"/>
          <w:szCs w:val="30"/>
          <w:lang w:val="en-US" w:eastAsia="zh-CN"/>
        </w:rPr>
        <w:t>单位</w:t>
      </w:r>
      <w:r>
        <w:rPr>
          <w:rFonts w:hint="eastAsia" w:ascii="仿宋_GB2312" w:hAnsi="仿宋_GB2312" w:eastAsia="仿宋_GB2312" w:cs="仿宋_GB2312"/>
          <w:kern w:val="0"/>
          <w:sz w:val="30"/>
          <w:szCs w:val="30"/>
        </w:rPr>
        <w:t>202</w:t>
      </w:r>
      <w:r>
        <w:rPr>
          <w:rFonts w:hint="eastAsia" w:ascii="仿宋_GB2312" w:hAnsi="仿宋_GB2312" w:eastAsia="仿宋_GB2312" w:cs="仿宋_GB2312"/>
          <w:kern w:val="0"/>
          <w:sz w:val="30"/>
          <w:szCs w:val="30"/>
          <w:lang w:val="en-US" w:eastAsia="zh-CN"/>
        </w:rPr>
        <w:t>5</w:t>
      </w:r>
      <w:r>
        <w:rPr>
          <w:rFonts w:hint="eastAsia" w:ascii="仿宋_GB2312" w:hAnsi="仿宋_GB2312" w:eastAsia="仿宋_GB2312" w:cs="仿宋_GB2312"/>
          <w:kern w:val="0"/>
          <w:sz w:val="30"/>
          <w:szCs w:val="30"/>
        </w:rPr>
        <w:t>年度无政府性基金预算财政拨款收入，《政府性基金预算财政拨款收入支出决算表》为空表。本</w:t>
      </w:r>
      <w:r>
        <w:rPr>
          <w:rFonts w:hint="eastAsia" w:ascii="仿宋_GB2312" w:hAnsi="仿宋_GB2312" w:eastAsia="仿宋_GB2312" w:cs="仿宋_GB2312"/>
          <w:kern w:val="0"/>
          <w:sz w:val="30"/>
          <w:szCs w:val="30"/>
          <w:lang w:val="en-US" w:eastAsia="zh-CN"/>
        </w:rPr>
        <w:t>单位</w:t>
      </w:r>
      <w:r>
        <w:rPr>
          <w:rFonts w:hint="eastAsia" w:ascii="仿宋_GB2312" w:hAnsi="仿宋_GB2312" w:eastAsia="仿宋_GB2312" w:cs="仿宋_GB2312"/>
          <w:kern w:val="0"/>
          <w:sz w:val="30"/>
          <w:szCs w:val="30"/>
        </w:rPr>
        <w:t>202</w:t>
      </w:r>
      <w:r>
        <w:rPr>
          <w:rFonts w:hint="eastAsia" w:ascii="仿宋_GB2312" w:hAnsi="仿宋_GB2312" w:eastAsia="仿宋_GB2312" w:cs="仿宋_GB2312"/>
          <w:kern w:val="0"/>
          <w:sz w:val="30"/>
          <w:szCs w:val="30"/>
          <w:lang w:val="en-US" w:eastAsia="zh-CN"/>
        </w:rPr>
        <w:t>5</w:t>
      </w:r>
      <w:r>
        <w:rPr>
          <w:rFonts w:hint="eastAsia" w:ascii="仿宋_GB2312" w:hAnsi="仿宋_GB2312" w:eastAsia="仿宋_GB2312" w:cs="仿宋_GB2312"/>
          <w:kern w:val="0"/>
          <w:sz w:val="30"/>
          <w:szCs w:val="30"/>
        </w:rPr>
        <w:t>年度无国有资本经营预算财政拨款收入，《国有资本经营预算财政拨款收入支出决算表》为空表。</w:t>
      </w:r>
    </w:p>
    <w:p>
      <w:pPr>
        <w:spacing w:line="600" w:lineRule="exact"/>
        <w:ind w:firstLine="600" w:firstLineChars="200"/>
        <w:jc w:val="left"/>
        <w:rPr>
          <w:rFonts w:hint="eastAsia" w:ascii="仿宋" w:hAnsi="仿宋" w:eastAsia="仿宋" w:cs="仿宋"/>
          <w:kern w:val="0"/>
          <w:sz w:val="30"/>
          <w:szCs w:val="30"/>
          <w:lang w:eastAsia="zh-CN"/>
        </w:rPr>
      </w:pPr>
    </w:p>
    <w:p>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第三部</w:t>
      </w:r>
      <w:r>
        <w:rPr>
          <w:rFonts w:hint="eastAsia" w:ascii="黑体" w:hAnsi="黑体" w:eastAsia="黑体"/>
          <w:sz w:val="32"/>
          <w:szCs w:val="32"/>
          <w:highlight w:val="none"/>
          <w:lang w:eastAsia="zh-CN"/>
        </w:rPr>
        <w:t>分</w:t>
      </w:r>
      <w:r>
        <w:rPr>
          <w:rFonts w:hint="eastAsia" w:ascii="黑体" w:hAnsi="黑体" w:eastAsia="黑体"/>
          <w:sz w:val="32"/>
          <w:szCs w:val="32"/>
          <w:highlight w:val="none"/>
        </w:rPr>
        <w:t xml:space="preserve">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部门决算情况说明</w:t>
      </w:r>
    </w:p>
    <w:p>
      <w:pPr>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一、收入决算情况说明</w:t>
      </w:r>
    </w:p>
    <w:p>
      <w:pPr>
        <w:widowControl/>
        <w:snapToGrid w:val="0"/>
        <w:spacing w:before="100" w:after="100" w:line="600" w:lineRule="exact"/>
        <w:ind w:firstLine="538"/>
        <w:jc w:val="left"/>
        <w:rPr>
          <w:rFonts w:hint="eastAsia" w:ascii="仿宋_GB2312" w:eastAsia="仿宋_GB2312"/>
          <w:sz w:val="30"/>
          <w:szCs w:val="30"/>
          <w:highlight w:val="none"/>
          <w:lang w:eastAsia="zh-CN"/>
        </w:rPr>
      </w:pPr>
      <w:r>
        <w:rPr>
          <w:rFonts w:hint="eastAsia" w:ascii="仿宋_GB2312" w:hAnsi="仿宋_GB2312" w:eastAsia="仿宋_GB2312" w:cs="仿宋_GB2312"/>
          <w:color w:val="auto"/>
          <w:sz w:val="30"/>
          <w:lang w:val="zh-CN"/>
        </w:rPr>
        <w:t>富民县永定小学</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收入合计</w:t>
      </w:r>
      <w:r>
        <w:rPr>
          <w:rFonts w:hint="eastAsia" w:ascii="仿宋_GB2312" w:hAnsi="仿宋_GB2312" w:eastAsia="仿宋_GB2312" w:cs="仿宋_GB2312"/>
          <w:color w:val="auto"/>
          <w:sz w:val="30"/>
          <w:lang w:val="zh-CN"/>
        </w:rPr>
        <w:t>33401044.76</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。其中：财政拨款收入</w:t>
      </w:r>
      <w:r>
        <w:rPr>
          <w:rFonts w:hint="eastAsia" w:ascii="仿宋_GB2312" w:hAnsi="仿宋_GB2312" w:eastAsia="仿宋_GB2312" w:cs="仿宋_GB2312"/>
          <w:color w:val="auto"/>
          <w:sz w:val="30"/>
          <w:lang w:val="zh-CN"/>
        </w:rPr>
        <w:t>30877696.78</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92.45</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rPr>
        <w:t>上级补助收入%；</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rPr>
        <w:t>事业收入</w:t>
      </w:r>
      <w:r>
        <w:rPr>
          <w:rFonts w:hint="eastAsia" w:ascii="仿宋_GB2312" w:eastAsia="仿宋_GB2312"/>
          <w:sz w:val="30"/>
          <w:szCs w:val="30"/>
          <w:highlight w:val="none"/>
          <w:lang w:eastAsia="zh-CN"/>
        </w:rPr>
        <w:t>（含教育收费</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rPr>
        <w:t>经营收入；</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rPr>
        <w:t>附属单位</w:t>
      </w:r>
      <w:r>
        <w:rPr>
          <w:rFonts w:hint="eastAsia" w:ascii="仿宋_GB2312" w:eastAsia="仿宋_GB2312"/>
          <w:sz w:val="30"/>
          <w:szCs w:val="30"/>
          <w:highlight w:val="none"/>
          <w:lang w:eastAsia="zh-CN"/>
        </w:rPr>
        <w:t>上缴</w:t>
      </w:r>
      <w:r>
        <w:rPr>
          <w:rFonts w:hint="eastAsia" w:ascii="仿宋_GB2312" w:eastAsia="仿宋_GB2312"/>
          <w:sz w:val="30"/>
          <w:szCs w:val="30"/>
          <w:highlight w:val="none"/>
        </w:rPr>
        <w:t>收入；其他收入</w:t>
      </w:r>
      <w:r>
        <w:rPr>
          <w:rFonts w:hint="eastAsia" w:ascii="仿宋_GB2312" w:hAnsi="仿宋_GB2312" w:eastAsia="仿宋_GB2312" w:cs="仿宋_GB2312"/>
          <w:color w:val="auto"/>
          <w:sz w:val="30"/>
          <w:lang w:val="zh-CN"/>
        </w:rPr>
        <w:t>2523347.98</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7.55</w:t>
      </w:r>
      <w:r>
        <w:rPr>
          <w:rFonts w:hint="eastAsia" w:ascii="仿宋_GB2312" w:eastAsia="仿宋_GB2312"/>
          <w:sz w:val="30"/>
          <w:szCs w:val="30"/>
          <w:highlight w:val="none"/>
        </w:rPr>
        <w:t>%。</w:t>
      </w:r>
    </w:p>
    <w:p>
      <w:pPr>
        <w:widowControl/>
        <w:snapToGrid w:val="0"/>
        <w:spacing w:before="100" w:after="100" w:line="600" w:lineRule="exact"/>
        <w:ind w:firstLine="538"/>
        <w:jc w:val="left"/>
        <w:rPr>
          <w:rFonts w:hint="eastAsia" w:ascii="仿宋_GB2312" w:hAnsi="宋体" w:eastAsia="仿宋_GB2312" w:cs="Arial"/>
          <w:color w:val="FF0000"/>
          <w:kern w:val="0"/>
          <w:sz w:val="30"/>
          <w:szCs w:val="30"/>
          <w:highlight w:val="none"/>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w:t>
      </w:r>
      <w:r>
        <w:rPr>
          <w:rFonts w:hint="eastAsia" w:ascii="仿宋_GB2312" w:eastAsia="仿宋_GB2312"/>
          <w:sz w:val="30"/>
          <w:szCs w:val="30"/>
          <w:highlight w:val="none"/>
        </w:rPr>
        <w:t>收入合计</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2511107.01</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8.13</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eastAsia="仿宋_GB2312"/>
          <w:sz w:val="30"/>
          <w:szCs w:val="30"/>
          <w:highlight w:val="none"/>
        </w:rPr>
        <w:t>财政拨款收入</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2240.97</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0.01</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；其他收入增加</w:t>
      </w:r>
      <w:r>
        <w:rPr>
          <w:rFonts w:hint="eastAsia" w:ascii="仿宋_GB2312" w:hAnsi="仿宋_GB2312" w:eastAsia="仿宋_GB2312" w:cs="仿宋_GB2312"/>
          <w:color w:val="auto"/>
          <w:sz w:val="30"/>
          <w:lang w:val="zh-CN"/>
        </w:rPr>
        <w:t>2513347.98</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25133.48</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eastAsia="仿宋_GB2312"/>
          <w:sz w:val="30"/>
          <w:szCs w:val="30"/>
          <w:highlight w:val="none"/>
        </w:rPr>
        <w:t>主要原因</w:t>
      </w:r>
      <w:r>
        <w:rPr>
          <w:rFonts w:hint="eastAsia" w:ascii="仿宋_GB2312" w:eastAsia="仿宋_GB2312"/>
          <w:sz w:val="30"/>
          <w:szCs w:val="30"/>
          <w:highlight w:val="none"/>
          <w:lang w:eastAsia="zh-CN"/>
        </w:rPr>
        <w:t>是</w:t>
      </w:r>
      <w:r>
        <w:rPr>
          <w:rFonts w:hint="eastAsia" w:ascii="仿宋_GB2312" w:eastAsia="仿宋_GB2312"/>
          <w:color w:val="auto"/>
          <w:sz w:val="30"/>
          <w:szCs w:val="30"/>
          <w:highlight w:val="none"/>
          <w:lang w:eastAsia="zh-CN"/>
        </w:rPr>
        <w:t>：</w:t>
      </w:r>
      <w:r>
        <w:rPr>
          <w:rFonts w:hint="eastAsia" w:ascii="仿宋_GB2312" w:eastAsia="仿宋_GB2312"/>
          <w:color w:val="auto"/>
          <w:sz w:val="30"/>
          <w:szCs w:val="30"/>
          <w:highlight w:val="none"/>
          <w:lang w:val="en-US" w:eastAsia="zh-CN"/>
        </w:rPr>
        <w:t>财政拨款收入减少是因学校励行节约，减少办公经费支出，其他收入增加是学校食堂、校外供餐收支纳入财政统一核算。</w:t>
      </w:r>
    </w:p>
    <w:p>
      <w:pPr>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二、支出决算情况说明</w:t>
      </w:r>
    </w:p>
    <w:p>
      <w:pPr>
        <w:spacing w:line="600" w:lineRule="exact"/>
        <w:ind w:firstLine="600" w:firstLineChars="200"/>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sz w:val="30"/>
          <w:lang w:val="zh-CN"/>
        </w:rPr>
        <w:t>富民县永定小学</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支出合计</w:t>
      </w:r>
      <w:r>
        <w:rPr>
          <w:rFonts w:hint="eastAsia" w:ascii="仿宋_GB2312" w:hAnsi="仿宋_GB2312" w:eastAsia="仿宋_GB2312" w:cs="仿宋_GB2312"/>
          <w:color w:val="auto"/>
          <w:sz w:val="30"/>
          <w:lang w:val="zh-CN"/>
        </w:rPr>
        <w:t>33400514.76</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w:t>
      </w:r>
      <w:r>
        <w:rPr>
          <w:rFonts w:hint="eastAsia" w:ascii="仿宋_GB2312" w:hAnsi="宋体" w:eastAsia="仿宋_GB2312" w:cs="Arial"/>
          <w:kern w:val="0"/>
          <w:sz w:val="30"/>
          <w:szCs w:val="30"/>
          <w:highlight w:val="none"/>
        </w:rPr>
        <w:t>基本支出</w:t>
      </w:r>
      <w:r>
        <w:rPr>
          <w:rFonts w:hint="eastAsia" w:ascii="仿宋_GB2312" w:hAnsi="仿宋_GB2312" w:eastAsia="仿宋_GB2312" w:cs="仿宋_GB2312"/>
          <w:color w:val="auto"/>
          <w:sz w:val="30"/>
          <w:lang w:val="zh-CN"/>
        </w:rPr>
        <w:t>24393659.68</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73.03</w:t>
      </w:r>
      <w:r>
        <w:rPr>
          <w:rFonts w:hint="eastAsia" w:ascii="仿宋_GB2312" w:hAnsi="宋体" w:eastAsia="仿宋_GB2312" w:cs="Arial"/>
          <w:kern w:val="0"/>
          <w:sz w:val="30"/>
          <w:szCs w:val="30"/>
          <w:highlight w:val="none"/>
        </w:rPr>
        <w:t>％；项目支出</w:t>
      </w:r>
      <w:r>
        <w:rPr>
          <w:rFonts w:hint="eastAsia" w:ascii="仿宋_GB2312" w:hAnsi="仿宋_GB2312" w:eastAsia="仿宋_GB2312" w:cs="仿宋_GB2312"/>
          <w:color w:val="auto"/>
          <w:sz w:val="30"/>
          <w:lang w:val="zh-CN"/>
        </w:rPr>
        <w:t>9006855.08</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26.97</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val="en-US" w:eastAsia="zh-CN"/>
        </w:rPr>
        <w:t>无</w:t>
      </w:r>
      <w:r>
        <w:rPr>
          <w:rFonts w:hint="eastAsia" w:ascii="仿宋_GB2312" w:hAnsi="宋体" w:eastAsia="仿宋_GB2312" w:cs="Arial"/>
          <w:kern w:val="0"/>
          <w:sz w:val="30"/>
          <w:szCs w:val="30"/>
          <w:highlight w:val="none"/>
        </w:rPr>
        <w:t>上缴上级支出；</w:t>
      </w:r>
      <w:r>
        <w:rPr>
          <w:rFonts w:hint="eastAsia" w:ascii="仿宋_GB2312" w:hAnsi="宋体" w:eastAsia="仿宋_GB2312" w:cs="Arial"/>
          <w:kern w:val="0"/>
          <w:sz w:val="30"/>
          <w:szCs w:val="30"/>
          <w:highlight w:val="none"/>
          <w:lang w:val="en-US" w:eastAsia="zh-CN"/>
        </w:rPr>
        <w:t>无</w:t>
      </w:r>
      <w:r>
        <w:rPr>
          <w:rFonts w:hint="eastAsia" w:ascii="仿宋_GB2312" w:hAnsi="宋体" w:eastAsia="仿宋_GB2312" w:cs="Arial"/>
          <w:kern w:val="0"/>
          <w:sz w:val="30"/>
          <w:szCs w:val="30"/>
          <w:highlight w:val="none"/>
        </w:rPr>
        <w:t>经营支出；</w:t>
      </w:r>
      <w:r>
        <w:rPr>
          <w:rFonts w:hint="eastAsia" w:ascii="仿宋_GB2312" w:hAnsi="宋体" w:eastAsia="仿宋_GB2312" w:cs="Arial"/>
          <w:kern w:val="0"/>
          <w:sz w:val="30"/>
          <w:szCs w:val="30"/>
          <w:highlight w:val="none"/>
          <w:lang w:val="en-US" w:eastAsia="zh-CN"/>
        </w:rPr>
        <w:t>无</w:t>
      </w:r>
      <w:r>
        <w:rPr>
          <w:rFonts w:hint="eastAsia" w:ascii="仿宋_GB2312" w:hAnsi="宋体" w:eastAsia="仿宋_GB2312" w:cs="Arial"/>
          <w:kern w:val="0"/>
          <w:sz w:val="30"/>
          <w:szCs w:val="30"/>
          <w:highlight w:val="none"/>
        </w:rPr>
        <w:t>对附属单位补助支出。</w:t>
      </w:r>
    </w:p>
    <w:p>
      <w:pPr>
        <w:spacing w:line="600" w:lineRule="exact"/>
        <w:ind w:firstLine="600" w:firstLineChars="200"/>
        <w:rPr>
          <w:rFonts w:hint="eastAsia" w:ascii="仿宋_GB2312" w:eastAsia="仿宋_GB2312"/>
          <w:color w:val="FF0000"/>
          <w:sz w:val="30"/>
          <w:szCs w:val="30"/>
          <w:highlight w:val="none"/>
          <w:lang w:eastAsia="zh-CN"/>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相比，支出</w:t>
      </w:r>
      <w:r>
        <w:rPr>
          <w:rFonts w:hint="eastAsia" w:ascii="仿宋_GB2312" w:eastAsia="仿宋_GB2312"/>
          <w:sz w:val="30"/>
          <w:szCs w:val="30"/>
          <w:highlight w:val="none"/>
        </w:rPr>
        <w:t>合计</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2510577.01</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8.13</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hAnsi="宋体" w:eastAsia="仿宋_GB2312" w:cs="Arial"/>
          <w:kern w:val="0"/>
          <w:sz w:val="30"/>
          <w:szCs w:val="30"/>
          <w:highlight w:val="none"/>
        </w:rPr>
        <w:t>基本支出</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3181223.69</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15.00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；项目支出</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670646.68</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6.93</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eastAsia="仿宋_GB2312"/>
          <w:sz w:val="30"/>
          <w:szCs w:val="30"/>
          <w:highlight w:val="none"/>
        </w:rPr>
        <w:t>主要原因</w:t>
      </w:r>
      <w:r>
        <w:rPr>
          <w:rFonts w:hint="eastAsia" w:ascii="仿宋_GB2312" w:hAnsi="仿宋_GB2312" w:eastAsia="仿宋_GB2312" w:cs="仿宋_GB2312"/>
          <w:sz w:val="30"/>
          <w:szCs w:val="30"/>
          <w:highlight w:val="none"/>
          <w:lang w:eastAsia="zh-CN"/>
        </w:rPr>
        <w:t>是</w:t>
      </w:r>
      <w:r>
        <w:rPr>
          <w:rFonts w:hint="eastAsia" w:ascii="仿宋_GB2312" w:hAnsi="仿宋_GB2312" w:eastAsia="仿宋_GB2312" w:cs="仿宋_GB2312"/>
          <w:kern w:val="0"/>
          <w:sz w:val="30"/>
          <w:szCs w:val="30"/>
        </w:rPr>
        <w:t>教职工总人数增加，工资调标增资、正常晋升和提高农村义务教育经费保障水平的标准的提高等因素</w:t>
      </w:r>
      <w:r>
        <w:rPr>
          <w:rFonts w:hint="eastAsia" w:ascii="仿宋_GB2312" w:hAnsi="仿宋_GB2312" w:eastAsia="仿宋_GB2312" w:cs="仿宋_GB2312"/>
          <w:kern w:val="0"/>
          <w:sz w:val="30"/>
          <w:szCs w:val="30"/>
          <w:lang w:eastAsia="zh-CN"/>
        </w:rPr>
        <w:t>，</w:t>
      </w:r>
      <w:r>
        <w:rPr>
          <w:rFonts w:hint="eastAsia" w:ascii="仿宋_GB2312" w:hAnsi="仿宋_GB2312" w:eastAsia="仿宋_GB2312" w:cs="仿宋_GB2312"/>
          <w:kern w:val="0"/>
          <w:sz w:val="30"/>
          <w:szCs w:val="30"/>
          <w:lang w:val="en-US" w:eastAsia="zh-CN"/>
        </w:rPr>
        <w:t>另上年度新增黎阳分校，支付黎阳分校土地费用8000000.00元专项经费，本年度支付黎阳分校土地费用5400000.00元，故项目支出减少</w:t>
      </w:r>
      <w:r>
        <w:rPr>
          <w:rFonts w:hint="eastAsia" w:ascii="仿宋_GB2312" w:hAnsi="仿宋_GB2312" w:eastAsia="仿宋_GB2312" w:cs="仿宋_GB2312"/>
          <w:sz w:val="30"/>
          <w:szCs w:val="30"/>
          <w:highlight w:val="none"/>
        </w:rPr>
        <w:t>。</w:t>
      </w:r>
    </w:p>
    <w:p>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（一）基本支出情况</w:t>
      </w:r>
    </w:p>
    <w:p>
      <w:pPr>
        <w:widowControl/>
        <w:snapToGrid w:val="0"/>
        <w:spacing w:before="100" w:after="100" w:line="600" w:lineRule="exact"/>
        <w:ind w:firstLine="538"/>
        <w:jc w:val="left"/>
        <w:rPr>
          <w:rFonts w:hint="eastAsia" w:ascii="仿宋_GB2312" w:eastAsia="仿宋_GB2312"/>
          <w:color w:val="FF0000"/>
          <w:sz w:val="30"/>
          <w:szCs w:val="30"/>
          <w:highlight w:val="none"/>
        </w:rPr>
      </w:pPr>
      <w:r>
        <w:rPr>
          <w:rFonts w:hint="eastAsia" w:ascii="仿宋_GB2312" w:hAnsi="仿宋_GB2312" w:eastAsia="仿宋_GB2312" w:cs="仿宋_GB2312"/>
          <w:sz w:val="30"/>
          <w:szCs w:val="30"/>
          <w:highlight w:val="none"/>
          <w:lang w:val="en-US" w:eastAsia="zh-CN"/>
        </w:rPr>
        <w:t>2025年度</w:t>
      </w:r>
      <w:r>
        <w:rPr>
          <w:rFonts w:hint="eastAsia" w:ascii="仿宋_GB2312" w:hAnsi="仿宋_GB2312" w:eastAsia="仿宋_GB2312" w:cs="仿宋_GB2312"/>
          <w:sz w:val="30"/>
          <w:szCs w:val="30"/>
          <w:highlight w:val="none"/>
        </w:rPr>
        <w:t>用于保障</w:t>
      </w:r>
      <w:r>
        <w:rPr>
          <w:rFonts w:hint="eastAsia" w:ascii="仿宋_GB2312" w:hAnsi="仿宋_GB2312" w:eastAsia="仿宋_GB2312" w:cs="仿宋_GB2312"/>
          <w:color w:val="auto"/>
          <w:sz w:val="30"/>
          <w:lang w:val="zh-CN"/>
        </w:rPr>
        <w:t>富民县永定小学</w:t>
      </w:r>
      <w:r>
        <w:rPr>
          <w:rFonts w:hint="eastAsia" w:ascii="仿宋_GB2312" w:hAnsi="仿宋_GB2312" w:eastAsia="仿宋_GB2312" w:cs="仿宋_GB2312"/>
          <w:sz w:val="30"/>
          <w:szCs w:val="30"/>
          <w:highlight w:val="none"/>
        </w:rPr>
        <w:t>机构正常运转的日常支出</w:t>
      </w:r>
      <w:r>
        <w:rPr>
          <w:rFonts w:hint="eastAsia" w:ascii="仿宋_GB2312" w:hAnsi="仿宋_GB2312" w:eastAsia="仿宋_GB2312" w:cs="仿宋_GB2312"/>
          <w:color w:val="auto"/>
          <w:sz w:val="30"/>
          <w:lang w:val="zh-CN"/>
        </w:rPr>
        <w:t>24393659.68</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eastAsia="zh-CN"/>
        </w:rPr>
        <w:t>其中：</w:t>
      </w:r>
      <w:r>
        <w:rPr>
          <w:rFonts w:hint="eastAsia" w:ascii="仿宋_GB2312" w:hAnsi="仿宋_GB2312" w:eastAsia="仿宋_GB2312" w:cs="仿宋_GB2312"/>
          <w:sz w:val="30"/>
          <w:szCs w:val="30"/>
          <w:highlight w:val="none"/>
        </w:rPr>
        <w:t>基本工资、津贴补贴等人员经费支出</w:t>
      </w:r>
      <w:r>
        <w:rPr>
          <w:rFonts w:hint="eastAsia" w:ascii="仿宋_GB2312" w:hAnsi="仿宋_GB2312" w:eastAsia="仿宋_GB2312" w:cs="仿宋_GB2312"/>
          <w:color w:val="auto"/>
          <w:sz w:val="30"/>
          <w:lang w:val="zh-CN"/>
        </w:rPr>
        <w:t>24045724.62</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占基本支出的</w:t>
      </w:r>
      <w:r>
        <w:rPr>
          <w:rFonts w:hint="eastAsia" w:ascii="仿宋_GB2312" w:hAnsi="仿宋_GB2312" w:eastAsia="仿宋_GB2312" w:cs="仿宋_GB2312"/>
          <w:color w:val="auto"/>
          <w:sz w:val="30"/>
          <w:lang w:val="zh-CN"/>
        </w:rPr>
        <w:t>98.57</w:t>
      </w:r>
      <w:r>
        <w:rPr>
          <w:rFonts w:hint="eastAsia" w:ascii="仿宋_GB2312" w:hAnsi="仿宋_GB2312" w:eastAsia="仿宋_GB2312" w:cs="仿宋_GB2312"/>
          <w:sz w:val="30"/>
          <w:szCs w:val="30"/>
          <w:highlight w:val="none"/>
        </w:rPr>
        <w:t>％；办公费、印刷费、水电费、办公设备购置等公用经费</w:t>
      </w:r>
      <w:r>
        <w:rPr>
          <w:rFonts w:hint="eastAsia" w:ascii="仿宋_GB2312" w:hAnsi="仿宋_GB2312" w:eastAsia="仿宋_GB2312" w:cs="仿宋_GB2312"/>
          <w:color w:val="auto"/>
          <w:sz w:val="30"/>
          <w:lang w:val="zh-CN"/>
        </w:rPr>
        <w:t>347935.06</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占基本支出的</w:t>
      </w:r>
      <w:r>
        <w:rPr>
          <w:rFonts w:hint="eastAsia" w:ascii="仿宋_GB2312" w:hAnsi="仿宋_GB2312" w:eastAsia="仿宋_GB2312" w:cs="仿宋_GB2312"/>
          <w:color w:val="auto"/>
          <w:sz w:val="30"/>
          <w:lang w:val="zh-CN"/>
        </w:rPr>
        <w:t>1.43</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val="en-US" w:eastAsia="zh-CN"/>
        </w:rPr>
        <w:t>人均187643.53元。</w:t>
      </w:r>
    </w:p>
    <w:p>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（二）项目支出情况</w:t>
      </w:r>
    </w:p>
    <w:p>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rPr>
      </w:pP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用于保障</w:t>
      </w:r>
      <w:r>
        <w:rPr>
          <w:rFonts w:hint="eastAsia" w:ascii="仿宋_GB2312" w:hAnsi="仿宋_GB2312" w:eastAsia="仿宋_GB2312" w:cs="仿宋_GB2312"/>
          <w:color w:val="auto"/>
          <w:sz w:val="30"/>
          <w:lang w:val="zh-CN"/>
        </w:rPr>
        <w:t>富民县永定小学</w:t>
      </w:r>
      <w:r>
        <w:rPr>
          <w:rFonts w:hint="eastAsia" w:ascii="仿宋_GB2312" w:eastAsia="仿宋_GB2312"/>
          <w:sz w:val="30"/>
          <w:szCs w:val="30"/>
          <w:highlight w:val="none"/>
        </w:rPr>
        <w:t>为完成特定的行政工作任务或事业发展目标，用于专项业务工作的经费支出</w:t>
      </w:r>
      <w:r>
        <w:rPr>
          <w:rFonts w:hint="eastAsia" w:ascii="仿宋_GB2312" w:hAnsi="仿宋_GB2312" w:eastAsia="仿宋_GB2312" w:cs="仿宋_GB2312"/>
          <w:color w:val="auto"/>
          <w:sz w:val="30"/>
          <w:lang w:val="zh-CN"/>
        </w:rPr>
        <w:t>9006855.08</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其中：基本建设类项目支出</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p>
    <w:p>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default" w:ascii="仿宋_GB2312" w:eastAsia="仿宋_GB2312"/>
          <w:sz w:val="30"/>
          <w:szCs w:val="30"/>
          <w:highlight w:val="none"/>
          <w:lang w:val="en-US" w:eastAsia="zh-CN"/>
        </w:rPr>
      </w:pPr>
      <w:r>
        <w:rPr>
          <w:rFonts w:hint="eastAsia" w:ascii="仿宋_GB2312" w:eastAsia="仿宋_GB2312"/>
          <w:sz w:val="30"/>
          <w:szCs w:val="30"/>
          <w:highlight w:val="none"/>
        </w:rPr>
        <w:t>完善学校教育用地土地相关费用项目经费</w:t>
      </w:r>
      <w:r>
        <w:rPr>
          <w:rFonts w:hint="eastAsia" w:ascii="仿宋_GB2312" w:eastAsia="仿宋_GB2312"/>
          <w:sz w:val="30"/>
          <w:szCs w:val="30"/>
          <w:highlight w:val="none"/>
          <w:lang w:val="en-US" w:eastAsia="zh-CN"/>
        </w:rPr>
        <w:t>5400000.00</w:t>
      </w:r>
      <w:r>
        <w:rPr>
          <w:rFonts w:hint="eastAsia" w:ascii="仿宋_GB2312" w:eastAsia="仿宋_GB2312"/>
          <w:sz w:val="30"/>
          <w:szCs w:val="30"/>
          <w:highlight w:val="none"/>
        </w:rPr>
        <w:t>元，主要用于</w:t>
      </w:r>
      <w:r>
        <w:rPr>
          <w:rFonts w:hint="eastAsia" w:ascii="仿宋_GB2312" w:eastAsia="仿宋_GB2312"/>
          <w:sz w:val="30"/>
          <w:szCs w:val="30"/>
          <w:highlight w:val="none"/>
          <w:lang w:val="en-US" w:eastAsia="zh-CN"/>
        </w:rPr>
        <w:t>支付黎阳分校土地费用。</w:t>
      </w:r>
    </w:p>
    <w:p>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default" w:ascii="仿宋_GB2312" w:eastAsia="仿宋_GB2312"/>
          <w:sz w:val="30"/>
          <w:szCs w:val="30"/>
          <w:highlight w:val="none"/>
          <w:lang w:val="en-US" w:eastAsia="zh-CN"/>
        </w:rPr>
      </w:pPr>
      <w:r>
        <w:rPr>
          <w:rFonts w:hint="eastAsia" w:ascii="仿宋_GB2312" w:eastAsia="仿宋_GB2312"/>
          <w:sz w:val="30"/>
          <w:szCs w:val="30"/>
          <w:highlight w:val="none"/>
        </w:rPr>
        <w:t>义务教育家庭经济困难学生生活补助项目经费</w:t>
      </w:r>
      <w:r>
        <w:rPr>
          <w:rFonts w:hint="eastAsia" w:ascii="仿宋_GB2312" w:eastAsia="仿宋_GB2312"/>
          <w:sz w:val="30"/>
          <w:szCs w:val="30"/>
          <w:highlight w:val="none"/>
          <w:lang w:val="en-US" w:eastAsia="zh-CN"/>
        </w:rPr>
        <w:t>343125.00</w:t>
      </w:r>
      <w:r>
        <w:rPr>
          <w:rFonts w:hint="eastAsia" w:ascii="仿宋_GB2312" w:eastAsia="仿宋_GB2312"/>
          <w:sz w:val="30"/>
          <w:szCs w:val="30"/>
          <w:highlight w:val="none"/>
        </w:rPr>
        <w:t>元，主要用于</w:t>
      </w:r>
      <w:r>
        <w:rPr>
          <w:rFonts w:hint="eastAsia" w:ascii="仿宋_GB2312" w:eastAsia="仿宋_GB2312"/>
          <w:sz w:val="30"/>
          <w:szCs w:val="30"/>
          <w:highlight w:val="none"/>
          <w:lang w:val="en-US" w:eastAsia="zh-CN"/>
        </w:rPr>
        <w:t>支付</w:t>
      </w:r>
      <w:r>
        <w:rPr>
          <w:rFonts w:hint="eastAsia" w:ascii="仿宋_GB2312" w:eastAsia="仿宋_GB2312"/>
          <w:sz w:val="30"/>
          <w:szCs w:val="30"/>
          <w:highlight w:val="none"/>
        </w:rPr>
        <w:t>家庭经济困难学生生活补助</w:t>
      </w:r>
      <w:r>
        <w:rPr>
          <w:rFonts w:hint="eastAsia" w:ascii="仿宋_GB2312" w:eastAsia="仿宋_GB2312"/>
          <w:sz w:val="30"/>
          <w:szCs w:val="30"/>
          <w:highlight w:val="none"/>
          <w:lang w:val="en-US" w:eastAsia="zh-CN"/>
        </w:rPr>
        <w:t>费用。</w:t>
      </w:r>
    </w:p>
    <w:p>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lang w:val="en-US" w:eastAsia="zh-CN"/>
        </w:rPr>
      </w:pPr>
      <w:r>
        <w:rPr>
          <w:rFonts w:hint="eastAsia" w:ascii="仿宋_GB2312" w:eastAsia="仿宋_GB2312"/>
          <w:sz w:val="30"/>
          <w:szCs w:val="30"/>
          <w:highlight w:val="none"/>
        </w:rPr>
        <w:t>义务教育学生营养改善计划项目经费</w:t>
      </w:r>
      <w:r>
        <w:rPr>
          <w:rFonts w:hint="eastAsia" w:ascii="仿宋_GB2312" w:eastAsia="仿宋_GB2312"/>
          <w:sz w:val="30"/>
          <w:szCs w:val="30"/>
          <w:highlight w:val="none"/>
          <w:lang w:val="en-US" w:eastAsia="zh-CN"/>
        </w:rPr>
        <w:t>322546.96</w:t>
      </w:r>
      <w:r>
        <w:rPr>
          <w:rFonts w:hint="eastAsia" w:ascii="仿宋_GB2312" w:eastAsia="仿宋_GB2312"/>
          <w:sz w:val="30"/>
          <w:szCs w:val="30"/>
          <w:highlight w:val="none"/>
        </w:rPr>
        <w:t>元，主要用于</w:t>
      </w:r>
      <w:r>
        <w:rPr>
          <w:rFonts w:hint="eastAsia" w:ascii="仿宋_GB2312" w:eastAsia="仿宋_GB2312"/>
          <w:sz w:val="30"/>
          <w:szCs w:val="30"/>
          <w:highlight w:val="none"/>
          <w:lang w:val="en-US" w:eastAsia="zh-CN"/>
        </w:rPr>
        <w:t>支付</w:t>
      </w:r>
      <w:r>
        <w:rPr>
          <w:rFonts w:hint="eastAsia" w:ascii="仿宋_GB2312" w:eastAsia="仿宋_GB2312"/>
          <w:sz w:val="30"/>
          <w:szCs w:val="30"/>
          <w:highlight w:val="none"/>
        </w:rPr>
        <w:t>学生营养</w:t>
      </w:r>
      <w:r>
        <w:rPr>
          <w:rFonts w:hint="eastAsia" w:ascii="仿宋_GB2312" w:eastAsia="仿宋_GB2312"/>
          <w:sz w:val="30"/>
          <w:szCs w:val="30"/>
          <w:highlight w:val="none"/>
          <w:lang w:val="en-US" w:eastAsia="zh-CN"/>
        </w:rPr>
        <w:t>餐费用。</w:t>
      </w:r>
    </w:p>
    <w:p>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lang w:val="en-US" w:eastAsia="zh-CN"/>
        </w:rPr>
      </w:pPr>
      <w:r>
        <w:rPr>
          <w:rFonts w:hint="default" w:ascii="仿宋_GB2312" w:eastAsia="仿宋_GB2312"/>
          <w:sz w:val="30"/>
          <w:szCs w:val="30"/>
          <w:highlight w:val="none"/>
          <w:lang w:val="en-US" w:eastAsia="zh-CN"/>
        </w:rPr>
        <w:t>义务教育公用经费</w:t>
      </w:r>
      <w:r>
        <w:rPr>
          <w:rFonts w:hint="eastAsia" w:ascii="仿宋_GB2312" w:eastAsia="仿宋_GB2312"/>
          <w:sz w:val="30"/>
          <w:szCs w:val="30"/>
          <w:highlight w:val="none"/>
          <w:lang w:val="en-US" w:eastAsia="zh-CN"/>
        </w:rPr>
        <w:t>项目经费418365.14元，主要用于支付学校日常办公费用。</w:t>
      </w:r>
    </w:p>
    <w:p>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lang w:val="en-US" w:eastAsia="zh-CN"/>
        </w:rPr>
      </w:pPr>
      <w:r>
        <w:rPr>
          <w:rFonts w:hint="default" w:ascii="仿宋_GB2312" w:eastAsia="仿宋_GB2312"/>
          <w:sz w:val="30"/>
          <w:szCs w:val="30"/>
          <w:highlight w:val="none"/>
          <w:lang w:val="en-US" w:eastAsia="zh-CN"/>
        </w:rPr>
        <w:t>富民县公办学校校外供餐专项</w:t>
      </w:r>
      <w:r>
        <w:rPr>
          <w:rFonts w:hint="eastAsia" w:ascii="仿宋_GB2312" w:eastAsia="仿宋_GB2312"/>
          <w:sz w:val="30"/>
          <w:szCs w:val="30"/>
          <w:highlight w:val="none"/>
          <w:lang w:val="en-US" w:eastAsia="zh-CN"/>
        </w:rPr>
        <w:t>经费2399810.00元，</w:t>
      </w:r>
      <w:r>
        <w:rPr>
          <w:rFonts w:hint="eastAsia" w:ascii="仿宋_GB2312" w:eastAsia="仿宋_GB2312"/>
          <w:sz w:val="30"/>
          <w:szCs w:val="30"/>
          <w:highlight w:val="none"/>
        </w:rPr>
        <w:t>主要用于</w:t>
      </w:r>
      <w:r>
        <w:rPr>
          <w:rFonts w:hint="eastAsia" w:ascii="仿宋_GB2312" w:eastAsia="仿宋_GB2312"/>
          <w:sz w:val="30"/>
          <w:szCs w:val="30"/>
          <w:highlight w:val="none"/>
          <w:lang w:val="en-US" w:eastAsia="zh-CN"/>
        </w:rPr>
        <w:t>支付环城西路校区</w:t>
      </w:r>
      <w:r>
        <w:rPr>
          <w:rFonts w:hint="eastAsia" w:ascii="仿宋_GB2312" w:eastAsia="仿宋_GB2312"/>
          <w:sz w:val="30"/>
          <w:szCs w:val="30"/>
          <w:highlight w:val="none"/>
        </w:rPr>
        <w:t>学生</w:t>
      </w:r>
      <w:r>
        <w:rPr>
          <w:rFonts w:hint="eastAsia" w:ascii="仿宋_GB2312" w:eastAsia="仿宋_GB2312"/>
          <w:sz w:val="30"/>
          <w:szCs w:val="30"/>
          <w:highlight w:val="none"/>
          <w:lang w:val="en-US" w:eastAsia="zh-CN"/>
        </w:rPr>
        <w:t>午餐费用。</w:t>
      </w:r>
    </w:p>
    <w:p>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lang w:val="en-US" w:eastAsia="zh-CN"/>
        </w:rPr>
      </w:pPr>
      <w:r>
        <w:rPr>
          <w:rFonts w:hint="default" w:ascii="仿宋_GB2312" w:eastAsia="仿宋_GB2312"/>
          <w:sz w:val="30"/>
          <w:szCs w:val="30"/>
          <w:highlight w:val="none"/>
          <w:lang w:val="en-US" w:eastAsia="zh-CN"/>
        </w:rPr>
        <w:t>富民县公办学校食堂大宗物资采购专项</w:t>
      </w:r>
      <w:r>
        <w:rPr>
          <w:rFonts w:hint="eastAsia" w:ascii="仿宋_GB2312" w:eastAsia="仿宋_GB2312"/>
          <w:sz w:val="30"/>
          <w:szCs w:val="30"/>
          <w:highlight w:val="none"/>
          <w:lang w:val="en-US" w:eastAsia="zh-CN"/>
        </w:rPr>
        <w:t>经费123007.98元，</w:t>
      </w:r>
      <w:r>
        <w:rPr>
          <w:rFonts w:hint="eastAsia" w:ascii="仿宋_GB2312" w:eastAsia="仿宋_GB2312"/>
          <w:sz w:val="30"/>
          <w:szCs w:val="30"/>
          <w:highlight w:val="none"/>
        </w:rPr>
        <w:t>主要用于</w:t>
      </w:r>
      <w:r>
        <w:rPr>
          <w:rFonts w:hint="eastAsia" w:ascii="仿宋_GB2312" w:eastAsia="仿宋_GB2312"/>
          <w:sz w:val="30"/>
          <w:szCs w:val="30"/>
          <w:highlight w:val="none"/>
          <w:lang w:val="en-US" w:eastAsia="zh-CN"/>
        </w:rPr>
        <w:t>支付黎阳校区</w:t>
      </w:r>
      <w:r>
        <w:rPr>
          <w:rFonts w:hint="eastAsia" w:ascii="仿宋_GB2312" w:eastAsia="仿宋_GB2312"/>
          <w:sz w:val="30"/>
          <w:szCs w:val="30"/>
          <w:highlight w:val="none"/>
        </w:rPr>
        <w:t>学生</w:t>
      </w:r>
      <w:r>
        <w:rPr>
          <w:rFonts w:hint="eastAsia" w:ascii="仿宋_GB2312" w:eastAsia="仿宋_GB2312"/>
          <w:sz w:val="30"/>
          <w:szCs w:val="30"/>
          <w:highlight w:val="none"/>
          <w:lang w:val="en-US" w:eastAsia="zh-CN"/>
        </w:rPr>
        <w:t>午餐费用。</w:t>
      </w:r>
    </w:p>
    <w:p>
      <w:pPr>
        <w:widowControl/>
        <w:snapToGrid w:val="0"/>
        <w:spacing w:before="100" w:after="100" w:line="600" w:lineRule="exact"/>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三、一般公共预算财政拨款支出决算情况说明</w:t>
      </w:r>
    </w:p>
    <w:p>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（一）一般公共预算财政拨款支出决算总体情况</w:t>
      </w:r>
    </w:p>
    <w:p>
      <w:pPr>
        <w:widowControl/>
        <w:snapToGrid w:val="0"/>
        <w:spacing w:before="100" w:after="100" w:line="600" w:lineRule="exact"/>
        <w:ind w:firstLine="600" w:firstLineChars="200"/>
        <w:jc w:val="left"/>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sz w:val="30"/>
          <w:lang w:val="zh-CN"/>
        </w:rPr>
        <w:t>富民县永定小学</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一般公共预算财政拨款支出</w:t>
      </w:r>
      <w:r>
        <w:rPr>
          <w:rFonts w:hint="eastAsia" w:ascii="仿宋_GB2312" w:hAnsi="仿宋_GB2312" w:eastAsia="仿宋_GB2312" w:cs="仿宋_GB2312"/>
          <w:color w:val="auto"/>
          <w:kern w:val="0"/>
          <w:sz w:val="30"/>
          <w:lang w:val="zh-CN"/>
        </w:rPr>
        <w:t>30877696.78</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,占本年支出合计的</w:t>
      </w:r>
      <w:r>
        <w:rPr>
          <w:rFonts w:hint="eastAsia" w:ascii="仿宋_GB2312" w:hAnsi="仿宋_GB2312" w:eastAsia="仿宋_GB2312" w:cs="仿宋_GB2312"/>
          <w:color w:val="auto"/>
          <w:sz w:val="30"/>
          <w:lang w:val="zh-CN"/>
        </w:rPr>
        <w:t>92.45</w:t>
      </w:r>
      <w:r>
        <w:rPr>
          <w:rFonts w:hint="eastAsia" w:ascii="仿宋_GB2312" w:hAnsi="宋体" w:eastAsia="仿宋_GB2312" w:cs="Arial"/>
          <w:kern w:val="0"/>
          <w:sz w:val="30"/>
          <w:szCs w:val="30"/>
          <w:highlight w:val="none"/>
        </w:rPr>
        <w:t>%。与上年</w:t>
      </w:r>
      <w:r>
        <w:rPr>
          <w:rFonts w:hint="eastAsia" w:ascii="仿宋_GB2312" w:hAnsi="宋体" w:eastAsia="仿宋_GB2312" w:cs="Arial"/>
          <w:kern w:val="0"/>
          <w:sz w:val="30"/>
          <w:szCs w:val="30"/>
          <w:highlight w:val="none"/>
          <w:lang w:eastAsia="zh-CN"/>
        </w:rPr>
        <w:t>相比</w:t>
      </w:r>
      <w:r>
        <w:rPr>
          <w:rFonts w:hint="eastAsia" w:ascii="仿宋_GB2312" w:hAnsi="宋体" w:eastAsia="仿宋_GB2312" w:cs="Arial"/>
          <w:kern w:val="0"/>
          <w:sz w:val="30"/>
          <w:szCs w:val="30"/>
          <w:highlight w:val="none"/>
        </w:rPr>
        <w:t>减少</w:t>
      </w:r>
      <w:r>
        <w:rPr>
          <w:rFonts w:hint="eastAsia" w:ascii="仿宋_GB2312" w:hAnsi="仿宋_GB2312" w:eastAsia="仿宋_GB2312" w:cs="仿宋_GB2312"/>
          <w:color w:val="auto"/>
          <w:kern w:val="0"/>
          <w:sz w:val="30"/>
          <w:lang w:val="zh-CN"/>
        </w:rPr>
        <w:t>2240.97</w:t>
      </w:r>
      <w:r>
        <w:rPr>
          <w:rFonts w:hint="eastAsia" w:ascii="仿宋_GB2312" w:hAnsi="宋体" w:eastAsia="仿宋_GB2312" w:cs="Arial"/>
          <w:kern w:val="0"/>
          <w:sz w:val="30"/>
          <w:szCs w:val="30"/>
          <w:highlight w:val="none"/>
        </w:rPr>
        <w:t>元，下降</w:t>
      </w:r>
      <w:r>
        <w:rPr>
          <w:rFonts w:hint="eastAsia" w:ascii="仿宋_GB2312" w:hAnsi="仿宋_GB2312" w:eastAsia="仿宋_GB2312" w:cs="仿宋_GB2312"/>
          <w:color w:val="auto"/>
          <w:kern w:val="0"/>
          <w:sz w:val="30"/>
          <w:lang w:val="zh-CN"/>
        </w:rPr>
        <w:t>0.01</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sz w:val="30"/>
          <w:lang w:val="zh-CN"/>
        </w:rPr>
        <w:t>133.05</w:t>
      </w:r>
      <w:r>
        <w:rPr>
          <w:rFonts w:hint="eastAsia" w:ascii="仿宋_GB2312" w:eastAsia="仿宋_GB2312"/>
          <w:sz w:val="30"/>
          <w:szCs w:val="30"/>
          <w:highlight w:val="none"/>
          <w:lang w:val="en-US" w:eastAsia="zh-CN"/>
        </w:rPr>
        <w:t>%</w:t>
      </w:r>
      <w:r>
        <w:rPr>
          <w:rFonts w:hint="eastAsia" w:ascii="仿宋_GB2312" w:hAnsi="宋体" w:eastAsia="仿宋_GB2312" w:cs="Arial"/>
          <w:kern w:val="0"/>
          <w:sz w:val="30"/>
          <w:szCs w:val="30"/>
          <w:highlight w:val="none"/>
        </w:rPr>
        <w:t>。</w:t>
      </w:r>
    </w:p>
    <w:p>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（二）一般公共预算财政拨款支出决算</w:t>
      </w:r>
      <w:r>
        <w:rPr>
          <w:rFonts w:hint="eastAsia" w:ascii="楷体" w:hAnsi="楷体" w:eastAsia="楷体"/>
          <w:sz w:val="30"/>
          <w:szCs w:val="30"/>
          <w:highlight w:val="none"/>
          <w:lang w:eastAsia="zh-CN"/>
        </w:rPr>
        <w:t>分功能分类科目情况</w:t>
      </w:r>
      <w:r>
        <w:rPr>
          <w:rFonts w:hint="eastAsia" w:ascii="楷体" w:hAnsi="楷体" w:eastAsia="楷体"/>
          <w:sz w:val="30"/>
          <w:szCs w:val="30"/>
          <w:highlight w:val="none"/>
        </w:rPr>
        <w:tab/>
      </w:r>
    </w:p>
    <w:p>
      <w:pPr>
        <w:widowControl/>
        <w:snapToGrid w:val="0"/>
        <w:spacing w:before="100" w:after="100" w:line="360" w:lineRule="auto"/>
        <w:ind w:firstLine="600" w:firstLineChars="200"/>
        <w:jc w:val="left"/>
        <w:rPr>
          <w:rFonts w:hint="eastAsia" w:ascii="仿宋_GB2312" w:eastAsia="仿宋_GB2312"/>
          <w:sz w:val="30"/>
          <w:szCs w:val="30"/>
          <w:highlight w:val="none"/>
          <w:lang w:eastAsia="zh-CN"/>
        </w:rPr>
      </w:pPr>
      <w:r>
        <w:rPr>
          <w:rFonts w:hint="eastAsia" w:ascii="仿宋_GB2312" w:hAnsi="宋体" w:eastAsia="仿宋_GB2312" w:cs="Arial"/>
          <w:kern w:val="0"/>
          <w:sz w:val="30"/>
          <w:szCs w:val="30"/>
          <w:highlight w:val="none"/>
        </w:rPr>
        <w:t>1.一般公共服务（类）支出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w:t>
      </w:r>
      <w:r>
        <w:rPr>
          <w:rFonts w:hint="eastAsia" w:ascii="仿宋_GB2312" w:eastAsia="仿宋_GB2312"/>
          <w:sz w:val="30"/>
          <w:szCs w:val="30"/>
          <w:highlight w:val="none"/>
          <w:lang w:val="en-US" w:eastAsia="zh-CN"/>
        </w:rPr>
        <w:t>无此</w:t>
      </w:r>
      <w:r>
        <w:rPr>
          <w:rFonts w:hint="eastAsia" w:ascii="仿宋_GB2312" w:eastAsia="仿宋_GB2312"/>
          <w:sz w:val="30"/>
          <w:szCs w:val="30"/>
          <w:highlight w:val="none"/>
          <w:lang w:eastAsia="zh-CN"/>
        </w:rPr>
        <w:t>预算。</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2.外交（类）支出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w:t>
      </w:r>
      <w:r>
        <w:rPr>
          <w:rFonts w:hint="eastAsia" w:ascii="仿宋_GB2312" w:eastAsia="仿宋_GB2312"/>
          <w:sz w:val="30"/>
          <w:szCs w:val="30"/>
          <w:highlight w:val="none"/>
          <w:lang w:val="en-US" w:eastAsia="zh-CN"/>
        </w:rPr>
        <w:t>无此</w:t>
      </w:r>
      <w:r>
        <w:rPr>
          <w:rFonts w:hint="eastAsia" w:ascii="仿宋_GB2312" w:eastAsia="仿宋_GB2312"/>
          <w:sz w:val="30"/>
          <w:szCs w:val="30"/>
          <w:highlight w:val="none"/>
          <w:lang w:eastAsia="zh-CN"/>
        </w:rPr>
        <w:t>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3.国防（类）支出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w:t>
      </w:r>
      <w:r>
        <w:rPr>
          <w:rFonts w:hint="eastAsia" w:ascii="仿宋_GB2312" w:eastAsia="仿宋_GB2312"/>
          <w:sz w:val="30"/>
          <w:szCs w:val="30"/>
          <w:highlight w:val="none"/>
          <w:lang w:val="en-US" w:eastAsia="zh-CN"/>
        </w:rPr>
        <w:t>无此</w:t>
      </w:r>
      <w:r>
        <w:rPr>
          <w:rFonts w:hint="eastAsia" w:ascii="仿宋_GB2312" w:eastAsia="仿宋_GB2312"/>
          <w:sz w:val="30"/>
          <w:szCs w:val="30"/>
          <w:highlight w:val="none"/>
          <w:lang w:eastAsia="zh-CN"/>
        </w:rPr>
        <w:t>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rPr>
        <w:t>4.公共安全（类）支出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w:t>
      </w:r>
      <w:r>
        <w:rPr>
          <w:rFonts w:hint="eastAsia" w:ascii="仿宋_GB2312" w:eastAsia="仿宋_GB2312"/>
          <w:sz w:val="30"/>
          <w:szCs w:val="30"/>
          <w:highlight w:val="none"/>
          <w:lang w:val="en-US" w:eastAsia="zh-CN"/>
        </w:rPr>
        <w:t>无此</w:t>
      </w:r>
      <w:r>
        <w:rPr>
          <w:rFonts w:hint="eastAsia" w:ascii="仿宋_GB2312" w:eastAsia="仿宋_GB2312"/>
          <w:sz w:val="30"/>
          <w:szCs w:val="30"/>
          <w:highlight w:val="none"/>
          <w:lang w:eastAsia="zh-CN"/>
        </w:rPr>
        <w:t>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5.教育（类）支出</w:t>
      </w:r>
      <w:r>
        <w:rPr>
          <w:rFonts w:hint="eastAsia" w:ascii="仿宋_GB2312" w:hAnsi="仿宋_GB2312" w:eastAsia="仿宋_GB2312" w:cs="仿宋_GB2312"/>
          <w:color w:val="auto"/>
          <w:kern w:val="0"/>
          <w:sz w:val="30"/>
          <w:lang w:val="en-US" w:eastAsia="zh-CN"/>
        </w:rPr>
        <w:t>24083681.11</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78.00</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148.01</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rPr>
        <w:t>主要用于</w:t>
      </w:r>
      <w:r>
        <w:rPr>
          <w:rFonts w:hint="eastAsia" w:ascii="仿宋_GB2312" w:eastAsia="仿宋_GB2312"/>
          <w:sz w:val="30"/>
          <w:szCs w:val="30"/>
          <w:highlight w:val="none"/>
          <w:lang w:val="en-US" w:eastAsia="zh-CN"/>
        </w:rPr>
        <w:t>小学教育支出18680551.11元，其他普通教育支出1210.00元，特殊教育支出1920.00元，农村中小学校舍建设支出5400000.00元</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造成预决算差异的主要原因：</w:t>
      </w:r>
      <w:r>
        <w:rPr>
          <w:rFonts w:hint="eastAsia" w:ascii="仿宋_GB2312" w:hAnsi="宋体" w:eastAsia="仿宋_GB2312" w:cs="宋体"/>
          <w:color w:val="000000"/>
          <w:kern w:val="0"/>
          <w:sz w:val="30"/>
          <w:szCs w:val="30"/>
        </w:rPr>
        <w:t>一是因年内在职人员调</w:t>
      </w:r>
      <w:r>
        <w:rPr>
          <w:rFonts w:hint="eastAsia" w:ascii="仿宋_GB2312" w:hAnsi="宋体" w:eastAsia="仿宋_GB2312" w:cs="宋体"/>
          <w:color w:val="000000"/>
          <w:kern w:val="0"/>
          <w:sz w:val="30"/>
          <w:szCs w:val="30"/>
          <w:lang w:val="en-US" w:eastAsia="zh-CN"/>
        </w:rPr>
        <w:t>入</w:t>
      </w:r>
      <w:r>
        <w:rPr>
          <w:rFonts w:hint="eastAsia" w:ascii="仿宋_GB2312" w:hAnsi="宋体" w:eastAsia="仿宋_GB2312" w:cs="宋体"/>
          <w:color w:val="000000"/>
          <w:kern w:val="0"/>
          <w:sz w:val="30"/>
          <w:szCs w:val="30"/>
        </w:rPr>
        <w:t>、退休，工资福利支出</w:t>
      </w:r>
      <w:r>
        <w:rPr>
          <w:rFonts w:hint="eastAsia" w:ascii="仿宋_GB2312" w:hAnsi="宋体" w:eastAsia="仿宋_GB2312" w:cs="宋体"/>
          <w:color w:val="000000"/>
          <w:kern w:val="0"/>
          <w:sz w:val="30"/>
          <w:szCs w:val="30"/>
          <w:lang w:val="en-US" w:eastAsia="zh-CN"/>
        </w:rPr>
        <w:t>变动；</w:t>
      </w:r>
      <w:r>
        <w:rPr>
          <w:rFonts w:hint="eastAsia" w:ascii="仿宋_GB2312" w:hAnsi="宋体" w:eastAsia="仿宋_GB2312" w:cs="宋体"/>
          <w:color w:val="000000"/>
          <w:kern w:val="0"/>
          <w:sz w:val="30"/>
          <w:szCs w:val="30"/>
        </w:rPr>
        <w:t>二是项目支出的义务教育公用经费、营养改善计划补助和家庭经济困难学生补助</w:t>
      </w:r>
      <w:r>
        <w:rPr>
          <w:rFonts w:hint="eastAsia" w:ascii="仿宋_GB2312" w:hAnsi="宋体" w:eastAsia="仿宋_GB2312" w:cs="宋体"/>
          <w:color w:val="000000"/>
          <w:kern w:val="0"/>
          <w:sz w:val="30"/>
          <w:szCs w:val="30"/>
          <w:lang w:eastAsia="zh-CN"/>
        </w:rPr>
        <w:t>、</w:t>
      </w:r>
      <w:r>
        <w:rPr>
          <w:rFonts w:hint="eastAsia" w:ascii="仿宋_GB2312" w:eastAsia="仿宋_GB2312"/>
          <w:sz w:val="30"/>
          <w:szCs w:val="30"/>
          <w:highlight w:val="none"/>
          <w:lang w:val="en-US" w:eastAsia="zh-CN"/>
        </w:rPr>
        <w:t>农村中小学校舍建设</w:t>
      </w:r>
      <w:r>
        <w:rPr>
          <w:rFonts w:hint="eastAsia" w:ascii="仿宋_GB2312" w:hAnsi="宋体" w:eastAsia="仿宋_GB2312" w:cs="宋体"/>
          <w:color w:val="000000"/>
          <w:kern w:val="0"/>
          <w:sz w:val="30"/>
          <w:szCs w:val="30"/>
        </w:rPr>
        <w:t>未纳入年初预算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6.科学技术（类）支出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w:t>
      </w:r>
      <w:r>
        <w:rPr>
          <w:rFonts w:hint="eastAsia" w:ascii="仿宋_GB2312" w:eastAsia="仿宋_GB2312"/>
          <w:sz w:val="30"/>
          <w:szCs w:val="30"/>
          <w:highlight w:val="none"/>
          <w:lang w:val="en-US" w:eastAsia="zh-CN"/>
        </w:rPr>
        <w:t>无此</w:t>
      </w:r>
      <w:r>
        <w:rPr>
          <w:rFonts w:hint="eastAsia" w:ascii="仿宋_GB2312" w:eastAsia="仿宋_GB2312"/>
          <w:sz w:val="30"/>
          <w:szCs w:val="30"/>
          <w:highlight w:val="none"/>
          <w:lang w:eastAsia="zh-CN"/>
        </w:rPr>
        <w:t>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7.文化旅游体育与传媒（类）支出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w:t>
      </w:r>
      <w:r>
        <w:rPr>
          <w:rFonts w:hint="eastAsia" w:ascii="仿宋_GB2312" w:eastAsia="仿宋_GB2312"/>
          <w:sz w:val="30"/>
          <w:szCs w:val="30"/>
          <w:highlight w:val="none"/>
          <w:lang w:val="en-US" w:eastAsia="zh-CN"/>
        </w:rPr>
        <w:t>无此</w:t>
      </w:r>
      <w:r>
        <w:rPr>
          <w:rFonts w:hint="eastAsia" w:ascii="仿宋_GB2312" w:eastAsia="仿宋_GB2312"/>
          <w:sz w:val="30"/>
          <w:szCs w:val="30"/>
          <w:highlight w:val="none"/>
          <w:lang w:eastAsia="zh-CN"/>
        </w:rPr>
        <w:t>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仿宋_GB2312" w:eastAsia="仿宋_GB2312" w:cs="仿宋_GB2312"/>
          <w:kern w:val="0"/>
          <w:sz w:val="30"/>
          <w:szCs w:val="30"/>
          <w:highlight w:val="none"/>
          <w:lang w:eastAsia="zh-CN"/>
        </w:rPr>
      </w:pPr>
      <w:r>
        <w:rPr>
          <w:rFonts w:hint="eastAsia" w:ascii="仿宋_GB2312" w:hAnsi="仿宋_GB2312" w:eastAsia="仿宋_GB2312" w:cs="仿宋_GB2312"/>
          <w:color w:val="auto"/>
          <w:kern w:val="0"/>
          <w:sz w:val="30"/>
          <w:lang w:val="en-US"/>
        </w:rPr>
        <w:t>8.社会保障和就业（类）支出</w:t>
      </w:r>
      <w:r>
        <w:rPr>
          <w:rFonts w:hint="eastAsia" w:ascii="仿宋_GB2312" w:hAnsi="仿宋_GB2312" w:eastAsia="仿宋_GB2312" w:cs="仿宋_GB2312"/>
          <w:color w:val="auto"/>
          <w:kern w:val="0"/>
          <w:sz w:val="30"/>
          <w:lang w:val="en-US" w:eastAsia="zh-CN"/>
        </w:rPr>
        <w:t>2890580.15</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9.36</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103.31</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rPr>
        <w:t>主</w:t>
      </w:r>
      <w:r>
        <w:rPr>
          <w:rFonts w:hint="eastAsia" w:ascii="仿宋_GB2312" w:hAnsi="仿宋_GB2312" w:eastAsia="仿宋_GB2312" w:cs="仿宋_GB2312"/>
          <w:kern w:val="0"/>
          <w:sz w:val="30"/>
          <w:szCs w:val="30"/>
          <w:highlight w:val="none"/>
        </w:rPr>
        <w:t>要用于</w:t>
      </w:r>
      <w:r>
        <w:rPr>
          <w:rFonts w:hint="eastAsia" w:ascii="仿宋_GB2312" w:hAnsi="仿宋_GB2312" w:eastAsia="仿宋_GB2312" w:cs="仿宋_GB2312"/>
          <w:color w:val="auto"/>
          <w:sz w:val="30"/>
          <w:szCs w:val="30"/>
          <w:lang w:val="zh-CN"/>
        </w:rPr>
        <w:t>本单位</w:t>
      </w:r>
      <w:r>
        <w:rPr>
          <w:rFonts w:hint="eastAsia" w:ascii="仿宋_GB2312" w:hAnsi="仿宋_GB2312" w:eastAsia="仿宋_GB2312" w:cs="仿宋_GB2312"/>
          <w:color w:val="auto"/>
          <w:sz w:val="30"/>
        </w:rPr>
        <w:t>职工</w:t>
      </w:r>
      <w:r>
        <w:rPr>
          <w:rFonts w:hint="eastAsia" w:ascii="仿宋_GB2312" w:hAnsi="仿宋_GB2312" w:eastAsia="仿宋_GB2312" w:cs="仿宋_GB2312"/>
          <w:color w:val="auto"/>
          <w:sz w:val="30"/>
          <w:szCs w:val="30"/>
          <w:lang w:val="zh-CN"/>
        </w:rPr>
        <w:t>基本养老保险</w:t>
      </w:r>
      <w:r>
        <w:rPr>
          <w:rFonts w:hint="eastAsia" w:ascii="仿宋_GB2312" w:hAnsi="仿宋_GB2312" w:eastAsia="仿宋_GB2312" w:cs="仿宋_GB2312"/>
          <w:color w:val="auto"/>
          <w:sz w:val="30"/>
          <w:szCs w:val="30"/>
          <w:lang w:val="en-US" w:eastAsia="zh-CN"/>
        </w:rPr>
        <w:t>缴纳支出2266317.74元、职业年金支出442533.01元、死亡抚恤支出181729.40元</w:t>
      </w:r>
      <w:r>
        <w:rPr>
          <w:rFonts w:hint="eastAsia" w:ascii="仿宋_GB2312" w:hAnsi="仿宋_GB2312" w:eastAsia="仿宋_GB2312" w:cs="仿宋_GB2312"/>
          <w:kern w:val="0"/>
          <w:sz w:val="30"/>
          <w:szCs w:val="30"/>
          <w:highlight w:val="none"/>
        </w:rPr>
        <w:t>；</w:t>
      </w:r>
      <w:r>
        <w:rPr>
          <w:rFonts w:hint="eastAsia" w:ascii="仿宋_GB2312" w:hAnsi="仿宋_GB2312" w:eastAsia="仿宋_GB2312" w:cs="仿宋_GB2312"/>
          <w:kern w:val="0"/>
          <w:sz w:val="30"/>
          <w:szCs w:val="30"/>
          <w:highlight w:val="none"/>
          <w:lang w:eastAsia="zh-CN"/>
        </w:rPr>
        <w:t>造成预决算差异的主要原因是</w:t>
      </w:r>
      <w:r>
        <w:rPr>
          <w:rFonts w:hint="eastAsia" w:ascii="仿宋_GB2312" w:hAnsi="仿宋_GB2312" w:eastAsia="仿宋_GB2312" w:cs="仿宋_GB2312"/>
          <w:kern w:val="0"/>
          <w:sz w:val="30"/>
          <w:szCs w:val="30"/>
          <w:highlight w:val="none"/>
          <w:lang w:val="en-US" w:eastAsia="zh-CN"/>
        </w:rPr>
        <w:t>本年度</w:t>
      </w:r>
      <w:r>
        <w:rPr>
          <w:rFonts w:hint="eastAsia" w:ascii="仿宋_GB2312" w:hAnsi="仿宋_GB2312" w:eastAsia="仿宋_GB2312" w:cs="仿宋_GB2312"/>
          <w:color w:val="000000"/>
          <w:kern w:val="0"/>
          <w:sz w:val="30"/>
          <w:szCs w:val="30"/>
        </w:rPr>
        <w:t>内在职人员调</w:t>
      </w:r>
      <w:r>
        <w:rPr>
          <w:rFonts w:hint="eastAsia" w:ascii="仿宋_GB2312" w:hAnsi="仿宋_GB2312" w:eastAsia="仿宋_GB2312" w:cs="仿宋_GB2312"/>
          <w:color w:val="000000"/>
          <w:kern w:val="0"/>
          <w:sz w:val="30"/>
          <w:szCs w:val="30"/>
          <w:lang w:val="en-US" w:eastAsia="zh-CN"/>
        </w:rPr>
        <w:t>入</w:t>
      </w:r>
      <w:r>
        <w:rPr>
          <w:rFonts w:hint="eastAsia" w:ascii="仿宋_GB2312" w:hAnsi="仿宋_GB2312" w:eastAsia="仿宋_GB2312" w:cs="仿宋_GB2312"/>
          <w:color w:val="000000"/>
          <w:kern w:val="0"/>
          <w:sz w:val="30"/>
          <w:szCs w:val="30"/>
        </w:rPr>
        <w:t>、退休，</w:t>
      </w:r>
      <w:r>
        <w:rPr>
          <w:rFonts w:hint="eastAsia" w:ascii="仿宋_GB2312" w:hAnsi="仿宋_GB2312" w:eastAsia="仿宋_GB2312" w:cs="仿宋_GB2312"/>
          <w:color w:val="auto"/>
          <w:sz w:val="30"/>
          <w:szCs w:val="30"/>
          <w:lang w:val="zh-CN"/>
        </w:rPr>
        <w:t>基本养老保险</w:t>
      </w:r>
      <w:r>
        <w:rPr>
          <w:rFonts w:hint="eastAsia" w:ascii="仿宋_GB2312" w:hAnsi="仿宋_GB2312" w:eastAsia="仿宋_GB2312" w:cs="仿宋_GB2312"/>
          <w:color w:val="auto"/>
          <w:sz w:val="30"/>
          <w:szCs w:val="30"/>
          <w:lang w:val="en-US" w:eastAsia="zh-CN"/>
        </w:rPr>
        <w:t>缴纳支出、职业年金支出、死亡抚恤支出增加</w:t>
      </w:r>
      <w:r>
        <w:rPr>
          <w:rFonts w:hint="eastAsia" w:ascii="仿宋_GB2312" w:hAnsi="仿宋_GB2312" w:eastAsia="仿宋_GB2312" w:cs="仿宋_GB2312"/>
          <w:kern w:val="0"/>
          <w:sz w:val="30"/>
          <w:szCs w:val="30"/>
          <w:highlight w:val="none"/>
          <w:lang w:val="en-US" w:eastAsia="zh-CN"/>
        </w:rPr>
        <w:t>。</w:t>
      </w:r>
    </w:p>
    <w:p>
      <w:pPr>
        <w:widowControl/>
        <w:snapToGrid w:val="0"/>
        <w:spacing w:before="100" w:after="100" w:line="360" w:lineRule="auto"/>
        <w:ind w:firstLine="600" w:firstLineChars="200"/>
        <w:jc w:val="left"/>
        <w:rPr>
          <w:rFonts w:hint="eastAsia" w:ascii="仿宋_GB2312" w:hAnsi="仿宋_GB2312" w:eastAsia="仿宋_GB2312" w:cs="仿宋_GB2312"/>
          <w:kern w:val="0"/>
          <w:sz w:val="30"/>
          <w:szCs w:val="30"/>
          <w:highlight w:val="none"/>
          <w:lang w:eastAsia="zh-CN"/>
        </w:rPr>
      </w:pPr>
      <w:r>
        <w:rPr>
          <w:rFonts w:hint="eastAsia" w:ascii="仿宋_GB2312" w:hAnsi="仿宋_GB2312" w:eastAsia="仿宋_GB2312" w:cs="仿宋_GB2312"/>
          <w:color w:val="auto"/>
          <w:kern w:val="0"/>
          <w:sz w:val="30"/>
          <w:lang w:val="en-US"/>
        </w:rPr>
        <w:t>9.卫生健康（类）支出</w:t>
      </w:r>
      <w:r>
        <w:rPr>
          <w:rFonts w:hint="eastAsia" w:ascii="仿宋_GB2312" w:hAnsi="仿宋_GB2312" w:eastAsia="仿宋_GB2312" w:cs="仿宋_GB2312"/>
          <w:color w:val="auto"/>
          <w:kern w:val="0"/>
          <w:sz w:val="30"/>
          <w:lang w:val="zh-CN"/>
        </w:rPr>
        <w:t>2224904.52</w:t>
      </w:r>
      <w:r>
        <w:rPr>
          <w:rFonts w:hint="eastAsia" w:ascii="仿宋_GB2312" w:hAnsi="仿宋_GB2312" w:eastAsia="仿宋_GB2312" w:cs="仿宋_GB2312"/>
          <w:kern w:val="0"/>
          <w:sz w:val="30"/>
          <w:szCs w:val="30"/>
          <w:highlight w:val="none"/>
          <w:lang w:eastAsia="zh-CN"/>
        </w:rPr>
        <w:t>元</w:t>
      </w:r>
      <w:r>
        <w:rPr>
          <w:rFonts w:hint="eastAsia" w:ascii="仿宋_GB2312" w:hAnsi="仿宋_GB2312" w:eastAsia="仿宋_GB2312" w:cs="仿宋_GB2312"/>
          <w:kern w:val="0"/>
          <w:sz w:val="30"/>
          <w:szCs w:val="30"/>
          <w:highlight w:val="none"/>
        </w:rPr>
        <w:t>，</w:t>
      </w:r>
      <w:r>
        <w:rPr>
          <w:rFonts w:hint="eastAsia" w:ascii="仿宋_GB2312" w:hAnsi="仿宋_GB2312" w:eastAsia="仿宋_GB2312" w:cs="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7.21</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99.52</w:t>
      </w:r>
      <w:r>
        <w:rPr>
          <w:rFonts w:hint="eastAsia" w:ascii="仿宋_GB2312" w:hAnsi="仿宋_GB2312" w:eastAsia="仿宋_GB2312" w:cs="仿宋_GB2312"/>
          <w:sz w:val="30"/>
          <w:szCs w:val="30"/>
          <w:highlight w:val="none"/>
          <w:lang w:val="en-US" w:eastAsia="zh-CN"/>
        </w:rPr>
        <w:t>%</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kern w:val="0"/>
          <w:sz w:val="30"/>
          <w:szCs w:val="30"/>
          <w:highlight w:val="none"/>
        </w:rPr>
        <w:t>主要用于</w:t>
      </w:r>
      <w:r>
        <w:rPr>
          <w:rFonts w:hint="eastAsia" w:ascii="仿宋_GB2312" w:hAnsi="仿宋_GB2312" w:eastAsia="仿宋_GB2312" w:cs="仿宋_GB2312"/>
          <w:color w:val="auto"/>
          <w:sz w:val="30"/>
        </w:rPr>
        <w:t>本单位职工医疗保险</w:t>
      </w:r>
      <w:r>
        <w:rPr>
          <w:rFonts w:hint="eastAsia" w:ascii="仿宋_GB2312" w:hAnsi="仿宋_GB2312" w:eastAsia="仿宋_GB2312" w:cs="仿宋_GB2312"/>
          <w:color w:val="auto"/>
          <w:sz w:val="30"/>
          <w:lang w:val="en-US" w:eastAsia="zh-CN"/>
        </w:rPr>
        <w:t>支出1119052.65元，</w:t>
      </w:r>
      <w:r>
        <w:rPr>
          <w:rFonts w:hint="eastAsia" w:ascii="仿宋_GB2312" w:hAnsi="仿宋_GB2312" w:eastAsia="仿宋_GB2312" w:cs="仿宋_GB2312"/>
          <w:color w:val="auto"/>
          <w:sz w:val="30"/>
        </w:rPr>
        <w:t>公务员</w:t>
      </w:r>
      <w:r>
        <w:rPr>
          <w:rFonts w:hint="eastAsia" w:ascii="仿宋_GB2312" w:hAnsi="仿宋_GB2312" w:eastAsia="仿宋_GB2312" w:cs="仿宋_GB2312"/>
          <w:color w:val="auto"/>
          <w:sz w:val="30"/>
          <w:lang w:val="en-US" w:eastAsia="zh-CN"/>
        </w:rPr>
        <w:t>医疗补助</w:t>
      </w:r>
      <w:r>
        <w:rPr>
          <w:rFonts w:hint="eastAsia" w:ascii="仿宋_GB2312" w:hAnsi="仿宋_GB2312" w:eastAsia="仿宋_GB2312" w:cs="仿宋_GB2312"/>
          <w:color w:val="auto"/>
          <w:sz w:val="30"/>
        </w:rPr>
        <w:t>支出956077.65</w:t>
      </w:r>
      <w:r>
        <w:rPr>
          <w:rFonts w:hint="eastAsia" w:ascii="仿宋_GB2312" w:hAnsi="仿宋_GB2312" w:eastAsia="仿宋_GB2312" w:cs="仿宋_GB2312"/>
          <w:color w:val="auto"/>
          <w:sz w:val="30"/>
          <w:lang w:val="en-US" w:eastAsia="zh-CN"/>
        </w:rPr>
        <w:t>元，其他行政事业单位医疗支出149774.22元</w:t>
      </w:r>
      <w:r>
        <w:rPr>
          <w:rFonts w:hint="eastAsia" w:ascii="仿宋_GB2312" w:hAnsi="仿宋_GB2312" w:eastAsia="仿宋_GB2312" w:cs="仿宋_GB2312"/>
          <w:kern w:val="0"/>
          <w:sz w:val="30"/>
          <w:szCs w:val="30"/>
          <w:highlight w:val="none"/>
        </w:rPr>
        <w:t>；</w:t>
      </w:r>
      <w:r>
        <w:rPr>
          <w:rFonts w:hint="eastAsia" w:ascii="仿宋_GB2312" w:hAnsi="仿宋_GB2312" w:eastAsia="仿宋_GB2312" w:cs="仿宋_GB2312"/>
          <w:kern w:val="0"/>
          <w:sz w:val="30"/>
          <w:szCs w:val="30"/>
          <w:highlight w:val="none"/>
          <w:lang w:eastAsia="zh-CN"/>
        </w:rPr>
        <w:t>造成预决算差异的主要原因是</w:t>
      </w:r>
      <w:r>
        <w:rPr>
          <w:rFonts w:hint="eastAsia" w:ascii="仿宋_GB2312" w:hAnsi="仿宋_GB2312" w:eastAsia="仿宋_GB2312" w:cs="仿宋_GB2312"/>
          <w:color w:val="000000"/>
          <w:kern w:val="0"/>
          <w:sz w:val="30"/>
          <w:szCs w:val="30"/>
        </w:rPr>
        <w:t>因年内在职人员调出、退休，医疗保险缴费减少</w:t>
      </w:r>
      <w:r>
        <w:rPr>
          <w:rFonts w:hint="eastAsia" w:ascii="仿宋_GB2312" w:hAnsi="仿宋_GB2312" w:eastAsia="仿宋_GB2312" w:cs="仿宋_GB2312"/>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仿宋_GB2312" w:eastAsia="仿宋_GB2312" w:cs="仿宋_GB2312"/>
          <w:kern w:val="0"/>
          <w:sz w:val="30"/>
          <w:szCs w:val="30"/>
          <w:highlight w:val="none"/>
          <w:lang w:eastAsia="zh-CN"/>
        </w:rPr>
      </w:pPr>
      <w:r>
        <w:rPr>
          <w:rFonts w:hint="eastAsia" w:ascii="仿宋_GB2312" w:hAnsi="仿宋_GB2312" w:eastAsia="仿宋_GB2312" w:cs="仿宋_GB2312"/>
          <w:color w:val="auto"/>
          <w:kern w:val="0"/>
          <w:sz w:val="30"/>
          <w:lang w:val="en-US"/>
        </w:rPr>
        <w:t>10.节能环保（类）支出</w:t>
      </w:r>
      <w:r>
        <w:rPr>
          <w:rFonts w:hint="eastAsia" w:ascii="仿宋_GB2312" w:hAnsi="仿宋_GB2312" w:eastAsia="仿宋_GB2312" w:cs="仿宋_GB2312"/>
          <w:color w:val="auto"/>
          <w:kern w:val="0"/>
          <w:sz w:val="30"/>
          <w:lang w:val="zh-CN"/>
        </w:rPr>
        <w:t>0.00</w:t>
      </w:r>
      <w:r>
        <w:rPr>
          <w:rFonts w:hint="eastAsia" w:ascii="仿宋_GB2312" w:hAnsi="仿宋_GB2312" w:eastAsia="仿宋_GB2312" w:cs="仿宋_GB2312"/>
          <w:kern w:val="0"/>
          <w:sz w:val="30"/>
          <w:szCs w:val="30"/>
          <w:highlight w:val="none"/>
          <w:lang w:eastAsia="zh-CN"/>
        </w:rPr>
        <w:t>元</w:t>
      </w:r>
      <w:r>
        <w:rPr>
          <w:rFonts w:hint="eastAsia" w:ascii="仿宋_GB2312" w:hAnsi="仿宋_GB2312" w:eastAsia="仿宋_GB2312" w:cs="仿宋_GB2312"/>
          <w:kern w:val="0"/>
          <w:sz w:val="30"/>
          <w:szCs w:val="30"/>
          <w:highlight w:val="none"/>
        </w:rPr>
        <w:t>，</w:t>
      </w:r>
      <w:r>
        <w:rPr>
          <w:rFonts w:hint="eastAsia" w:ascii="仿宋_GB2312" w:hAnsi="仿宋_GB2312" w:eastAsia="仿宋_GB2312" w:cs="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eastAsia="zh-CN"/>
        </w:rPr>
        <w:t>年初</w:t>
      </w:r>
      <w:r>
        <w:rPr>
          <w:rFonts w:hint="eastAsia" w:ascii="仿宋_GB2312" w:hAnsi="仿宋_GB2312" w:eastAsia="仿宋_GB2312" w:cs="仿宋_GB2312"/>
          <w:sz w:val="30"/>
          <w:szCs w:val="30"/>
          <w:highlight w:val="none"/>
          <w:lang w:val="en-US" w:eastAsia="zh-CN"/>
        </w:rPr>
        <w:t>无此</w:t>
      </w:r>
      <w:r>
        <w:rPr>
          <w:rFonts w:hint="eastAsia" w:ascii="仿宋_GB2312" w:hAnsi="仿宋_GB2312" w:eastAsia="仿宋_GB2312" w:cs="仿宋_GB2312"/>
          <w:sz w:val="30"/>
          <w:szCs w:val="30"/>
          <w:highlight w:val="none"/>
          <w:lang w:eastAsia="zh-CN"/>
        </w:rPr>
        <w:t>预算</w:t>
      </w:r>
      <w:r>
        <w:rPr>
          <w:rFonts w:hint="eastAsia" w:ascii="仿宋_GB2312" w:hAnsi="仿宋_GB2312" w:eastAsia="仿宋_GB2312" w:cs="仿宋_GB2312"/>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11.城乡社区（类）支出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w:t>
      </w:r>
      <w:r>
        <w:rPr>
          <w:rFonts w:hint="eastAsia" w:ascii="仿宋_GB2312" w:eastAsia="仿宋_GB2312"/>
          <w:sz w:val="30"/>
          <w:szCs w:val="30"/>
          <w:highlight w:val="none"/>
          <w:lang w:val="en-US" w:eastAsia="zh-CN"/>
        </w:rPr>
        <w:t>无此</w:t>
      </w:r>
      <w:r>
        <w:rPr>
          <w:rFonts w:hint="eastAsia" w:ascii="仿宋_GB2312" w:eastAsia="仿宋_GB2312"/>
          <w:sz w:val="30"/>
          <w:szCs w:val="30"/>
          <w:highlight w:val="none"/>
          <w:lang w:eastAsia="zh-CN"/>
        </w:rPr>
        <w:t>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12.农林水（类）支出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w:t>
      </w:r>
      <w:r>
        <w:rPr>
          <w:rFonts w:hint="eastAsia" w:ascii="仿宋_GB2312" w:eastAsia="仿宋_GB2312"/>
          <w:sz w:val="30"/>
          <w:szCs w:val="30"/>
          <w:highlight w:val="none"/>
          <w:lang w:val="en-US" w:eastAsia="zh-CN"/>
        </w:rPr>
        <w:t>无此</w:t>
      </w:r>
      <w:r>
        <w:rPr>
          <w:rFonts w:hint="eastAsia" w:ascii="仿宋_GB2312" w:eastAsia="仿宋_GB2312"/>
          <w:sz w:val="30"/>
          <w:szCs w:val="30"/>
          <w:highlight w:val="none"/>
          <w:lang w:eastAsia="zh-CN"/>
        </w:rPr>
        <w:t>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13.交通运输（类）支出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w:t>
      </w:r>
      <w:r>
        <w:rPr>
          <w:rFonts w:hint="eastAsia" w:ascii="仿宋_GB2312" w:eastAsia="仿宋_GB2312"/>
          <w:sz w:val="30"/>
          <w:szCs w:val="30"/>
          <w:highlight w:val="none"/>
          <w:lang w:val="en-US" w:eastAsia="zh-CN"/>
        </w:rPr>
        <w:t>无此</w:t>
      </w:r>
      <w:r>
        <w:rPr>
          <w:rFonts w:hint="eastAsia" w:ascii="仿宋_GB2312" w:eastAsia="仿宋_GB2312"/>
          <w:sz w:val="30"/>
          <w:szCs w:val="30"/>
          <w:highlight w:val="none"/>
          <w:lang w:eastAsia="zh-CN"/>
        </w:rPr>
        <w:t>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14.资源勘探工业信息等（类）支出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w:t>
      </w:r>
      <w:r>
        <w:rPr>
          <w:rFonts w:hint="eastAsia" w:ascii="仿宋_GB2312" w:eastAsia="仿宋_GB2312"/>
          <w:sz w:val="30"/>
          <w:szCs w:val="30"/>
          <w:highlight w:val="none"/>
          <w:lang w:val="en-US" w:eastAsia="zh-CN"/>
        </w:rPr>
        <w:t>无此</w:t>
      </w:r>
      <w:r>
        <w:rPr>
          <w:rFonts w:hint="eastAsia" w:ascii="仿宋_GB2312" w:eastAsia="仿宋_GB2312"/>
          <w:sz w:val="30"/>
          <w:szCs w:val="30"/>
          <w:highlight w:val="none"/>
          <w:lang w:eastAsia="zh-CN"/>
        </w:rPr>
        <w:t>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15.商业服务业等（类）支出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w:t>
      </w:r>
      <w:r>
        <w:rPr>
          <w:rFonts w:hint="eastAsia" w:ascii="仿宋_GB2312" w:eastAsia="仿宋_GB2312"/>
          <w:sz w:val="30"/>
          <w:szCs w:val="30"/>
          <w:highlight w:val="none"/>
          <w:lang w:val="en-US" w:eastAsia="zh-CN"/>
        </w:rPr>
        <w:t>无此</w:t>
      </w:r>
      <w:r>
        <w:rPr>
          <w:rFonts w:hint="eastAsia" w:ascii="仿宋_GB2312" w:eastAsia="仿宋_GB2312"/>
          <w:sz w:val="30"/>
          <w:szCs w:val="30"/>
          <w:highlight w:val="none"/>
          <w:lang w:eastAsia="zh-CN"/>
        </w:rPr>
        <w:t>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16.金融（类）支出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w:t>
      </w:r>
      <w:r>
        <w:rPr>
          <w:rFonts w:hint="eastAsia" w:ascii="仿宋_GB2312" w:eastAsia="仿宋_GB2312"/>
          <w:sz w:val="30"/>
          <w:szCs w:val="30"/>
          <w:highlight w:val="none"/>
          <w:lang w:val="en-US" w:eastAsia="zh-CN"/>
        </w:rPr>
        <w:t>无此</w:t>
      </w:r>
      <w:r>
        <w:rPr>
          <w:rFonts w:hint="eastAsia" w:ascii="仿宋_GB2312" w:eastAsia="仿宋_GB2312"/>
          <w:sz w:val="30"/>
          <w:szCs w:val="30"/>
          <w:highlight w:val="none"/>
          <w:lang w:eastAsia="zh-CN"/>
        </w:rPr>
        <w:t>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17.援助其他地区（类）支出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w:t>
      </w:r>
      <w:r>
        <w:rPr>
          <w:rFonts w:hint="eastAsia" w:ascii="仿宋_GB2312" w:eastAsia="仿宋_GB2312"/>
          <w:sz w:val="30"/>
          <w:szCs w:val="30"/>
          <w:highlight w:val="none"/>
          <w:lang w:val="en-US" w:eastAsia="zh-CN"/>
        </w:rPr>
        <w:t>无此</w:t>
      </w:r>
      <w:r>
        <w:rPr>
          <w:rFonts w:hint="eastAsia" w:ascii="仿宋_GB2312" w:eastAsia="仿宋_GB2312"/>
          <w:sz w:val="30"/>
          <w:szCs w:val="30"/>
          <w:highlight w:val="none"/>
          <w:lang w:eastAsia="zh-CN"/>
        </w:rPr>
        <w:t>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18.自然资源海洋气象等（类）支出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w:t>
      </w:r>
      <w:r>
        <w:rPr>
          <w:rFonts w:hint="eastAsia" w:ascii="仿宋_GB2312" w:eastAsia="仿宋_GB2312"/>
          <w:sz w:val="30"/>
          <w:szCs w:val="30"/>
          <w:highlight w:val="none"/>
          <w:lang w:val="en-US" w:eastAsia="zh-CN"/>
        </w:rPr>
        <w:t>无此</w:t>
      </w:r>
      <w:r>
        <w:rPr>
          <w:rFonts w:hint="eastAsia" w:ascii="仿宋_GB2312" w:eastAsia="仿宋_GB2312"/>
          <w:sz w:val="30"/>
          <w:szCs w:val="30"/>
          <w:highlight w:val="none"/>
          <w:lang w:eastAsia="zh-CN"/>
        </w:rPr>
        <w:t>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19.住房保障（类）支出</w:t>
      </w:r>
      <w:r>
        <w:rPr>
          <w:rFonts w:hint="eastAsia" w:ascii="仿宋_GB2312" w:hAnsi="仿宋_GB2312" w:eastAsia="仿宋_GB2312" w:cs="仿宋_GB2312"/>
          <w:color w:val="auto"/>
          <w:kern w:val="0"/>
          <w:sz w:val="30"/>
          <w:lang w:val="zh-CN"/>
        </w:rPr>
        <w:t>1678531.00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5.44</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90.17</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rPr>
        <w:t>主要用</w:t>
      </w:r>
      <w:bookmarkStart w:id="0" w:name="_GoBack"/>
      <w:r>
        <w:rPr>
          <w:rFonts w:hint="eastAsia" w:ascii="仿宋_GB2312" w:hAnsi="仿宋_GB2312" w:eastAsia="仿宋_GB2312" w:cs="仿宋_GB2312"/>
          <w:kern w:val="0"/>
          <w:sz w:val="30"/>
          <w:szCs w:val="30"/>
          <w:highlight w:val="none"/>
        </w:rPr>
        <w:t>于</w:t>
      </w:r>
      <w:r>
        <w:rPr>
          <w:rFonts w:hint="eastAsia" w:ascii="仿宋_GB2312" w:hAnsi="仿宋_GB2312" w:eastAsia="仿宋_GB2312" w:cs="仿宋_GB2312"/>
          <w:color w:val="auto"/>
          <w:sz w:val="30"/>
        </w:rPr>
        <w:t>本单位职工住房公积金缴费支出</w:t>
      </w:r>
      <w:r>
        <w:rPr>
          <w:rFonts w:hint="eastAsia" w:ascii="仿宋_GB2312" w:hAnsi="仿宋_GB2312" w:eastAsia="仿宋_GB2312" w:cs="仿宋_GB2312"/>
          <w:kern w:val="0"/>
          <w:sz w:val="30"/>
          <w:szCs w:val="30"/>
          <w:highlight w:val="none"/>
        </w:rPr>
        <w:t>；</w:t>
      </w:r>
      <w:r>
        <w:rPr>
          <w:rFonts w:hint="eastAsia" w:ascii="仿宋_GB2312" w:hAnsi="仿宋_GB2312" w:eastAsia="仿宋_GB2312" w:cs="仿宋_GB2312"/>
          <w:kern w:val="0"/>
          <w:sz w:val="30"/>
          <w:szCs w:val="30"/>
          <w:highlight w:val="none"/>
          <w:lang w:eastAsia="zh-CN"/>
        </w:rPr>
        <w:t>造成预决算差异的主要原因</w:t>
      </w:r>
      <w:r>
        <w:rPr>
          <w:rFonts w:hint="eastAsia" w:ascii="仿宋_GB2312" w:hAnsi="仿宋_GB2312" w:eastAsia="仿宋_GB2312" w:cs="仿宋_GB2312"/>
          <w:kern w:val="0"/>
          <w:sz w:val="30"/>
          <w:szCs w:val="30"/>
          <w:highlight w:val="none"/>
          <w:lang w:val="en-US" w:eastAsia="zh-CN"/>
        </w:rPr>
        <w:t>是本年度</w:t>
      </w:r>
      <w:bookmarkEnd w:id="0"/>
      <w:r>
        <w:rPr>
          <w:rFonts w:hint="eastAsia" w:ascii="仿宋_GB2312" w:hAnsi="宋体" w:eastAsia="仿宋_GB2312" w:cs="Arial"/>
          <w:kern w:val="0"/>
          <w:sz w:val="30"/>
          <w:szCs w:val="30"/>
          <w:highlight w:val="none"/>
          <w:lang w:val="en-US" w:eastAsia="zh-CN"/>
        </w:rPr>
        <w:t>12月住房公积金未缴</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20.粮油物资储备（类）支出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w:t>
      </w:r>
      <w:r>
        <w:rPr>
          <w:rFonts w:hint="eastAsia" w:ascii="仿宋_GB2312" w:eastAsia="仿宋_GB2312"/>
          <w:sz w:val="30"/>
          <w:szCs w:val="30"/>
          <w:highlight w:val="none"/>
          <w:lang w:val="en-US" w:eastAsia="zh-CN"/>
        </w:rPr>
        <w:t>无此</w:t>
      </w:r>
      <w:r>
        <w:rPr>
          <w:rFonts w:hint="eastAsia" w:ascii="仿宋_GB2312" w:eastAsia="仿宋_GB2312"/>
          <w:sz w:val="30"/>
          <w:szCs w:val="30"/>
          <w:highlight w:val="none"/>
          <w:lang w:eastAsia="zh-CN"/>
        </w:rPr>
        <w:t>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21.国有资本经营预算（类）支出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w:t>
      </w:r>
      <w:r>
        <w:rPr>
          <w:rFonts w:hint="eastAsia" w:ascii="仿宋_GB2312" w:eastAsia="仿宋_GB2312"/>
          <w:sz w:val="30"/>
          <w:szCs w:val="30"/>
          <w:highlight w:val="none"/>
          <w:lang w:val="en-US" w:eastAsia="zh-CN"/>
        </w:rPr>
        <w:t>无此</w:t>
      </w:r>
      <w:r>
        <w:rPr>
          <w:rFonts w:hint="eastAsia" w:ascii="仿宋_GB2312" w:eastAsia="仿宋_GB2312"/>
          <w:sz w:val="30"/>
          <w:szCs w:val="30"/>
          <w:highlight w:val="none"/>
          <w:lang w:eastAsia="zh-CN"/>
        </w:rPr>
        <w:t>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22.灾害防治及应急管理（类）支出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w:t>
      </w:r>
      <w:r>
        <w:rPr>
          <w:rFonts w:hint="eastAsia" w:ascii="仿宋_GB2312" w:eastAsia="仿宋_GB2312"/>
          <w:sz w:val="30"/>
          <w:szCs w:val="30"/>
          <w:highlight w:val="none"/>
          <w:lang w:val="en-US" w:eastAsia="zh-CN"/>
        </w:rPr>
        <w:t>无此</w:t>
      </w:r>
      <w:r>
        <w:rPr>
          <w:rFonts w:hint="eastAsia" w:ascii="仿宋_GB2312" w:eastAsia="仿宋_GB2312"/>
          <w:sz w:val="30"/>
          <w:szCs w:val="30"/>
          <w:highlight w:val="none"/>
          <w:lang w:eastAsia="zh-CN"/>
        </w:rPr>
        <w:t>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23.其他（类）支出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w:t>
      </w:r>
      <w:r>
        <w:rPr>
          <w:rFonts w:hint="eastAsia" w:ascii="仿宋_GB2312" w:eastAsia="仿宋_GB2312"/>
          <w:sz w:val="30"/>
          <w:szCs w:val="30"/>
          <w:highlight w:val="none"/>
          <w:lang w:val="en-US" w:eastAsia="zh-CN"/>
        </w:rPr>
        <w:t>无此</w:t>
      </w:r>
      <w:r>
        <w:rPr>
          <w:rFonts w:hint="eastAsia" w:ascii="仿宋_GB2312" w:eastAsia="仿宋_GB2312"/>
          <w:sz w:val="30"/>
          <w:szCs w:val="30"/>
          <w:highlight w:val="none"/>
          <w:lang w:eastAsia="zh-CN"/>
        </w:rPr>
        <w:t>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24.债务还本（类）支出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w:t>
      </w:r>
      <w:r>
        <w:rPr>
          <w:rFonts w:hint="eastAsia" w:ascii="仿宋_GB2312" w:eastAsia="仿宋_GB2312"/>
          <w:sz w:val="30"/>
          <w:szCs w:val="30"/>
          <w:highlight w:val="none"/>
          <w:lang w:val="en-US" w:eastAsia="zh-CN"/>
        </w:rPr>
        <w:t>无此</w:t>
      </w:r>
      <w:r>
        <w:rPr>
          <w:rFonts w:hint="eastAsia" w:ascii="仿宋_GB2312" w:eastAsia="仿宋_GB2312"/>
          <w:sz w:val="30"/>
          <w:szCs w:val="30"/>
          <w:highlight w:val="none"/>
          <w:lang w:eastAsia="zh-CN"/>
        </w:rPr>
        <w:t>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25.债务付息（类）支出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w:t>
      </w:r>
      <w:r>
        <w:rPr>
          <w:rFonts w:hint="eastAsia" w:ascii="仿宋_GB2312" w:eastAsia="仿宋_GB2312"/>
          <w:sz w:val="30"/>
          <w:szCs w:val="30"/>
          <w:highlight w:val="none"/>
          <w:lang w:val="en-US" w:eastAsia="zh-CN"/>
        </w:rPr>
        <w:t>无此</w:t>
      </w:r>
      <w:r>
        <w:rPr>
          <w:rFonts w:hint="eastAsia" w:ascii="仿宋_GB2312" w:eastAsia="仿宋_GB2312"/>
          <w:sz w:val="30"/>
          <w:szCs w:val="30"/>
          <w:highlight w:val="none"/>
          <w:lang w:eastAsia="zh-CN"/>
        </w:rPr>
        <w:t>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kern w:val="0"/>
          <w:sz w:val="30"/>
          <w:lang w:val="en-US"/>
        </w:rPr>
        <w:t>26.抗疫特别国债安排（类）支出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w:t>
      </w:r>
      <w:r>
        <w:rPr>
          <w:rFonts w:hint="eastAsia" w:ascii="仿宋_GB2312" w:eastAsia="仿宋_GB2312"/>
          <w:sz w:val="30"/>
          <w:szCs w:val="30"/>
          <w:highlight w:val="none"/>
          <w:lang w:val="en-US" w:eastAsia="zh-CN"/>
        </w:rPr>
        <w:t>无此</w:t>
      </w:r>
      <w:r>
        <w:rPr>
          <w:rFonts w:hint="eastAsia" w:ascii="仿宋_GB2312" w:eastAsia="仿宋_GB2312"/>
          <w:sz w:val="30"/>
          <w:szCs w:val="30"/>
          <w:highlight w:val="none"/>
          <w:lang w:eastAsia="zh-CN"/>
        </w:rPr>
        <w:t>预算</w:t>
      </w:r>
      <w:r>
        <w:rPr>
          <w:rFonts w:hint="eastAsia" w:ascii="仿宋_GB2312" w:hAnsi="宋体" w:eastAsia="仿宋_GB2312" w:cs="Arial"/>
          <w:kern w:val="0"/>
          <w:sz w:val="30"/>
          <w:szCs w:val="30"/>
          <w:highlight w:val="none"/>
          <w:lang w:eastAsia="zh-CN"/>
        </w:rPr>
        <w:t>。</w:t>
      </w:r>
    </w:p>
    <w:p>
      <w:pPr>
        <w:widowControl/>
        <w:numPr>
          <w:ilvl w:val="0"/>
          <w:numId w:val="1"/>
        </w:numPr>
        <w:snapToGrid w:val="0"/>
        <w:spacing w:before="100" w:after="100" w:line="360" w:lineRule="auto"/>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财政拨款“三公”经费支出决算情况说明</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（一）总体情况</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color w:val="auto"/>
          <w:sz w:val="30"/>
          <w:szCs w:val="30"/>
          <w:lang w:eastAsia="zh-CN"/>
        </w:rPr>
      </w:pPr>
      <w:r>
        <w:rPr>
          <w:rFonts w:hint="eastAsia" w:ascii="仿宋_GB2312" w:hAnsi="宋体" w:eastAsia="仿宋_GB2312" w:cs="Arial"/>
          <w:kern w:val="0"/>
          <w:sz w:val="30"/>
          <w:szCs w:val="30"/>
          <w:highlight w:val="none"/>
          <w:lang w:val="en-US" w:eastAsia="zh-CN"/>
        </w:rPr>
        <w:t>2025年度</w:t>
      </w:r>
      <w:r>
        <w:rPr>
          <w:rFonts w:hint="eastAsia" w:ascii="仿宋_GB2312" w:hAnsi="宋体" w:eastAsia="仿宋_GB2312" w:cs="Arial"/>
          <w:kern w:val="0"/>
          <w:sz w:val="30"/>
          <w:szCs w:val="30"/>
          <w:highlight w:val="none"/>
        </w:rPr>
        <w:t>财政拨款“三公”经费支出决算中，财政拨款“三公”经费支出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kern w:val="0"/>
          <w:sz w:val="30"/>
          <w:lang w:val="en-US" w:eastAsia="zh-CN"/>
        </w:rPr>
        <w:t>0.00</w:t>
      </w:r>
      <w:r>
        <w:rPr>
          <w:rFonts w:hint="eastAsia" w:ascii="仿宋_GB2312" w:hAnsi="宋体" w:eastAsia="仿宋_GB2312" w:cs="Arial"/>
          <w:kern w:val="0"/>
          <w:sz w:val="30"/>
          <w:szCs w:val="30"/>
          <w:highlight w:val="none"/>
        </w:rPr>
        <w:t>元，决算为</w:t>
      </w:r>
      <w:r>
        <w:rPr>
          <w:rFonts w:hint="eastAsia" w:ascii="仿宋_GB2312" w:hAnsi="仿宋_GB2312" w:eastAsia="仿宋_GB2312" w:cs="仿宋_GB2312"/>
          <w:color w:val="000000"/>
          <w:sz w:val="30"/>
          <w:lang w:val="zh-CN"/>
        </w:rPr>
        <w:t>4335.70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支出决算较上年</w:t>
      </w:r>
      <w:r>
        <w:rPr>
          <w:rFonts w:hint="eastAsia" w:ascii="仿宋_GB2312" w:hAnsi="宋体" w:eastAsia="仿宋_GB2312" w:cs="Arial"/>
          <w:kern w:val="0"/>
          <w:sz w:val="30"/>
          <w:szCs w:val="30"/>
          <w:highlight w:val="none"/>
          <w:lang w:val="en-US" w:eastAsia="zh-CN"/>
        </w:rPr>
        <w:t>减少</w:t>
      </w:r>
      <w:r>
        <w:rPr>
          <w:rFonts w:hint="eastAsia" w:ascii="仿宋_GB2312" w:hAnsi="仿宋_GB2312" w:eastAsia="仿宋_GB2312" w:cs="仿宋_GB2312"/>
          <w:color w:val="000000"/>
          <w:sz w:val="30"/>
          <w:lang w:val="zh-CN"/>
        </w:rPr>
        <w:t>1130.46</w:t>
      </w:r>
      <w:r>
        <w:rPr>
          <w:rFonts w:hint="eastAsia" w:ascii="仿宋_GB2312" w:hAnsi="宋体" w:eastAsia="仿宋_GB2312" w:cs="Arial"/>
          <w:kern w:val="0"/>
          <w:sz w:val="30"/>
          <w:szCs w:val="30"/>
          <w:highlight w:val="none"/>
          <w:lang w:val="en-US" w:eastAsia="zh-CN"/>
        </w:rPr>
        <w:t>元，下降</w:t>
      </w:r>
      <w:r>
        <w:rPr>
          <w:rFonts w:hint="eastAsia" w:ascii="仿宋_GB2312" w:hAnsi="仿宋_GB2312" w:eastAsia="仿宋_GB2312" w:cs="仿宋_GB2312"/>
          <w:color w:val="000000"/>
          <w:sz w:val="30"/>
          <w:lang w:val="zh-CN"/>
        </w:rPr>
        <w:t>20.68</w:t>
      </w:r>
      <w:r>
        <w:rPr>
          <w:rFonts w:hint="eastAsia" w:ascii="仿宋_GB2312" w:hAnsi="宋体" w:eastAsia="仿宋_GB2312" w:cs="Arial"/>
          <w:kern w:val="0"/>
          <w:sz w:val="30"/>
          <w:szCs w:val="30"/>
          <w:highlight w:val="none"/>
          <w:lang w:val="en-US" w:eastAsia="zh-CN"/>
        </w:rPr>
        <w:t>%</w:t>
      </w:r>
      <w:r>
        <w:rPr>
          <w:rFonts w:hint="eastAsia" w:ascii="仿宋_GB2312" w:eastAsia="仿宋_GB2312"/>
          <w:color w:val="auto"/>
          <w:sz w:val="30"/>
          <w:szCs w:val="30"/>
          <w:lang w:eastAsia="zh-CN"/>
        </w:rPr>
        <w:t>。</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color w:val="FF0000"/>
          <w:sz w:val="30"/>
          <w:szCs w:val="30"/>
          <w:lang w:eastAsia="zh-CN"/>
        </w:rPr>
      </w:pPr>
      <w:r>
        <w:rPr>
          <w:rFonts w:hint="eastAsia" w:ascii="仿宋_GB2312" w:hAnsi="宋体" w:eastAsia="仿宋_GB2312" w:cs="Arial"/>
          <w:kern w:val="0"/>
          <w:sz w:val="30"/>
          <w:szCs w:val="30"/>
          <w:highlight w:val="none"/>
        </w:rPr>
        <w:t>因公出国（境）费</w:t>
      </w:r>
      <w:r>
        <w:rPr>
          <w:rFonts w:hint="eastAsia" w:ascii="仿宋_GB2312" w:hAnsi="宋体" w:eastAsia="仿宋_GB2312" w:cs="Arial"/>
          <w:kern w:val="0"/>
          <w:sz w:val="30"/>
          <w:szCs w:val="30"/>
          <w:highlight w:val="none"/>
          <w:lang w:val="en-US" w:eastAsia="zh-CN"/>
        </w:rPr>
        <w:t>用用</w:t>
      </w:r>
      <w:r>
        <w:rPr>
          <w:rFonts w:hint="eastAsia" w:ascii="仿宋_GB2312" w:hAnsi="宋体" w:eastAsia="仿宋_GB2312" w:cs="Arial"/>
          <w:kern w:val="0"/>
          <w:sz w:val="30"/>
          <w:szCs w:val="30"/>
          <w:highlight w:val="none"/>
        </w:rPr>
        <w:t>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%；公务用车购置费支出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%；公务用车</w:t>
      </w:r>
      <w:r>
        <w:rPr>
          <w:rFonts w:hint="eastAsia" w:ascii="仿宋_GB2312" w:hAnsi="宋体" w:eastAsia="仿宋_GB2312" w:cs="Arial"/>
          <w:kern w:val="0"/>
          <w:sz w:val="30"/>
          <w:szCs w:val="30"/>
          <w:highlight w:val="none"/>
          <w:lang w:eastAsia="zh-CN"/>
        </w:rPr>
        <w:t>运行维护</w:t>
      </w:r>
      <w:r>
        <w:rPr>
          <w:rFonts w:hint="eastAsia" w:ascii="仿宋_GB2312" w:hAnsi="宋体" w:eastAsia="仿宋_GB2312" w:cs="Arial"/>
          <w:kern w:val="0"/>
          <w:sz w:val="30"/>
          <w:szCs w:val="30"/>
          <w:highlight w:val="none"/>
        </w:rPr>
        <w:t>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4335.70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仿宋_GB2312" w:eastAsia="仿宋_GB2312" w:cs="仿宋_GB2312"/>
          <w:color w:val="000000"/>
          <w:sz w:val="30"/>
          <w:lang w:val="zh-CN"/>
        </w:rPr>
        <w:t>100.00</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rPr>
        <w:t>公务接待费支出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w:t>
      </w:r>
      <w:r>
        <w:rPr>
          <w:rFonts w:hint="eastAsia" w:ascii="仿宋_GB2312" w:eastAsia="仿宋_GB2312"/>
          <w:color w:val="auto"/>
          <w:sz w:val="30"/>
          <w:szCs w:val="30"/>
          <w:lang w:eastAsia="zh-CN"/>
        </w:rPr>
        <w:t>。</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eastAsia="仿宋_GB2312"/>
          <w:sz w:val="30"/>
          <w:szCs w:val="30"/>
          <w:highlight w:val="none"/>
        </w:rPr>
        <w:t>因公出国（境）费</w:t>
      </w:r>
      <w:r>
        <w:rPr>
          <w:rFonts w:hint="eastAsia" w:ascii="仿宋_GB2312" w:eastAsia="仿宋_GB2312"/>
          <w:sz w:val="30"/>
          <w:szCs w:val="30"/>
          <w:highlight w:val="none"/>
          <w:lang w:val="en-US" w:eastAsia="zh-CN"/>
        </w:rPr>
        <w:t>用</w:t>
      </w:r>
      <w:r>
        <w:rPr>
          <w:rFonts w:hint="eastAsia" w:ascii="仿宋_GB2312" w:hAnsi="宋体" w:eastAsia="仿宋_GB2312" w:cs="Arial"/>
          <w:kern w:val="0"/>
          <w:sz w:val="30"/>
          <w:szCs w:val="30"/>
          <w:highlight w:val="none"/>
          <w:lang w:eastAsia="zh-CN"/>
        </w:rPr>
        <w:t>支出决算较上年增加</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val="en-US" w:eastAsia="zh-CN"/>
        </w:rPr>
        <w:t>元，</w:t>
      </w:r>
      <w:r>
        <w:rPr>
          <w:rFonts w:hint="eastAsia" w:ascii="仿宋_GB2312" w:eastAsia="仿宋_GB2312"/>
          <w:color w:val="000000"/>
          <w:sz w:val="30"/>
          <w:szCs w:val="30"/>
        </w:rPr>
        <w:t>上年无此项支出</w:t>
      </w:r>
      <w:r>
        <w:rPr>
          <w:rFonts w:hint="eastAsia" w:ascii="仿宋_GB2312" w:hAnsi="宋体" w:eastAsia="仿宋_GB2312" w:cs="Arial"/>
          <w:kern w:val="0"/>
          <w:sz w:val="30"/>
          <w:szCs w:val="30"/>
          <w:highlight w:val="none"/>
          <w:lang w:eastAsia="zh-CN"/>
        </w:rPr>
        <w:t>；</w:t>
      </w:r>
      <w:r>
        <w:rPr>
          <w:rFonts w:hint="eastAsia" w:ascii="仿宋_GB2312" w:eastAsia="仿宋_GB2312"/>
          <w:sz w:val="30"/>
          <w:szCs w:val="30"/>
          <w:highlight w:val="none"/>
        </w:rPr>
        <w:t>公务用车购置费</w:t>
      </w:r>
      <w:r>
        <w:rPr>
          <w:rFonts w:hint="eastAsia" w:ascii="仿宋_GB2312" w:hAnsi="宋体" w:eastAsia="仿宋_GB2312" w:cs="Arial"/>
          <w:kern w:val="0"/>
          <w:sz w:val="30"/>
          <w:szCs w:val="30"/>
          <w:highlight w:val="none"/>
          <w:lang w:eastAsia="zh-CN"/>
        </w:rPr>
        <w:t>支出决算较上年增加</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val="en-US" w:eastAsia="zh-CN"/>
        </w:rPr>
        <w:t>元</w:t>
      </w:r>
      <w:r>
        <w:rPr>
          <w:rFonts w:hint="eastAsia" w:ascii="仿宋_GB2312" w:eastAsia="仿宋_GB2312"/>
          <w:color w:val="000000"/>
          <w:sz w:val="30"/>
          <w:szCs w:val="30"/>
        </w:rPr>
        <w:t>上年无此项支出</w:t>
      </w:r>
      <w:r>
        <w:rPr>
          <w:rFonts w:hint="eastAsia" w:ascii="仿宋_GB2312" w:hAnsi="宋体" w:eastAsia="仿宋_GB2312" w:cs="Arial"/>
          <w:kern w:val="0"/>
          <w:sz w:val="30"/>
          <w:szCs w:val="30"/>
          <w:highlight w:val="none"/>
          <w:lang w:eastAsia="zh-CN"/>
        </w:rPr>
        <w:t>；</w:t>
      </w:r>
      <w:r>
        <w:rPr>
          <w:rFonts w:hint="eastAsia" w:ascii="仿宋_GB2312" w:eastAsia="仿宋_GB2312"/>
          <w:sz w:val="30"/>
          <w:szCs w:val="30"/>
          <w:highlight w:val="none"/>
        </w:rPr>
        <w:t>公务用车</w:t>
      </w:r>
      <w:r>
        <w:rPr>
          <w:rFonts w:hint="eastAsia" w:ascii="仿宋_GB2312" w:eastAsia="仿宋_GB2312"/>
          <w:sz w:val="30"/>
          <w:szCs w:val="30"/>
          <w:highlight w:val="none"/>
          <w:lang w:eastAsia="zh-CN"/>
        </w:rPr>
        <w:t>运行维护费</w:t>
      </w:r>
      <w:r>
        <w:rPr>
          <w:rFonts w:hint="eastAsia" w:ascii="仿宋_GB2312" w:hAnsi="宋体" w:eastAsia="仿宋_GB2312" w:cs="Arial"/>
          <w:kern w:val="0"/>
          <w:sz w:val="30"/>
          <w:szCs w:val="30"/>
          <w:highlight w:val="none"/>
          <w:lang w:eastAsia="zh-CN"/>
        </w:rPr>
        <w:t>支出决算较上年</w:t>
      </w:r>
      <w:r>
        <w:rPr>
          <w:rFonts w:hint="eastAsia" w:ascii="仿宋_GB2312" w:hAnsi="宋体" w:eastAsia="仿宋_GB2312" w:cs="Arial"/>
          <w:kern w:val="0"/>
          <w:sz w:val="30"/>
          <w:szCs w:val="30"/>
          <w:highlight w:val="none"/>
          <w:lang w:val="en-US" w:eastAsia="zh-CN"/>
        </w:rPr>
        <w:t>减少</w:t>
      </w:r>
      <w:r>
        <w:rPr>
          <w:rFonts w:hint="eastAsia" w:ascii="仿宋_GB2312" w:hAnsi="仿宋_GB2312" w:eastAsia="仿宋_GB2312" w:cs="仿宋_GB2312"/>
          <w:color w:val="000000"/>
          <w:sz w:val="30"/>
          <w:lang w:val="zh-CN"/>
        </w:rPr>
        <w:t>1130.46</w:t>
      </w:r>
      <w:r>
        <w:rPr>
          <w:rFonts w:hint="eastAsia" w:ascii="仿宋_GB2312" w:hAnsi="宋体" w:eastAsia="仿宋_GB2312" w:cs="Arial"/>
          <w:kern w:val="0"/>
          <w:sz w:val="30"/>
          <w:szCs w:val="30"/>
          <w:highlight w:val="none"/>
          <w:lang w:val="en-US" w:eastAsia="zh-CN"/>
        </w:rPr>
        <w:t>元，下降</w:t>
      </w:r>
      <w:r>
        <w:rPr>
          <w:rFonts w:hint="eastAsia" w:ascii="仿宋_GB2312" w:hAnsi="仿宋_GB2312" w:eastAsia="仿宋_GB2312" w:cs="仿宋_GB2312"/>
          <w:color w:val="000000"/>
          <w:sz w:val="30"/>
          <w:lang w:val="zh-CN"/>
        </w:rPr>
        <w:t>20.68</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lang w:eastAsia="zh-CN"/>
        </w:rPr>
        <w:t>；</w:t>
      </w:r>
      <w:r>
        <w:rPr>
          <w:rFonts w:hint="eastAsia" w:ascii="仿宋_GB2312" w:eastAsia="仿宋_GB2312"/>
          <w:sz w:val="30"/>
          <w:szCs w:val="30"/>
          <w:highlight w:val="none"/>
        </w:rPr>
        <w:t>公务接待费</w:t>
      </w:r>
      <w:r>
        <w:rPr>
          <w:rFonts w:hint="eastAsia" w:ascii="仿宋_GB2312" w:hAnsi="宋体" w:eastAsia="仿宋_GB2312" w:cs="Arial"/>
          <w:kern w:val="0"/>
          <w:sz w:val="30"/>
          <w:szCs w:val="30"/>
          <w:highlight w:val="none"/>
          <w:lang w:eastAsia="zh-CN"/>
        </w:rPr>
        <w:t>支出决算较上年增加</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val="en-US" w:eastAsia="zh-CN"/>
        </w:rPr>
        <w:t>元，</w:t>
      </w:r>
      <w:r>
        <w:rPr>
          <w:rFonts w:hint="eastAsia" w:ascii="仿宋_GB2312" w:eastAsia="仿宋_GB2312"/>
          <w:color w:val="000000"/>
          <w:sz w:val="30"/>
          <w:szCs w:val="30"/>
        </w:rPr>
        <w:t>上年无此项支出</w:t>
      </w:r>
      <w:r>
        <w:rPr>
          <w:rFonts w:hint="eastAsia" w:ascii="仿宋_GB2312" w:hAnsi="宋体" w:eastAsia="仿宋_GB2312" w:cs="Arial"/>
          <w:kern w:val="0"/>
          <w:sz w:val="30"/>
          <w:szCs w:val="30"/>
          <w:highlight w:val="none"/>
          <w:lang w:eastAsia="zh-CN"/>
        </w:rPr>
        <w:t>；具体是国内接待费支出决算</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eastAsia="zh-CN"/>
        </w:rPr>
        <w:t>元（其中：外事接待费支出决算</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eastAsia="仿宋_GB2312"/>
          <w:color w:val="000000"/>
          <w:sz w:val="30"/>
          <w:szCs w:val="30"/>
        </w:rPr>
        <w:t>上年无此项支出</w:t>
      </w:r>
      <w:r>
        <w:rPr>
          <w:rFonts w:hint="eastAsia" w:ascii="仿宋_GB2312" w:eastAsia="仿宋_GB2312"/>
          <w:color w:val="auto"/>
          <w:sz w:val="30"/>
          <w:szCs w:val="30"/>
          <w:lang w:eastAsia="zh-CN"/>
        </w:rPr>
        <w:t>；</w:t>
      </w:r>
      <w:r>
        <w:rPr>
          <w:rFonts w:hint="eastAsia" w:ascii="仿宋_GB2312" w:hAnsi="宋体" w:eastAsia="仿宋_GB2312" w:cs="Arial"/>
          <w:kern w:val="0"/>
          <w:sz w:val="30"/>
          <w:szCs w:val="30"/>
          <w:highlight w:val="none"/>
          <w:lang w:eastAsia="zh-CN"/>
        </w:rPr>
        <w:t>国（境）外接待费支出决算</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eastAsia="zh-CN"/>
        </w:rPr>
        <w:t>元较上年增加</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val="en-US" w:eastAsia="zh-CN"/>
        </w:rPr>
        <w:t>元，</w:t>
      </w:r>
      <w:r>
        <w:rPr>
          <w:rFonts w:hint="eastAsia" w:ascii="仿宋_GB2312" w:eastAsia="仿宋_GB2312"/>
          <w:color w:val="000000"/>
          <w:sz w:val="30"/>
          <w:szCs w:val="30"/>
        </w:rPr>
        <w:t>上年无此项支出</w:t>
      </w:r>
      <w:r>
        <w:rPr>
          <w:rFonts w:hint="eastAsia" w:ascii="仿宋_GB2312" w:hAnsi="宋体" w:eastAsia="仿宋_GB2312" w:cs="Arial"/>
          <w:kern w:val="0"/>
          <w:sz w:val="30"/>
          <w:szCs w:val="30"/>
          <w:highlight w:val="none"/>
          <w:lang w:eastAsia="zh-CN"/>
        </w:rPr>
        <w:t>。</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（二）一般公共预算财政拨款“三公”经费支出决算情况说明</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一般公共预算财政拨款“三公”经费支出</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，支出决算为</w:t>
      </w:r>
      <w:r>
        <w:rPr>
          <w:rFonts w:hint="eastAsia" w:ascii="仿宋_GB2312" w:hAnsi="仿宋_GB2312" w:eastAsia="仿宋_GB2312" w:cs="仿宋_GB2312"/>
          <w:color w:val="000000"/>
          <w:sz w:val="30"/>
          <w:lang w:val="zh-CN"/>
        </w:rPr>
        <w:t>4335.70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lang w:eastAsia="zh-CN"/>
        </w:rPr>
        <w:t>支出决算较上年</w:t>
      </w:r>
      <w:r>
        <w:rPr>
          <w:rFonts w:hint="eastAsia" w:ascii="仿宋_GB2312" w:hAnsi="宋体" w:eastAsia="仿宋_GB2312" w:cs="Arial"/>
          <w:kern w:val="0"/>
          <w:sz w:val="30"/>
          <w:szCs w:val="30"/>
          <w:highlight w:val="none"/>
          <w:lang w:val="en-US" w:eastAsia="zh-CN"/>
        </w:rPr>
        <w:t>减少</w:t>
      </w:r>
      <w:r>
        <w:rPr>
          <w:rFonts w:hint="eastAsia" w:ascii="仿宋_GB2312" w:hAnsi="仿宋_GB2312" w:eastAsia="仿宋_GB2312" w:cs="仿宋_GB2312"/>
          <w:color w:val="000000"/>
          <w:sz w:val="30"/>
          <w:lang w:val="zh-CN"/>
        </w:rPr>
        <w:t>1130.46</w:t>
      </w:r>
      <w:r>
        <w:rPr>
          <w:rFonts w:hint="eastAsia" w:ascii="仿宋_GB2312" w:hAnsi="宋体" w:eastAsia="仿宋_GB2312" w:cs="Arial"/>
          <w:kern w:val="0"/>
          <w:sz w:val="30"/>
          <w:szCs w:val="30"/>
          <w:highlight w:val="none"/>
          <w:lang w:val="en-US" w:eastAsia="zh-CN"/>
        </w:rPr>
        <w:t>元，下降</w:t>
      </w:r>
      <w:r>
        <w:rPr>
          <w:rFonts w:hint="eastAsia" w:ascii="仿宋_GB2312" w:hAnsi="仿宋_GB2312" w:eastAsia="仿宋_GB2312" w:cs="仿宋_GB2312"/>
          <w:color w:val="000000"/>
          <w:sz w:val="30"/>
          <w:lang w:val="zh-CN"/>
        </w:rPr>
        <w:t>20.68</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lang w:eastAsia="zh-CN"/>
        </w:rPr>
        <w:t>。</w:t>
      </w:r>
    </w:p>
    <w:p>
      <w:pPr>
        <w:widowControl/>
        <w:snapToGrid w:val="0"/>
        <w:spacing w:before="100" w:after="100" w:line="600" w:lineRule="exact"/>
        <w:ind w:firstLine="600" w:firstLineChars="200"/>
        <w:jc w:val="left"/>
        <w:rPr>
          <w:rFonts w:hint="eastAsia" w:ascii="仿宋_GB2312" w:hAnsi="宋体" w:eastAsia="仿宋_GB2312" w:cs="宋体"/>
          <w:color w:val="000000"/>
          <w:kern w:val="0"/>
          <w:sz w:val="30"/>
          <w:szCs w:val="30"/>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中：</w:t>
      </w:r>
      <w:r>
        <w:rPr>
          <w:rFonts w:hint="eastAsia" w:ascii="仿宋_GB2312" w:eastAsia="仿宋_GB2312"/>
          <w:sz w:val="30"/>
          <w:szCs w:val="30"/>
          <w:highlight w:val="none"/>
        </w:rPr>
        <w:t>因公出国（境）费</w:t>
      </w:r>
      <w:r>
        <w:rPr>
          <w:rFonts w:hint="eastAsia" w:ascii="仿宋_GB2312" w:eastAsia="仿宋_GB2312"/>
          <w:sz w:val="30"/>
          <w:szCs w:val="30"/>
          <w:highlight w:val="none"/>
          <w:lang w:val="en-US" w:eastAsia="zh-CN"/>
        </w:rPr>
        <w:t>用</w:t>
      </w:r>
      <w:r>
        <w:rPr>
          <w:rFonts w:hint="eastAsia" w:ascii="仿宋_GB2312" w:eastAsia="仿宋_GB2312"/>
          <w:sz w:val="30"/>
          <w:szCs w:val="30"/>
          <w:highlight w:val="none"/>
        </w:rPr>
        <w:t>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；公务用车购置费支出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；公务用车</w:t>
      </w:r>
      <w:r>
        <w:rPr>
          <w:rFonts w:hint="eastAsia" w:ascii="仿宋_GB2312" w:eastAsia="仿宋_GB2312"/>
          <w:sz w:val="30"/>
          <w:szCs w:val="30"/>
          <w:highlight w:val="none"/>
          <w:lang w:eastAsia="zh-CN"/>
        </w:rPr>
        <w:t>运行维护费</w:t>
      </w:r>
      <w:r>
        <w:rPr>
          <w:rFonts w:hint="eastAsia" w:ascii="仿宋_GB2312" w:eastAsia="仿宋_GB2312"/>
          <w:sz w:val="30"/>
          <w:szCs w:val="30"/>
          <w:highlight w:val="none"/>
        </w:rPr>
        <w:t>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4335.70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；公务接待费支出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一般公共预算财政拨款“三公”经费支出决算数大于</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预算数的主要原因</w:t>
      </w:r>
      <w:r>
        <w:rPr>
          <w:rFonts w:hint="eastAsia" w:ascii="仿宋_GB2312" w:eastAsia="仿宋_GB2312"/>
          <w:sz w:val="30"/>
          <w:szCs w:val="30"/>
          <w:highlight w:val="none"/>
          <w:lang w:eastAsia="zh-CN"/>
        </w:rPr>
        <w:t>是</w:t>
      </w:r>
      <w:r>
        <w:rPr>
          <w:rFonts w:hint="eastAsia" w:ascii="仿宋_GB2312" w:hAnsi="宋体" w:eastAsia="仿宋_GB2312" w:cs="宋体"/>
          <w:color w:val="000000"/>
          <w:kern w:val="0"/>
          <w:sz w:val="30"/>
          <w:szCs w:val="30"/>
        </w:rPr>
        <w:t>本单位是学校，属事业单位，无三公经费预算，但单位实际上有</w:t>
      </w:r>
      <w:r>
        <w:rPr>
          <w:rFonts w:hint="eastAsia" w:ascii="仿宋_GB2312" w:hAnsi="宋体" w:eastAsia="仿宋_GB2312" w:cs="宋体"/>
          <w:color w:val="000000"/>
          <w:kern w:val="0"/>
          <w:sz w:val="30"/>
          <w:szCs w:val="30"/>
          <w:lang w:val="en-US" w:eastAsia="zh-CN"/>
        </w:rPr>
        <w:t>1</w:t>
      </w:r>
      <w:r>
        <w:rPr>
          <w:rFonts w:hint="eastAsia" w:ascii="仿宋_GB2312" w:hAnsi="宋体" w:eastAsia="仿宋_GB2312" w:cs="宋体"/>
          <w:color w:val="000000"/>
          <w:kern w:val="0"/>
          <w:sz w:val="30"/>
          <w:szCs w:val="30"/>
        </w:rPr>
        <w:t>辆公务用车，产生公务用车运行维护费。</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sz w:val="30"/>
          <w:szCs w:val="30"/>
          <w:highlight w:val="none"/>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中：</w:t>
      </w:r>
      <w:r>
        <w:rPr>
          <w:rFonts w:hint="eastAsia" w:ascii="仿宋_GB2312" w:eastAsia="仿宋_GB2312"/>
          <w:sz w:val="30"/>
          <w:szCs w:val="30"/>
          <w:highlight w:val="none"/>
        </w:rPr>
        <w:t>因公出国（境）费</w:t>
      </w:r>
      <w:r>
        <w:rPr>
          <w:rFonts w:hint="eastAsia" w:ascii="仿宋_GB2312" w:eastAsia="仿宋_GB2312"/>
          <w:sz w:val="30"/>
          <w:szCs w:val="30"/>
          <w:highlight w:val="none"/>
          <w:lang w:val="en-US" w:eastAsia="zh-CN"/>
        </w:rPr>
        <w:t>用</w:t>
      </w:r>
      <w:r>
        <w:rPr>
          <w:rFonts w:hint="eastAsia" w:ascii="仿宋_GB2312" w:eastAsia="仿宋_GB2312"/>
          <w:sz w:val="30"/>
          <w:szCs w:val="30"/>
          <w:highlight w:val="none"/>
        </w:rPr>
        <w:t>支出决算增加</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color w:val="000000"/>
          <w:sz w:val="30"/>
          <w:szCs w:val="30"/>
        </w:rPr>
        <w:t>上年无此项支出</w:t>
      </w:r>
      <w:r>
        <w:rPr>
          <w:rFonts w:hint="eastAsia" w:ascii="仿宋_GB2312" w:eastAsia="仿宋_GB2312"/>
          <w:sz w:val="30"/>
          <w:szCs w:val="30"/>
          <w:highlight w:val="none"/>
        </w:rPr>
        <w:t>；公务用车购置费支出决算增加</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color w:val="000000"/>
          <w:sz w:val="30"/>
          <w:szCs w:val="30"/>
        </w:rPr>
        <w:t>上年无此项支出</w:t>
      </w:r>
      <w:r>
        <w:rPr>
          <w:rFonts w:hint="eastAsia" w:ascii="仿宋_GB2312" w:eastAsia="仿宋_GB2312"/>
          <w:sz w:val="30"/>
          <w:szCs w:val="30"/>
          <w:highlight w:val="none"/>
        </w:rPr>
        <w:t>；公务用车</w:t>
      </w:r>
      <w:r>
        <w:rPr>
          <w:rFonts w:hint="eastAsia" w:ascii="仿宋_GB2312" w:eastAsia="仿宋_GB2312"/>
          <w:sz w:val="30"/>
          <w:szCs w:val="30"/>
          <w:highlight w:val="none"/>
          <w:lang w:eastAsia="zh-CN"/>
        </w:rPr>
        <w:t>运行维护费</w:t>
      </w:r>
      <w:r>
        <w:rPr>
          <w:rFonts w:hint="eastAsia" w:ascii="仿宋_GB2312" w:eastAsia="仿宋_GB2312"/>
          <w:sz w:val="30"/>
          <w:szCs w:val="30"/>
          <w:highlight w:val="none"/>
        </w:rPr>
        <w:t>支出决算减少</w:t>
      </w:r>
      <w:r>
        <w:rPr>
          <w:rFonts w:hint="eastAsia" w:ascii="仿宋_GB2312" w:hAnsi="仿宋_GB2312" w:eastAsia="仿宋_GB2312" w:cs="仿宋_GB2312"/>
          <w:color w:val="000000"/>
          <w:sz w:val="30"/>
          <w:lang w:val="zh-CN"/>
        </w:rPr>
        <w:t>1130.46</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，下降</w:t>
      </w:r>
      <w:r>
        <w:rPr>
          <w:rFonts w:hint="eastAsia" w:ascii="仿宋_GB2312" w:hAnsi="仿宋_GB2312" w:eastAsia="仿宋_GB2312" w:cs="仿宋_GB2312"/>
          <w:color w:val="000000"/>
          <w:sz w:val="30"/>
          <w:lang w:val="zh-CN"/>
        </w:rPr>
        <w:t>20.68</w:t>
      </w:r>
      <w:r>
        <w:rPr>
          <w:rFonts w:hint="eastAsia" w:ascii="仿宋_GB2312" w:eastAsia="仿宋_GB2312"/>
          <w:sz w:val="30"/>
          <w:szCs w:val="30"/>
          <w:highlight w:val="none"/>
        </w:rPr>
        <w:t>%；公务接待费支出决算增加</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color w:val="000000"/>
          <w:sz w:val="30"/>
          <w:szCs w:val="30"/>
        </w:rPr>
        <w:t>上年无此项支出</w:t>
      </w:r>
      <w:r>
        <w:rPr>
          <w:rFonts w:hint="eastAsia" w:ascii="仿宋_GB2312" w:eastAsia="仿宋_GB2312"/>
          <w:color w:val="auto"/>
          <w:sz w:val="30"/>
          <w:szCs w:val="30"/>
          <w:lang w:eastAsia="zh-CN"/>
        </w:rPr>
        <w:t>，</w:t>
      </w:r>
      <w:r>
        <w:rPr>
          <w:rFonts w:hint="eastAsia" w:ascii="仿宋_GB2312" w:hAnsi="宋体" w:eastAsia="仿宋_GB2312" w:cs="Arial"/>
          <w:kern w:val="0"/>
          <w:sz w:val="30"/>
          <w:szCs w:val="30"/>
          <w:highlight w:val="none"/>
          <w:lang w:eastAsia="zh-CN"/>
        </w:rPr>
        <w:t>具体是国内接待费支出决算</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eastAsia="zh-CN"/>
        </w:rPr>
        <w:t>元（其中：外事接待费支出决算</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eastAsia="zh-CN"/>
        </w:rPr>
        <w:t>元），较上年增加</w:t>
      </w:r>
      <w:r>
        <w:rPr>
          <w:rFonts w:hint="eastAsia" w:ascii="仿宋_GB2312" w:hAnsi="宋体" w:eastAsia="仿宋_GB2312" w:cs="Arial"/>
          <w:kern w:val="0"/>
          <w:sz w:val="30"/>
          <w:szCs w:val="30"/>
          <w:highlight w:val="none"/>
          <w:lang w:val="en-US" w:eastAsia="zh-CN"/>
        </w:rPr>
        <w:t>0.00元，</w:t>
      </w:r>
      <w:r>
        <w:rPr>
          <w:rFonts w:hint="eastAsia" w:ascii="仿宋_GB2312" w:eastAsia="仿宋_GB2312"/>
          <w:color w:val="000000"/>
          <w:sz w:val="30"/>
          <w:szCs w:val="30"/>
        </w:rPr>
        <w:t>上年无此项支出</w:t>
      </w:r>
      <w:r>
        <w:rPr>
          <w:rFonts w:hint="eastAsia" w:ascii="仿宋_GB2312" w:eastAsia="仿宋_GB2312"/>
          <w:color w:val="auto"/>
          <w:sz w:val="30"/>
          <w:szCs w:val="30"/>
          <w:lang w:eastAsia="zh-CN"/>
        </w:rPr>
        <w:t>；</w:t>
      </w:r>
      <w:r>
        <w:rPr>
          <w:rFonts w:hint="eastAsia" w:ascii="仿宋_GB2312" w:hAnsi="宋体" w:eastAsia="仿宋_GB2312" w:cs="Arial"/>
          <w:kern w:val="0"/>
          <w:sz w:val="30"/>
          <w:szCs w:val="30"/>
          <w:highlight w:val="none"/>
          <w:lang w:eastAsia="zh-CN"/>
        </w:rPr>
        <w:t>国（境）外接待费支出决算</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eastAsia="zh-CN"/>
        </w:rPr>
        <w:t>元较上年增加</w:t>
      </w:r>
      <w:r>
        <w:rPr>
          <w:rFonts w:hint="eastAsia" w:ascii="仿宋_GB2312" w:hAnsi="宋体" w:eastAsia="仿宋_GB2312" w:cs="Arial"/>
          <w:kern w:val="0"/>
          <w:sz w:val="30"/>
          <w:szCs w:val="30"/>
          <w:highlight w:val="none"/>
          <w:lang w:val="en-US" w:eastAsia="zh-CN"/>
        </w:rPr>
        <w:t>0.00元，</w:t>
      </w:r>
      <w:r>
        <w:rPr>
          <w:rFonts w:hint="eastAsia" w:ascii="仿宋_GB2312" w:eastAsia="仿宋_GB2312"/>
          <w:color w:val="000000"/>
          <w:sz w:val="30"/>
          <w:szCs w:val="30"/>
        </w:rPr>
        <w:t>上年无此项支出</w:t>
      </w:r>
      <w:r>
        <w:rPr>
          <w:rFonts w:hint="eastAsia" w:ascii="仿宋_GB2312" w:hAnsi="宋体" w:eastAsia="仿宋_GB2312" w:cs="Arial"/>
          <w:kern w:val="0"/>
          <w:sz w:val="30"/>
          <w:szCs w:val="30"/>
          <w:highlight w:val="none"/>
          <w:lang w:eastAsia="zh-CN"/>
        </w:rPr>
        <w:t>。</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一般公共预算财政拨款“三公”经费支出决算减少的主要原因</w:t>
      </w:r>
      <w:r>
        <w:rPr>
          <w:rFonts w:hint="eastAsia" w:ascii="仿宋_GB2312" w:eastAsia="仿宋_GB2312"/>
          <w:sz w:val="30"/>
          <w:szCs w:val="30"/>
          <w:highlight w:val="none"/>
          <w:lang w:eastAsia="zh-CN"/>
        </w:rPr>
        <w:t>是</w:t>
      </w:r>
      <w:r>
        <w:rPr>
          <w:rFonts w:hint="eastAsia" w:ascii="仿宋_GB2312" w:hAnsi="宋体" w:eastAsia="仿宋_GB2312" w:cs="宋体"/>
          <w:color w:val="000000"/>
          <w:kern w:val="0"/>
          <w:sz w:val="30"/>
          <w:szCs w:val="30"/>
        </w:rPr>
        <w:t>学校厉行节约，本着“三公”经费只减不增的原则，三公经费支出逐年下降</w:t>
      </w:r>
      <w:r>
        <w:rPr>
          <w:rFonts w:hint="eastAsia" w:ascii="仿宋_GB2312" w:eastAsia="仿宋_GB2312"/>
          <w:sz w:val="30"/>
          <w:szCs w:val="30"/>
          <w:highlight w:val="none"/>
        </w:rPr>
        <w:t>。</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实物量的</w:t>
      </w:r>
      <w:r>
        <w:rPr>
          <w:rFonts w:hint="eastAsia" w:ascii="仿宋_GB2312" w:eastAsia="仿宋_GB2312"/>
          <w:sz w:val="30"/>
          <w:szCs w:val="30"/>
          <w:highlight w:val="none"/>
        </w:rPr>
        <w:t>具体情况</w:t>
      </w:r>
      <w:r>
        <w:rPr>
          <w:rFonts w:hint="eastAsia" w:ascii="仿宋_GB2312" w:eastAsia="仿宋_GB2312"/>
          <w:sz w:val="30"/>
          <w:szCs w:val="30"/>
          <w:highlight w:val="none"/>
          <w:lang w:eastAsia="zh-CN"/>
        </w:rPr>
        <w:t>：</w:t>
      </w:r>
    </w:p>
    <w:p>
      <w:pPr>
        <w:widowControl/>
        <w:snapToGrid w:val="0"/>
        <w:spacing w:before="100" w:after="100" w:line="360" w:lineRule="auto"/>
        <w:ind w:firstLine="600" w:firstLineChars="200"/>
        <w:jc w:val="left"/>
        <w:rPr>
          <w:rFonts w:ascii="仿宋_GB2312" w:eastAsia="仿宋_GB2312"/>
          <w:bCs/>
          <w:sz w:val="30"/>
          <w:szCs w:val="30"/>
        </w:rPr>
      </w:pPr>
      <w:r>
        <w:rPr>
          <w:rFonts w:hint="eastAsia" w:ascii="仿宋_GB2312" w:eastAsia="仿宋_GB2312"/>
          <w:bCs/>
          <w:sz w:val="30"/>
          <w:szCs w:val="30"/>
        </w:rPr>
        <w:t>1.安排因公出国（境）团组</w:t>
      </w:r>
      <w:r>
        <w:rPr>
          <w:rFonts w:hint="eastAsia" w:ascii="仿宋_GB2312" w:hAnsi="仿宋_GB2312" w:eastAsia="仿宋_GB2312" w:cs="仿宋_GB2312"/>
          <w:color w:val="000000"/>
          <w:sz w:val="30"/>
          <w:lang w:val="zh-CN"/>
        </w:rPr>
        <w:t>0</w:t>
      </w:r>
      <w:r>
        <w:rPr>
          <w:rFonts w:hint="eastAsia" w:ascii="仿宋_GB2312" w:eastAsia="仿宋_GB2312"/>
          <w:bCs/>
          <w:sz w:val="30"/>
          <w:szCs w:val="30"/>
        </w:rPr>
        <w:t>个，累计</w:t>
      </w:r>
      <w:r>
        <w:rPr>
          <w:rFonts w:hint="eastAsia" w:ascii="仿宋_GB2312" w:hAnsi="仿宋_GB2312" w:eastAsia="仿宋_GB2312" w:cs="仿宋_GB2312"/>
          <w:color w:val="000000"/>
          <w:sz w:val="30"/>
          <w:lang w:val="zh-CN"/>
        </w:rPr>
        <w:t>0</w:t>
      </w:r>
      <w:r>
        <w:rPr>
          <w:rFonts w:hint="eastAsia" w:ascii="仿宋_GB2312" w:eastAsia="仿宋_GB2312"/>
          <w:bCs/>
          <w:sz w:val="30"/>
          <w:szCs w:val="30"/>
        </w:rPr>
        <w:t>人次。</w:t>
      </w:r>
    </w:p>
    <w:p>
      <w:pPr>
        <w:widowControl/>
        <w:snapToGrid w:val="0"/>
        <w:spacing w:before="100" w:after="100" w:line="360" w:lineRule="auto"/>
        <w:ind w:firstLine="600" w:firstLineChars="200"/>
        <w:jc w:val="left"/>
        <w:rPr>
          <w:rFonts w:ascii="仿宋_GB2312" w:eastAsia="仿宋_GB2312"/>
          <w:bCs/>
          <w:sz w:val="30"/>
          <w:szCs w:val="30"/>
        </w:rPr>
      </w:pPr>
      <w:r>
        <w:rPr>
          <w:rFonts w:hint="eastAsia" w:ascii="仿宋_GB2312" w:eastAsia="仿宋_GB2312"/>
          <w:bCs/>
          <w:sz w:val="30"/>
          <w:szCs w:val="30"/>
        </w:rPr>
        <w:t>2.购置车辆</w:t>
      </w:r>
      <w:r>
        <w:rPr>
          <w:rFonts w:hint="eastAsia" w:ascii="仿宋_GB2312" w:hAnsi="仿宋_GB2312" w:eastAsia="仿宋_GB2312" w:cs="仿宋_GB2312"/>
          <w:color w:val="000000"/>
          <w:sz w:val="30"/>
          <w:lang w:val="zh-CN"/>
        </w:rPr>
        <w:t>0</w:t>
      </w:r>
      <w:r>
        <w:rPr>
          <w:rFonts w:hint="eastAsia" w:ascii="仿宋_GB2312" w:eastAsia="仿宋_GB2312"/>
          <w:bCs/>
          <w:sz w:val="30"/>
          <w:szCs w:val="30"/>
        </w:rPr>
        <w:t>辆。开支一般公共预算财政拨款的公务用车保有量为</w:t>
      </w:r>
      <w:r>
        <w:rPr>
          <w:rFonts w:hint="eastAsia" w:ascii="仿宋_GB2312" w:hAnsi="仿宋_GB2312" w:eastAsia="仿宋_GB2312" w:cs="仿宋_GB2312"/>
          <w:color w:val="000000"/>
          <w:sz w:val="30"/>
          <w:lang w:val="en-US" w:eastAsia="zh-CN"/>
        </w:rPr>
        <w:t>1</w:t>
      </w:r>
      <w:r>
        <w:rPr>
          <w:rFonts w:hint="eastAsia" w:ascii="仿宋_GB2312" w:eastAsia="仿宋_GB2312"/>
          <w:bCs/>
          <w:sz w:val="30"/>
          <w:szCs w:val="30"/>
        </w:rPr>
        <w:t>辆。</w:t>
      </w:r>
    </w:p>
    <w:p>
      <w:pPr>
        <w:widowControl/>
        <w:snapToGrid w:val="0"/>
        <w:spacing w:before="100" w:after="100" w:line="360" w:lineRule="auto"/>
        <w:ind w:firstLine="600" w:firstLineChars="200"/>
        <w:jc w:val="left"/>
        <w:rPr>
          <w:rFonts w:ascii="仿宋_GB2312" w:eastAsia="仿宋_GB2312"/>
          <w:sz w:val="30"/>
          <w:szCs w:val="30"/>
        </w:rPr>
      </w:pPr>
      <w:r>
        <w:rPr>
          <w:rFonts w:hint="eastAsia" w:ascii="仿宋_GB2312" w:eastAsia="仿宋_GB2312"/>
          <w:bCs/>
          <w:sz w:val="30"/>
          <w:szCs w:val="30"/>
        </w:rPr>
        <w:t>3.安排</w:t>
      </w:r>
      <w:r>
        <w:rPr>
          <w:rFonts w:hint="eastAsia" w:ascii="仿宋_GB2312" w:eastAsia="仿宋_GB2312"/>
          <w:sz w:val="30"/>
          <w:szCs w:val="30"/>
        </w:rPr>
        <w:t>国内公务接待</w:t>
      </w:r>
      <w:r>
        <w:rPr>
          <w:rFonts w:hint="eastAsia" w:ascii="仿宋_GB2312" w:hAnsi="仿宋_GB2312" w:eastAsia="仿宋_GB2312" w:cs="仿宋_GB2312"/>
          <w:color w:val="000000"/>
          <w:sz w:val="30"/>
          <w:lang w:val="zh-CN"/>
        </w:rPr>
        <w:t>0</w:t>
      </w:r>
      <w:r>
        <w:rPr>
          <w:rFonts w:hint="eastAsia" w:ascii="仿宋_GB2312" w:eastAsia="仿宋_GB2312"/>
          <w:sz w:val="30"/>
          <w:szCs w:val="30"/>
        </w:rPr>
        <w:t>批次（其中：外事接待</w:t>
      </w:r>
      <w:r>
        <w:rPr>
          <w:rFonts w:hint="eastAsia" w:ascii="仿宋_GB2312" w:hAnsi="仿宋_GB2312" w:eastAsia="仿宋_GB2312" w:cs="仿宋_GB2312"/>
          <w:color w:val="000000"/>
          <w:sz w:val="30"/>
          <w:lang w:val="zh-CN"/>
        </w:rPr>
        <w:t>0</w:t>
      </w:r>
      <w:r>
        <w:rPr>
          <w:rFonts w:hint="eastAsia" w:ascii="仿宋_GB2312" w:eastAsia="仿宋_GB2312"/>
          <w:sz w:val="30"/>
          <w:szCs w:val="30"/>
        </w:rPr>
        <w:t>批次），接待人次</w:t>
      </w:r>
      <w:r>
        <w:rPr>
          <w:rFonts w:hint="eastAsia" w:ascii="仿宋_GB2312" w:hAnsi="仿宋_GB2312" w:eastAsia="仿宋_GB2312" w:cs="仿宋_GB2312"/>
          <w:color w:val="000000"/>
          <w:sz w:val="30"/>
          <w:lang w:val="zh-CN"/>
        </w:rPr>
        <w:t>0</w:t>
      </w:r>
      <w:r>
        <w:rPr>
          <w:rFonts w:hint="eastAsia" w:ascii="仿宋_GB2312" w:eastAsia="仿宋_GB2312"/>
          <w:sz w:val="30"/>
          <w:szCs w:val="30"/>
        </w:rPr>
        <w:t>人（其中：外事接待人次</w:t>
      </w:r>
      <w:r>
        <w:rPr>
          <w:rFonts w:hint="eastAsia" w:ascii="仿宋_GB2312" w:hAnsi="仿宋_GB2312" w:eastAsia="仿宋_GB2312" w:cs="仿宋_GB2312"/>
          <w:color w:val="000000"/>
          <w:sz w:val="30"/>
          <w:lang w:val="zh-CN"/>
        </w:rPr>
        <w:t>0</w:t>
      </w:r>
      <w:r>
        <w:rPr>
          <w:rFonts w:hint="eastAsia" w:ascii="仿宋_GB2312" w:eastAsia="仿宋_GB2312"/>
          <w:sz w:val="30"/>
          <w:szCs w:val="30"/>
        </w:rPr>
        <w:t>人）。安排国（境）外公务接待</w:t>
      </w:r>
      <w:r>
        <w:rPr>
          <w:rFonts w:hint="eastAsia" w:ascii="仿宋_GB2312" w:hAnsi="仿宋_GB2312" w:eastAsia="仿宋_GB2312" w:cs="仿宋_GB2312"/>
          <w:color w:val="000000"/>
          <w:sz w:val="30"/>
          <w:lang w:val="zh-CN"/>
        </w:rPr>
        <w:t>0</w:t>
      </w:r>
      <w:r>
        <w:rPr>
          <w:rFonts w:hint="eastAsia" w:ascii="仿宋_GB2312" w:eastAsia="仿宋_GB2312"/>
          <w:sz w:val="30"/>
          <w:szCs w:val="30"/>
        </w:rPr>
        <w:t>批次，接待人次</w:t>
      </w:r>
      <w:r>
        <w:rPr>
          <w:rFonts w:hint="eastAsia" w:ascii="仿宋_GB2312" w:hAnsi="仿宋_GB2312" w:eastAsia="仿宋_GB2312" w:cs="仿宋_GB2312"/>
          <w:color w:val="000000"/>
          <w:sz w:val="30"/>
          <w:lang w:val="zh-CN"/>
        </w:rPr>
        <w:t>0</w:t>
      </w:r>
      <w:r>
        <w:rPr>
          <w:rFonts w:hint="eastAsia" w:ascii="仿宋_GB2312" w:eastAsia="仿宋_GB2312"/>
          <w:sz w:val="30"/>
          <w:szCs w:val="30"/>
        </w:rPr>
        <w:t>人。</w:t>
      </w:r>
    </w:p>
    <w:p>
      <w:pPr>
        <w:widowControl/>
        <w:snapToGrid w:val="0"/>
        <w:spacing w:before="100" w:after="100" w:line="360" w:lineRule="auto"/>
        <w:ind w:firstLine="600" w:firstLineChars="200"/>
        <w:jc w:val="left"/>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（三）需要说明的事项</w:t>
      </w:r>
    </w:p>
    <w:p>
      <w:pPr>
        <w:widowControl/>
        <w:snapToGrid w:val="0"/>
        <w:spacing w:before="100" w:after="100" w:line="360" w:lineRule="auto"/>
        <w:ind w:firstLine="600" w:firstLineChars="200"/>
        <w:jc w:val="left"/>
        <w:rPr>
          <w:rFonts w:hint="eastAsia" w:ascii="仿宋_GB2312" w:eastAsia="仿宋_GB2312"/>
          <w:sz w:val="30"/>
          <w:szCs w:val="30"/>
        </w:rPr>
      </w:pPr>
      <w:r>
        <w:rPr>
          <w:rFonts w:hint="eastAsia" w:ascii="仿宋_GB2312" w:eastAsia="仿宋_GB2312"/>
          <w:sz w:val="30"/>
          <w:szCs w:val="30"/>
        </w:rPr>
        <w:t>不存在需要说明的事项。</w:t>
      </w:r>
    </w:p>
    <w:p>
      <w:pPr>
        <w:widowControl/>
        <w:snapToGrid w:val="0"/>
        <w:spacing w:before="100" w:after="100" w:line="360" w:lineRule="auto"/>
        <w:ind w:firstLine="600" w:firstLineChars="200"/>
        <w:jc w:val="left"/>
        <w:rPr>
          <w:rFonts w:hint="eastAsia" w:ascii="仿宋_GB2312" w:eastAsia="仿宋_GB2312"/>
          <w:sz w:val="30"/>
          <w:szCs w:val="30"/>
          <w:lang w:eastAsia="zh-CN"/>
        </w:rPr>
      </w:pPr>
    </w:p>
    <w:p>
      <w:pPr>
        <w:widowControl/>
        <w:snapToGrid w:val="0"/>
        <w:spacing w:before="100" w:after="100" w:line="360" w:lineRule="auto"/>
        <w:ind w:firstLine="640" w:firstLineChars="200"/>
        <w:jc w:val="left"/>
        <w:outlineLvl w:val="0"/>
        <w:rPr>
          <w:rFonts w:hint="eastAsia" w:ascii="仿宋_GB2312" w:eastAsia="仿宋_GB2312"/>
          <w:sz w:val="32"/>
          <w:szCs w:val="32"/>
          <w:highlight w:val="none"/>
        </w:rPr>
      </w:pPr>
      <w:r>
        <w:rPr>
          <w:rFonts w:hint="eastAsia" w:ascii="黑体" w:hAnsi="黑体" w:eastAsia="黑体" w:cs="方正小标宋简体"/>
          <w:sz w:val="32"/>
          <w:szCs w:val="32"/>
          <w:highlight w:val="none"/>
        </w:rPr>
        <w:t xml:space="preserve">第四部分  </w:t>
      </w:r>
      <w:r>
        <w:rPr>
          <w:rFonts w:hint="eastAsia" w:ascii="黑体" w:hAnsi="黑体" w:eastAsia="黑体"/>
          <w:sz w:val="32"/>
          <w:szCs w:val="32"/>
          <w:highlight w:val="none"/>
        </w:rPr>
        <w:t>其他重要事项及相关口径情况说明</w:t>
      </w:r>
    </w:p>
    <w:p>
      <w:pPr>
        <w:ind w:firstLine="600" w:firstLineChars="200"/>
        <w:jc w:val="left"/>
        <w:outlineLvl w:val="1"/>
        <w:rPr>
          <w:rFonts w:hint="eastAsia" w:ascii="黑体" w:hAnsi="黑体" w:eastAsia="黑体" w:cs="黑体"/>
          <w:sz w:val="30"/>
          <w:szCs w:val="30"/>
          <w:highlight w:val="none"/>
        </w:rPr>
      </w:pPr>
      <w:r>
        <w:rPr>
          <w:rFonts w:hint="eastAsia" w:ascii="黑体" w:hAnsi="黑体" w:eastAsia="黑体" w:cs="黑体"/>
          <w:sz w:val="30"/>
          <w:szCs w:val="30"/>
          <w:highlight w:val="none"/>
        </w:rPr>
        <w:t>一</w:t>
      </w:r>
      <w:r>
        <w:rPr>
          <w:rFonts w:hint="eastAsia" w:ascii="黑体" w:hAnsi="黑体" w:eastAsia="黑体" w:cs="黑体"/>
          <w:sz w:val="30"/>
          <w:szCs w:val="30"/>
          <w:highlight w:val="none"/>
          <w:lang w:eastAsia="zh-CN"/>
        </w:rPr>
        <w:t>、</w:t>
      </w:r>
      <w:r>
        <w:rPr>
          <w:rFonts w:hint="eastAsia" w:ascii="黑体" w:hAnsi="黑体" w:eastAsia="黑体" w:cs="黑体"/>
          <w:sz w:val="30"/>
          <w:szCs w:val="30"/>
          <w:highlight w:val="none"/>
        </w:rPr>
        <w:t>机关运行经费支出情况</w:t>
      </w:r>
    </w:p>
    <w:p>
      <w:pPr>
        <w:ind w:firstLine="600" w:firstLineChars="200"/>
        <w:jc w:val="left"/>
        <w:rPr>
          <w:rFonts w:hint="eastAsia" w:ascii="仿宋_GB2312" w:hAnsi="黑体" w:eastAsia="仿宋_GB2312" w:cs="方正小标宋简体"/>
          <w:sz w:val="30"/>
          <w:szCs w:val="30"/>
          <w:highlight w:val="none"/>
        </w:rPr>
      </w:pPr>
      <w:r>
        <w:rPr>
          <w:rFonts w:hint="eastAsia" w:ascii="仿宋_GB2312" w:hAnsi="仿宋_GB2312" w:eastAsia="仿宋_GB2312" w:cs="仿宋_GB2312"/>
          <w:color w:val="auto"/>
          <w:sz w:val="30"/>
          <w:lang w:val="zh-CN"/>
        </w:rPr>
        <w:t>富民县永定小学</w:t>
      </w:r>
      <w:r>
        <w:rPr>
          <w:rFonts w:hint="eastAsia" w:ascii="仿宋_GB2312" w:hAnsi="黑体" w:eastAsia="仿宋_GB2312" w:cs="方正小标宋简体"/>
          <w:sz w:val="30"/>
          <w:szCs w:val="30"/>
          <w:highlight w:val="none"/>
          <w:lang w:val="en-US" w:eastAsia="zh-CN"/>
        </w:rPr>
        <w:t>2025</w:t>
      </w:r>
      <w:r>
        <w:rPr>
          <w:rFonts w:hint="eastAsia" w:ascii="仿宋_GB2312" w:hAnsi="黑体" w:eastAsia="仿宋_GB2312" w:cs="方正小标宋简体"/>
          <w:sz w:val="30"/>
          <w:szCs w:val="30"/>
          <w:highlight w:val="none"/>
        </w:rPr>
        <w:t>年机关运行经费支出</w:t>
      </w:r>
      <w:r>
        <w:rPr>
          <w:rFonts w:hint="eastAsia" w:ascii="仿宋_GB2312" w:hAnsi="仿宋_GB2312" w:eastAsia="仿宋_GB2312" w:cs="仿宋_GB2312"/>
          <w:color w:val="auto"/>
          <w:sz w:val="30"/>
          <w:lang w:val="en-US" w:eastAsia="zh-CN"/>
        </w:rPr>
        <w:t>0.00</w:t>
      </w:r>
      <w:r>
        <w:rPr>
          <w:rFonts w:hint="eastAsia" w:ascii="仿宋_GB2312" w:hAnsi="黑体" w:eastAsia="仿宋_GB2312" w:cs="方正小标宋简体"/>
          <w:sz w:val="30"/>
          <w:szCs w:val="30"/>
          <w:highlight w:val="none"/>
          <w:lang w:eastAsia="zh-CN"/>
        </w:rPr>
        <w:t>元</w:t>
      </w:r>
      <w:r>
        <w:rPr>
          <w:rFonts w:hint="eastAsia" w:ascii="仿宋_GB2312" w:hAnsi="黑体" w:eastAsia="仿宋_GB2312" w:cs="方正小标宋简体"/>
          <w:sz w:val="30"/>
          <w:szCs w:val="30"/>
          <w:highlight w:val="none"/>
        </w:rPr>
        <w:t>，</w:t>
      </w:r>
      <w:r>
        <w:rPr>
          <w:rFonts w:hint="eastAsia" w:ascii="仿宋_GB2312" w:hAnsi="黑体" w:eastAsia="仿宋_GB2312" w:cs="方正小标宋简体"/>
          <w:sz w:val="30"/>
          <w:szCs w:val="30"/>
          <w:highlight w:val="none"/>
          <w:lang w:eastAsia="zh-CN"/>
        </w:rPr>
        <w:t>比上年</w:t>
      </w:r>
      <w:r>
        <w:rPr>
          <w:rFonts w:hint="eastAsia" w:ascii="仿宋_GB2312" w:eastAsia="仿宋_GB2312"/>
          <w:sz w:val="30"/>
          <w:szCs w:val="30"/>
          <w:highlight w:val="none"/>
        </w:rPr>
        <w:t>增加</w:t>
      </w:r>
      <w:r>
        <w:rPr>
          <w:rFonts w:hint="eastAsia" w:ascii="仿宋_GB2312" w:hAnsi="仿宋_GB2312" w:eastAsia="仿宋_GB2312" w:cs="仿宋_GB2312"/>
          <w:color w:val="auto"/>
          <w:sz w:val="30"/>
          <w:lang w:val="en-US" w:eastAsia="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，增长</w:t>
      </w:r>
      <w:r>
        <w:rPr>
          <w:rFonts w:hint="eastAsia" w:ascii="仿宋_GB2312" w:eastAsia="仿宋_GB2312"/>
          <w:sz w:val="30"/>
          <w:szCs w:val="30"/>
          <w:highlight w:val="none"/>
          <w:lang w:val="en-US" w:eastAsia="zh-CN"/>
        </w:rPr>
        <w:t>0.00</w:t>
      </w:r>
      <w:r>
        <w:rPr>
          <w:rFonts w:hint="eastAsia" w:ascii="仿宋_GB2312" w:eastAsia="仿宋_GB2312"/>
          <w:sz w:val="30"/>
          <w:szCs w:val="30"/>
          <w:highlight w:val="none"/>
        </w:rPr>
        <w:t>%</w:t>
      </w:r>
      <w:r>
        <w:rPr>
          <w:rFonts w:hint="eastAsia" w:ascii="仿宋_GB2312" w:hAnsi="黑体" w:eastAsia="仿宋_GB2312" w:cs="方正小标宋简体"/>
          <w:sz w:val="30"/>
          <w:szCs w:val="30"/>
          <w:highlight w:val="none"/>
        </w:rPr>
        <w:t>,主要原因</w:t>
      </w:r>
      <w:r>
        <w:rPr>
          <w:rFonts w:hint="eastAsia" w:ascii="仿宋_GB2312" w:hAnsi="黑体" w:eastAsia="仿宋_GB2312" w:cs="方正小标宋简体"/>
          <w:sz w:val="30"/>
          <w:szCs w:val="30"/>
          <w:highlight w:val="none"/>
          <w:lang w:eastAsia="zh-CN"/>
        </w:rPr>
        <w:t>是</w:t>
      </w:r>
      <w:r>
        <w:rPr>
          <w:rFonts w:hint="eastAsia" w:ascii="仿宋_GB2312" w:hAnsi="Calibri" w:eastAsia="仿宋_GB2312" w:cs="Times New Roman"/>
          <w:color w:val="000000"/>
          <w:kern w:val="2"/>
          <w:sz w:val="30"/>
          <w:szCs w:val="30"/>
        </w:rPr>
        <w:t>本单位是事业单位，无机关运行经费支出</w:t>
      </w:r>
      <w:r>
        <w:rPr>
          <w:rFonts w:hint="eastAsia" w:ascii="仿宋_GB2312" w:hAnsi="黑体" w:eastAsia="仿宋_GB2312" w:cs="方正小标宋简体"/>
          <w:sz w:val="30"/>
          <w:szCs w:val="30"/>
          <w:highlight w:val="none"/>
        </w:rPr>
        <w:t>。</w:t>
      </w:r>
    </w:p>
    <w:p>
      <w:pPr>
        <w:widowControl/>
        <w:ind w:firstLine="600" w:firstLineChars="200"/>
        <w:outlineLvl w:val="1"/>
        <w:rPr>
          <w:rFonts w:hint="eastAsia" w:ascii="黑体" w:hAnsi="黑体" w:eastAsia="黑体" w:cs="黑体"/>
          <w:color w:val="000000"/>
          <w:kern w:val="0"/>
          <w:sz w:val="30"/>
          <w:szCs w:val="30"/>
          <w:highlight w:val="none"/>
        </w:rPr>
      </w:pPr>
      <w:r>
        <w:rPr>
          <w:rFonts w:hint="eastAsia" w:ascii="黑体" w:hAnsi="黑体" w:eastAsia="黑体" w:cs="黑体"/>
          <w:color w:val="000000"/>
          <w:kern w:val="0"/>
          <w:sz w:val="30"/>
          <w:szCs w:val="30"/>
          <w:highlight w:val="none"/>
          <w:lang w:eastAsia="zh-CN"/>
        </w:rPr>
        <w:t>二、</w:t>
      </w:r>
      <w:r>
        <w:rPr>
          <w:rFonts w:hint="eastAsia" w:ascii="黑体" w:hAnsi="黑体" w:eastAsia="黑体" w:cs="黑体"/>
          <w:color w:val="000000"/>
          <w:kern w:val="0"/>
          <w:sz w:val="30"/>
          <w:szCs w:val="30"/>
          <w:highlight w:val="none"/>
        </w:rPr>
        <w:t>国有资产占用情况</w:t>
      </w:r>
    </w:p>
    <w:p>
      <w:pPr>
        <w:widowControl/>
        <w:ind w:firstLine="600" w:firstLineChars="200"/>
        <w:rPr>
          <w:rFonts w:hint="eastAsia" w:ascii="仿宋_GB2312" w:hAnsi="黑体" w:eastAsia="仿宋_GB2312" w:cs="方正小标宋简体"/>
          <w:color w:val="000000"/>
          <w:kern w:val="0"/>
          <w:sz w:val="30"/>
          <w:szCs w:val="30"/>
          <w:highlight w:val="none"/>
        </w:rPr>
      </w:pPr>
      <w:r>
        <w:rPr>
          <w:rFonts w:hint="eastAsia" w:ascii="仿宋_GB2312" w:hAnsi="仿宋_GB2312" w:eastAsia="仿宋_GB2312" w:cs="仿宋_GB2312"/>
          <w:sz w:val="30"/>
          <w:szCs w:val="30"/>
          <w:highlight w:val="none"/>
          <w:lang w:eastAsia="zh-CN"/>
        </w:rPr>
        <w:t>截至202</w:t>
      </w:r>
      <w:r>
        <w:rPr>
          <w:rFonts w:hint="eastAsia" w:ascii="仿宋_GB2312" w:hAnsi="仿宋_GB2312" w:eastAsia="仿宋_GB2312" w:cs="仿宋_GB2312"/>
          <w:sz w:val="30"/>
          <w:szCs w:val="30"/>
          <w:highlight w:val="none"/>
          <w:lang w:val="en-US" w:eastAsia="zh-CN"/>
        </w:rPr>
        <w:t>5</w:t>
      </w:r>
      <w:r>
        <w:rPr>
          <w:rFonts w:hint="eastAsia" w:ascii="仿宋_GB2312" w:hAnsi="仿宋_GB2312" w:eastAsia="仿宋_GB2312" w:cs="仿宋_GB2312"/>
          <w:sz w:val="30"/>
          <w:szCs w:val="30"/>
          <w:highlight w:val="none"/>
          <w:lang w:eastAsia="zh-CN"/>
        </w:rPr>
        <w:t>年末，</w:t>
      </w:r>
      <w:r>
        <w:rPr>
          <w:rFonts w:hint="eastAsia" w:ascii="仿宋_GB2312" w:hAnsi="仿宋_GB2312" w:eastAsia="仿宋_GB2312" w:cs="仿宋_GB2312"/>
          <w:color w:val="auto"/>
          <w:sz w:val="30"/>
          <w:lang w:val="zh-CN"/>
        </w:rPr>
        <w:t>富民县永定小学</w:t>
      </w:r>
      <w:r>
        <w:rPr>
          <w:rFonts w:hint="eastAsia" w:ascii="仿宋_GB2312" w:hAnsi="仿宋_GB2312" w:eastAsia="仿宋_GB2312" w:cs="仿宋_GB2312"/>
          <w:sz w:val="30"/>
          <w:szCs w:val="30"/>
          <w:highlight w:val="none"/>
          <w:lang w:eastAsia="zh-CN"/>
        </w:rPr>
        <w:t>资产总额</w:t>
      </w:r>
      <w:r>
        <w:rPr>
          <w:rFonts w:hint="eastAsia" w:ascii="仿宋_GB2312" w:hAnsi="仿宋_GB2312" w:eastAsia="仿宋_GB2312" w:cs="仿宋_GB2312"/>
          <w:sz w:val="30"/>
          <w:szCs w:val="30"/>
          <w:highlight w:val="none"/>
          <w:lang w:val="en-US" w:eastAsia="zh-CN"/>
        </w:rPr>
        <w:t>74555027.61</w:t>
      </w:r>
      <w:r>
        <w:rPr>
          <w:rFonts w:hint="eastAsia" w:ascii="仿宋_GB2312" w:hAnsi="仿宋_GB2312" w:eastAsia="仿宋_GB2312" w:cs="仿宋_GB2312"/>
          <w:sz w:val="30"/>
          <w:szCs w:val="30"/>
          <w:highlight w:val="none"/>
          <w:lang w:eastAsia="zh-CN"/>
        </w:rPr>
        <w:t>元，其中，流动资产</w:t>
      </w:r>
      <w:r>
        <w:rPr>
          <w:rFonts w:hint="eastAsia" w:ascii="仿宋_GB2312" w:hAnsi="仿宋_GB2312" w:eastAsia="仿宋_GB2312" w:cs="仿宋_GB2312"/>
          <w:sz w:val="30"/>
          <w:szCs w:val="30"/>
          <w:highlight w:val="none"/>
          <w:lang w:val="en-US" w:eastAsia="zh-CN"/>
        </w:rPr>
        <w:t>994030.86</w:t>
      </w:r>
      <w:r>
        <w:rPr>
          <w:rFonts w:hint="eastAsia" w:ascii="仿宋_GB2312" w:hAnsi="仿宋_GB2312" w:eastAsia="仿宋_GB2312" w:cs="仿宋_GB2312"/>
          <w:sz w:val="30"/>
          <w:szCs w:val="30"/>
          <w:highlight w:val="none"/>
          <w:lang w:eastAsia="zh-CN"/>
        </w:rPr>
        <w:t>元，固定资产</w:t>
      </w:r>
      <w:r>
        <w:rPr>
          <w:rFonts w:hint="eastAsia" w:ascii="仿宋_GB2312" w:hAnsi="仿宋_GB2312" w:eastAsia="仿宋_GB2312" w:cs="仿宋_GB2312"/>
          <w:sz w:val="30"/>
          <w:szCs w:val="30"/>
          <w:highlight w:val="none"/>
          <w:lang w:val="en-US" w:eastAsia="zh-CN"/>
        </w:rPr>
        <w:t>60518329.03</w:t>
      </w:r>
      <w:r>
        <w:rPr>
          <w:rFonts w:hint="eastAsia" w:ascii="仿宋_GB2312" w:hAnsi="仿宋_GB2312" w:eastAsia="仿宋_GB2312" w:cs="仿宋_GB2312"/>
          <w:sz w:val="30"/>
          <w:szCs w:val="30"/>
          <w:highlight w:val="none"/>
          <w:lang w:eastAsia="zh-CN"/>
        </w:rPr>
        <w:t>元（净值），对外投资及有价证券</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元，在建工程</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元，无形资产</w:t>
      </w:r>
      <w:r>
        <w:rPr>
          <w:rFonts w:hint="eastAsia" w:ascii="仿宋_GB2312" w:hAnsi="仿宋_GB2312" w:eastAsia="仿宋_GB2312" w:cs="仿宋_GB2312"/>
          <w:sz w:val="30"/>
          <w:szCs w:val="30"/>
          <w:highlight w:val="none"/>
          <w:lang w:val="en-US" w:eastAsia="zh-CN"/>
        </w:rPr>
        <w:t>13042667.72</w:t>
      </w:r>
      <w:r>
        <w:rPr>
          <w:rFonts w:hint="eastAsia" w:ascii="仿宋_GB2312" w:hAnsi="仿宋_GB2312" w:eastAsia="仿宋_GB2312" w:cs="仿宋_GB2312"/>
          <w:sz w:val="30"/>
          <w:szCs w:val="30"/>
          <w:highlight w:val="none"/>
          <w:lang w:eastAsia="zh-CN"/>
        </w:rPr>
        <w:t>元（净值），其他资产</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元（净值）（具体内容详见附表）</w:t>
      </w:r>
      <w:r>
        <w:rPr>
          <w:rFonts w:hint="eastAsia" w:ascii="仿宋_GB2312" w:hAnsi="黑体" w:eastAsia="仿宋_GB2312" w:cs="方正小标宋简体"/>
          <w:color w:val="000000"/>
          <w:kern w:val="0"/>
          <w:sz w:val="30"/>
          <w:szCs w:val="30"/>
          <w:highlight w:val="none"/>
        </w:rPr>
        <w:t>。与上年相比，本年资产总额减少</w:t>
      </w:r>
      <w:r>
        <w:rPr>
          <w:rFonts w:hint="eastAsia" w:ascii="仿宋_GB2312" w:hAnsi="黑体" w:eastAsia="仿宋_GB2312" w:cs="方正小标宋简体"/>
          <w:color w:val="000000"/>
          <w:kern w:val="0"/>
          <w:sz w:val="30"/>
          <w:szCs w:val="30"/>
          <w:highlight w:val="none"/>
          <w:lang w:val="en-US" w:eastAsia="zh-CN"/>
        </w:rPr>
        <w:t>47905.70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，其中固定资产减少</w:t>
      </w:r>
      <w:r>
        <w:rPr>
          <w:rFonts w:hint="eastAsia" w:ascii="仿宋_GB2312" w:hAnsi="黑体" w:eastAsia="仿宋_GB2312" w:cs="方正小标宋简体"/>
          <w:color w:val="000000"/>
          <w:kern w:val="0"/>
          <w:sz w:val="30"/>
          <w:szCs w:val="30"/>
          <w:highlight w:val="none"/>
          <w:lang w:val="en-US" w:eastAsia="zh-CN"/>
        </w:rPr>
        <w:t>47905.70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。处置房屋建筑物</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rPr>
        <w:t>平方米，账面原值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；处置车辆</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rPr>
        <w:t>辆，账面原值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；报废报损资产</w:t>
      </w:r>
      <w:r>
        <w:rPr>
          <w:rFonts w:hint="eastAsia" w:ascii="仿宋_GB2312" w:hAnsi="黑体" w:eastAsia="仿宋_GB2312" w:cs="方正小标宋简体"/>
          <w:color w:val="000000"/>
          <w:kern w:val="0"/>
          <w:sz w:val="30"/>
          <w:szCs w:val="30"/>
          <w:highlight w:val="none"/>
          <w:lang w:val="en-US" w:eastAsia="zh-CN"/>
        </w:rPr>
        <w:t>13</w:t>
      </w:r>
      <w:r>
        <w:rPr>
          <w:rFonts w:hint="eastAsia" w:ascii="仿宋_GB2312" w:hAnsi="黑体" w:eastAsia="仿宋_GB2312" w:cs="方正小标宋简体"/>
          <w:color w:val="000000"/>
          <w:kern w:val="0"/>
          <w:sz w:val="30"/>
          <w:szCs w:val="30"/>
          <w:highlight w:val="none"/>
        </w:rPr>
        <w:t>项，账面原值</w:t>
      </w:r>
      <w:r>
        <w:rPr>
          <w:rFonts w:hint="eastAsia" w:ascii="仿宋_GB2312" w:hAnsi="黑体" w:eastAsia="仿宋_GB2312" w:cs="方正小标宋简体"/>
          <w:color w:val="000000"/>
          <w:kern w:val="0"/>
          <w:sz w:val="30"/>
          <w:szCs w:val="30"/>
          <w:highlight w:val="none"/>
          <w:lang w:val="en-US" w:eastAsia="zh-CN"/>
        </w:rPr>
        <w:t>49765.00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，实现资产处置收入</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；出租房屋</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rPr>
        <w:t>平方米，账面原值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，实现资产使用收入</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w:t>
      </w:r>
    </w:p>
    <w:p>
      <w:pPr>
        <w:widowControl/>
        <w:ind w:firstLine="600" w:firstLineChars="200"/>
        <w:rPr>
          <w:rFonts w:hint="eastAsia" w:ascii="仿宋_GB2312" w:hAnsi="黑体" w:eastAsia="仿宋_GB2312" w:cs="方正小标宋简体"/>
          <w:color w:val="000000"/>
          <w:kern w:val="0"/>
          <w:sz w:val="30"/>
          <w:szCs w:val="30"/>
          <w:highlight w:val="none"/>
          <w:lang w:eastAsia="zh-CN"/>
        </w:rPr>
      </w:pPr>
      <w:r>
        <w:rPr>
          <w:rFonts w:hint="eastAsia" w:ascii="仿宋_GB2312" w:hAnsi="黑体" w:eastAsia="仿宋_GB2312" w:cs="方正小标宋简体"/>
          <w:color w:val="000000"/>
          <w:kern w:val="0"/>
          <w:sz w:val="30"/>
          <w:szCs w:val="30"/>
          <w:highlight w:val="none"/>
          <w:lang w:eastAsia="zh-CN"/>
        </w:rPr>
        <w:t>（</w:t>
      </w:r>
      <w:r>
        <w:rPr>
          <w:rFonts w:hint="eastAsia" w:ascii="仿宋_GB2312" w:hAnsi="黑体" w:eastAsia="仿宋_GB2312" w:cs="方正小标宋简体"/>
          <w:color w:val="000000"/>
          <w:kern w:val="0"/>
          <w:sz w:val="30"/>
          <w:szCs w:val="30"/>
          <w:highlight w:val="none"/>
        </w:rPr>
        <w:t>国有资产占有使用情况表</w:t>
      </w:r>
      <w:r>
        <w:rPr>
          <w:rFonts w:hint="eastAsia" w:ascii="仿宋_GB2312" w:hAnsi="黑体" w:eastAsia="仿宋_GB2312" w:cs="方正小标宋简体"/>
          <w:color w:val="000000"/>
          <w:kern w:val="0"/>
          <w:sz w:val="30"/>
          <w:szCs w:val="30"/>
          <w:highlight w:val="none"/>
          <w:lang w:eastAsia="zh-CN"/>
        </w:rPr>
        <w:t>详见附表）</w:t>
      </w:r>
    </w:p>
    <w:tbl>
      <w:tblPr>
        <w:tblStyle w:val="6"/>
        <w:tblpPr w:leftFromText="180" w:rightFromText="180" w:topFromText="100" w:bottomFromText="100" w:vertAnchor="text" w:horzAnchor="page" w:tblpX="534" w:tblpY="490"/>
        <w:tblOverlap w:val="never"/>
        <w:tblW w:w="142" w:type="dxa"/>
        <w:tblInd w:w="-15" w:type="dxa"/>
        <w:tblLayout w:type="fixed"/>
        <w:tblCellMar>
          <w:top w:w="0" w:type="dxa"/>
          <w:left w:w="0" w:type="dxa"/>
          <w:bottom w:w="0" w:type="dxa"/>
          <w:right w:w="0" w:type="dxa"/>
        </w:tblCellMar>
      </w:tblPr>
      <w:tblGrid>
        <w:gridCol w:w="142"/>
      </w:tblGrid>
      <w:tr>
        <w:tblPrEx>
          <w:tblCellMar>
            <w:top w:w="0" w:type="dxa"/>
            <w:left w:w="0" w:type="dxa"/>
            <w:bottom w:w="0" w:type="dxa"/>
            <w:right w:w="0" w:type="dxa"/>
          </w:tblCellMar>
        </w:tblPrEx>
        <w:trPr>
          <w:trHeight w:val="495" w:hRule="atLeast"/>
        </w:trPr>
        <w:tc>
          <w:tcPr>
            <w:tcW w:w="142" w:type="dxa"/>
            <w:tcBorders>
              <w:top w:val="nil"/>
              <w:left w:val="nil"/>
              <w:bottom w:val="nil"/>
              <w:right w:val="nil"/>
            </w:tcBorders>
            <w:noWrap w:val="0"/>
            <w:vAlign w:val="center"/>
          </w:tcPr>
          <w:p>
            <w:pPr>
              <w:widowControl/>
              <w:jc w:val="left"/>
              <w:rPr>
                <w:rFonts w:ascii="宋体" w:hAnsi="宋体" w:cs="宋体"/>
                <w:color w:val="000000"/>
                <w:kern w:val="0"/>
                <w:sz w:val="17"/>
                <w:szCs w:val="17"/>
                <w:highlight w:val="none"/>
              </w:rPr>
            </w:pPr>
          </w:p>
        </w:tc>
      </w:tr>
      <w:tr>
        <w:tblPrEx>
          <w:tblCellMar>
            <w:top w:w="0" w:type="dxa"/>
            <w:left w:w="0" w:type="dxa"/>
            <w:bottom w:w="0" w:type="dxa"/>
            <w:right w:w="0" w:type="dxa"/>
          </w:tblCellMar>
        </w:tblPrEx>
        <w:trPr>
          <w:trHeight w:val="347" w:hRule="atLeast"/>
        </w:trPr>
        <w:tc>
          <w:tcPr>
            <w:tcW w:w="142" w:type="dxa"/>
            <w:tcBorders>
              <w:top w:val="nil"/>
              <w:left w:val="nil"/>
              <w:bottom w:val="nil"/>
              <w:right w:val="nil"/>
            </w:tcBorders>
            <w:noWrap w:val="0"/>
            <w:vAlign w:val="center"/>
          </w:tcPr>
          <w:p>
            <w:pPr>
              <w:widowControl/>
              <w:jc w:val="left"/>
              <w:rPr>
                <w:rFonts w:ascii="宋体" w:hAnsi="宋体" w:cs="宋体"/>
                <w:color w:val="000000"/>
                <w:kern w:val="0"/>
                <w:sz w:val="17"/>
                <w:szCs w:val="17"/>
                <w:highlight w:val="none"/>
              </w:rPr>
            </w:pPr>
          </w:p>
        </w:tc>
      </w:tr>
      <w:tr>
        <w:tblPrEx>
          <w:tblCellMar>
            <w:top w:w="0" w:type="dxa"/>
            <w:left w:w="0" w:type="dxa"/>
            <w:bottom w:w="0" w:type="dxa"/>
            <w:right w:w="0" w:type="dxa"/>
          </w:tblCellMar>
        </w:tblPrEx>
        <w:trPr>
          <w:trHeight w:val="415" w:hRule="atLeast"/>
        </w:trPr>
        <w:tc>
          <w:tcPr>
            <w:tcW w:w="142" w:type="dxa"/>
            <w:tcBorders>
              <w:top w:val="nil"/>
              <w:left w:val="nil"/>
              <w:bottom w:val="nil"/>
              <w:right w:val="nil"/>
            </w:tcBorders>
            <w:noWrap w:val="0"/>
            <w:vAlign w:val="center"/>
          </w:tcPr>
          <w:p>
            <w:pPr>
              <w:widowControl/>
              <w:jc w:val="left"/>
              <w:rPr>
                <w:rFonts w:ascii="宋体" w:hAnsi="宋体" w:cs="宋体"/>
                <w:color w:val="000000"/>
                <w:kern w:val="0"/>
                <w:sz w:val="17"/>
                <w:szCs w:val="17"/>
                <w:highlight w:val="none"/>
              </w:rPr>
            </w:pPr>
          </w:p>
        </w:tc>
      </w:tr>
      <w:tr>
        <w:tblPrEx>
          <w:tblCellMar>
            <w:top w:w="0" w:type="dxa"/>
            <w:left w:w="0" w:type="dxa"/>
            <w:bottom w:w="0" w:type="dxa"/>
            <w:right w:w="0" w:type="dxa"/>
          </w:tblCellMar>
        </w:tblPrEx>
        <w:trPr>
          <w:trHeight w:val="345" w:hRule="atLeast"/>
        </w:trPr>
        <w:tc>
          <w:tcPr>
            <w:tcW w:w="142" w:type="dxa"/>
            <w:tcBorders>
              <w:top w:val="nil"/>
              <w:left w:val="nil"/>
              <w:bottom w:val="nil"/>
              <w:right w:val="nil"/>
            </w:tcBorders>
            <w:noWrap w:val="0"/>
            <w:vAlign w:val="center"/>
          </w:tcPr>
          <w:p>
            <w:pPr>
              <w:widowControl/>
              <w:jc w:val="left"/>
              <w:rPr>
                <w:rFonts w:ascii="宋体" w:hAnsi="宋体" w:cs="宋体"/>
                <w:color w:val="000000"/>
                <w:kern w:val="0"/>
                <w:sz w:val="17"/>
                <w:szCs w:val="17"/>
                <w:highlight w:val="none"/>
              </w:rPr>
            </w:pPr>
          </w:p>
        </w:tc>
      </w:tr>
      <w:tr>
        <w:tblPrEx>
          <w:tblCellMar>
            <w:top w:w="0" w:type="dxa"/>
            <w:left w:w="0" w:type="dxa"/>
            <w:bottom w:w="0" w:type="dxa"/>
            <w:right w:w="0" w:type="dxa"/>
          </w:tblCellMar>
        </w:tblPrEx>
        <w:trPr>
          <w:trHeight w:val="395" w:hRule="atLeast"/>
        </w:trPr>
        <w:tc>
          <w:tcPr>
            <w:tcW w:w="142" w:type="dxa"/>
            <w:tcBorders>
              <w:top w:val="nil"/>
              <w:left w:val="nil"/>
              <w:bottom w:val="nil"/>
              <w:right w:val="nil"/>
            </w:tcBorders>
            <w:noWrap w:val="0"/>
            <w:vAlign w:val="center"/>
          </w:tcPr>
          <w:p>
            <w:pPr>
              <w:widowControl/>
              <w:jc w:val="left"/>
              <w:rPr>
                <w:rFonts w:ascii="宋体" w:hAnsi="宋体" w:cs="宋体"/>
                <w:color w:val="000000"/>
                <w:kern w:val="0"/>
                <w:sz w:val="17"/>
                <w:szCs w:val="17"/>
                <w:highlight w:val="none"/>
              </w:rPr>
            </w:pPr>
          </w:p>
        </w:tc>
      </w:tr>
      <w:tr>
        <w:tblPrEx>
          <w:tblCellMar>
            <w:top w:w="0" w:type="dxa"/>
            <w:left w:w="0" w:type="dxa"/>
            <w:bottom w:w="0" w:type="dxa"/>
            <w:right w:w="0" w:type="dxa"/>
          </w:tblCellMar>
        </w:tblPrEx>
        <w:trPr>
          <w:trHeight w:val="358" w:hRule="atLeast"/>
        </w:trPr>
        <w:tc>
          <w:tcPr>
            <w:tcW w:w="142" w:type="dxa"/>
            <w:tcBorders>
              <w:top w:val="nil"/>
              <w:left w:val="nil"/>
              <w:bottom w:val="nil"/>
              <w:right w:val="nil"/>
            </w:tcBorders>
            <w:noWrap w:val="0"/>
            <w:vAlign w:val="center"/>
          </w:tcPr>
          <w:p>
            <w:pPr>
              <w:widowControl/>
              <w:jc w:val="left"/>
              <w:rPr>
                <w:rFonts w:ascii="宋体" w:hAnsi="宋体" w:cs="宋体"/>
                <w:color w:val="000000"/>
                <w:kern w:val="0"/>
                <w:sz w:val="17"/>
                <w:szCs w:val="17"/>
                <w:highlight w:val="none"/>
              </w:rPr>
            </w:pPr>
          </w:p>
        </w:tc>
      </w:tr>
      <w:tr>
        <w:tblPrEx>
          <w:tblCellMar>
            <w:top w:w="0" w:type="dxa"/>
            <w:left w:w="0" w:type="dxa"/>
            <w:bottom w:w="0" w:type="dxa"/>
            <w:right w:w="0" w:type="dxa"/>
          </w:tblCellMar>
        </w:tblPrEx>
        <w:trPr>
          <w:trHeight w:val="563" w:hRule="atLeast"/>
        </w:trPr>
        <w:tc>
          <w:tcPr>
            <w:tcW w:w="142" w:type="dxa"/>
            <w:tcBorders>
              <w:top w:val="nil"/>
              <w:left w:val="nil"/>
              <w:bottom w:val="nil"/>
              <w:right w:val="nil"/>
            </w:tcBorders>
            <w:noWrap w:val="0"/>
            <w:vAlign w:val="center"/>
          </w:tcPr>
          <w:p>
            <w:pPr>
              <w:widowControl/>
              <w:jc w:val="left"/>
              <w:rPr>
                <w:rFonts w:ascii="宋体" w:hAnsi="宋体" w:cs="宋体"/>
                <w:color w:val="000000"/>
                <w:kern w:val="0"/>
                <w:sz w:val="17"/>
                <w:szCs w:val="17"/>
                <w:highlight w:val="none"/>
              </w:rPr>
            </w:pPr>
          </w:p>
        </w:tc>
      </w:tr>
      <w:tr>
        <w:tblPrEx>
          <w:tblCellMar>
            <w:top w:w="0" w:type="dxa"/>
            <w:left w:w="0" w:type="dxa"/>
            <w:bottom w:w="0" w:type="dxa"/>
            <w:right w:w="0" w:type="dxa"/>
          </w:tblCellMar>
        </w:tblPrEx>
        <w:trPr>
          <w:trHeight w:val="495" w:hRule="atLeast"/>
        </w:trPr>
        <w:tc>
          <w:tcPr>
            <w:tcW w:w="142" w:type="dxa"/>
            <w:noWrap w:val="0"/>
            <w:vAlign w:val="center"/>
          </w:tcPr>
          <w:p>
            <w:pPr>
              <w:widowControl/>
              <w:jc w:val="left"/>
              <w:rPr>
                <w:rFonts w:ascii="Times New Roman" w:hAnsi="Times New Roman" w:eastAsia="Times New Roman"/>
                <w:kern w:val="0"/>
                <w:sz w:val="20"/>
                <w:szCs w:val="20"/>
                <w:highlight w:val="none"/>
              </w:rPr>
            </w:pPr>
          </w:p>
        </w:tc>
      </w:tr>
    </w:tbl>
    <w:p>
      <w:pPr>
        <w:ind w:firstLine="600" w:firstLineChars="200"/>
        <w:jc w:val="left"/>
        <w:outlineLvl w:val="1"/>
        <w:rPr>
          <w:rFonts w:hint="eastAsia" w:ascii="黑体" w:hAnsi="黑体" w:eastAsia="黑体" w:cs="黑体"/>
          <w:sz w:val="30"/>
          <w:szCs w:val="30"/>
          <w:highlight w:val="none"/>
        </w:rPr>
      </w:pPr>
      <w:r>
        <w:rPr>
          <w:rFonts w:hint="eastAsia" w:ascii="黑体" w:hAnsi="黑体" w:eastAsia="黑体" w:cs="黑体"/>
          <w:sz w:val="30"/>
          <w:szCs w:val="30"/>
          <w:highlight w:val="none"/>
          <w:lang w:eastAsia="zh-CN"/>
        </w:rPr>
        <w:t>三、政</w:t>
      </w:r>
      <w:r>
        <w:rPr>
          <w:rFonts w:hint="eastAsia" w:ascii="黑体" w:hAnsi="黑体" w:eastAsia="黑体" w:cs="黑体"/>
          <w:sz w:val="30"/>
          <w:szCs w:val="30"/>
          <w:highlight w:val="none"/>
        </w:rPr>
        <w:t>府采购支出情况</w:t>
      </w:r>
    </w:p>
    <w:p>
      <w:pPr>
        <w:ind w:firstLine="600" w:firstLineChars="200"/>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2025年度，单位政府采购支出总额</w:t>
      </w:r>
      <w:r>
        <w:rPr>
          <w:rFonts w:hint="eastAsia" w:ascii="仿宋_GB2312" w:hAnsi="仿宋_GB2312" w:eastAsia="仿宋_GB2312" w:cs="仿宋_GB2312"/>
          <w:color w:val="auto"/>
          <w:sz w:val="30"/>
          <w:lang w:val="zh-CN"/>
        </w:rPr>
        <w:t>4194379.00</w:t>
      </w:r>
      <w:r>
        <w:rPr>
          <w:rFonts w:hint="eastAsia" w:ascii="仿宋_GB2312" w:hAnsi="仿宋_GB2312" w:eastAsia="仿宋_GB2312" w:cs="仿宋_GB2312"/>
          <w:sz w:val="30"/>
          <w:szCs w:val="30"/>
          <w:highlight w:val="none"/>
          <w:lang w:val="en-US" w:eastAsia="zh-CN"/>
        </w:rPr>
        <w:t>元，其中：政府采购货物支出</w:t>
      </w:r>
      <w:r>
        <w:rPr>
          <w:rFonts w:hint="eastAsia" w:ascii="仿宋_GB2312" w:hAnsi="仿宋_GB2312" w:eastAsia="仿宋_GB2312" w:cs="仿宋_GB2312"/>
          <w:color w:val="auto"/>
          <w:sz w:val="30"/>
          <w:lang w:val="zh-CN"/>
        </w:rPr>
        <w:t>1415583.30</w:t>
      </w:r>
      <w:r>
        <w:rPr>
          <w:rFonts w:hint="eastAsia" w:ascii="仿宋_GB2312" w:hAnsi="仿宋_GB2312" w:eastAsia="仿宋_GB2312" w:cs="仿宋_GB2312"/>
          <w:sz w:val="30"/>
          <w:szCs w:val="30"/>
          <w:highlight w:val="none"/>
          <w:lang w:val="en-US" w:eastAsia="zh-CN"/>
        </w:rPr>
        <w:t>元；政府采购工程支出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元；政府采购服务支出</w:t>
      </w:r>
      <w:r>
        <w:rPr>
          <w:rFonts w:hint="eastAsia" w:ascii="仿宋_GB2312" w:hAnsi="仿宋_GB2312" w:eastAsia="仿宋_GB2312" w:cs="仿宋_GB2312"/>
          <w:color w:val="auto"/>
          <w:sz w:val="30"/>
          <w:lang w:val="zh-CN"/>
        </w:rPr>
        <w:t>2778795.70</w:t>
      </w:r>
      <w:r>
        <w:rPr>
          <w:rFonts w:hint="eastAsia" w:ascii="仿宋_GB2312" w:hAnsi="仿宋_GB2312" w:eastAsia="仿宋_GB2312" w:cs="仿宋_GB2312"/>
          <w:sz w:val="30"/>
          <w:szCs w:val="30"/>
          <w:highlight w:val="none"/>
          <w:lang w:val="en-US" w:eastAsia="zh-CN"/>
        </w:rPr>
        <w:t>元。授予中小企业合同金额</w:t>
      </w:r>
      <w:r>
        <w:rPr>
          <w:rFonts w:hint="eastAsia" w:ascii="仿宋_GB2312" w:hAnsi="仿宋_GB2312" w:eastAsia="仿宋_GB2312" w:cs="仿宋_GB2312"/>
          <w:color w:val="auto"/>
          <w:sz w:val="30"/>
          <w:lang w:val="zh-CN"/>
        </w:rPr>
        <w:t>4194379.00</w:t>
      </w:r>
      <w:r>
        <w:rPr>
          <w:rFonts w:hint="eastAsia" w:ascii="仿宋_GB2312" w:hAnsi="仿宋_GB2312" w:eastAsia="仿宋_GB2312" w:cs="仿宋_GB2312"/>
          <w:sz w:val="30"/>
          <w:szCs w:val="30"/>
          <w:highlight w:val="none"/>
          <w:lang w:val="en-US" w:eastAsia="zh-CN"/>
        </w:rPr>
        <w:t>元，其中：授予小微企业合同金额</w:t>
      </w:r>
      <w:r>
        <w:rPr>
          <w:rFonts w:hint="eastAsia" w:ascii="仿宋_GB2312" w:hAnsi="仿宋_GB2312" w:eastAsia="仿宋_GB2312" w:cs="仿宋_GB2312"/>
          <w:color w:val="auto"/>
          <w:sz w:val="30"/>
          <w:lang w:val="zh-CN"/>
        </w:rPr>
        <w:t>4194379.00</w:t>
      </w:r>
      <w:r>
        <w:rPr>
          <w:rFonts w:hint="eastAsia" w:ascii="仿宋_GB2312" w:hAnsi="仿宋_GB2312" w:eastAsia="仿宋_GB2312" w:cs="仿宋_GB2312"/>
          <w:sz w:val="30"/>
          <w:szCs w:val="30"/>
          <w:highlight w:val="none"/>
          <w:lang w:val="en-US" w:eastAsia="zh-CN"/>
        </w:rPr>
        <w:t>元。</w:t>
      </w:r>
    </w:p>
    <w:p>
      <w:pPr>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四、单位绩效自评情况</w:t>
      </w:r>
    </w:p>
    <w:p>
      <w:pPr>
        <w:widowControl/>
        <w:snapToGrid w:val="0"/>
        <w:spacing w:before="100" w:after="100" w:line="360" w:lineRule="auto"/>
        <w:ind w:firstLine="600"/>
        <w:jc w:val="left"/>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单位绩效自评情况详见附表。</w:t>
      </w:r>
    </w:p>
    <w:p>
      <w:pPr>
        <w:widowControl/>
        <w:snapToGrid w:val="0"/>
        <w:spacing w:before="100" w:after="100" w:line="360" w:lineRule="auto"/>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五、其他重要事项情况说明</w:t>
      </w:r>
    </w:p>
    <w:p>
      <w:pPr>
        <w:widowControl/>
        <w:snapToGrid w:val="0"/>
        <w:spacing w:before="100" w:after="100" w:line="360" w:lineRule="auto"/>
        <w:ind w:firstLine="600" w:firstLineChars="200"/>
        <w:jc w:val="left"/>
        <w:outlineLvl w:val="1"/>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我单位无其他需要说明的事项。</w:t>
      </w:r>
    </w:p>
    <w:p>
      <w:pPr>
        <w:widowControl/>
        <w:snapToGrid w:val="0"/>
        <w:spacing w:before="100" w:after="100" w:line="360" w:lineRule="auto"/>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六、相关口径说明</w:t>
      </w:r>
    </w:p>
    <w:p>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（一）</w:t>
      </w:r>
      <w:r>
        <w:rPr>
          <w:rFonts w:hint="eastAsia" w:ascii="仿宋_GB2312" w:hAnsi="黑体" w:eastAsia="仿宋_GB2312" w:cs="方正小标宋简体"/>
          <w:sz w:val="30"/>
          <w:szCs w:val="30"/>
          <w:highlight w:val="none"/>
        </w:rPr>
        <w:t>基本支出中人员经费包括工资福利支出和对个人和家庭的补助，公用</w:t>
      </w:r>
      <w:r>
        <w:rPr>
          <w:rFonts w:hint="eastAsia" w:ascii="仿宋_GB2312" w:hAnsi="黑体" w:eastAsia="仿宋_GB2312" w:cs="方正小标宋简体"/>
          <w:sz w:val="30"/>
          <w:szCs w:val="30"/>
          <w:highlight w:val="none"/>
          <w:lang w:eastAsia="zh-CN"/>
        </w:rPr>
        <w:t>经费</w:t>
      </w:r>
      <w:r>
        <w:rPr>
          <w:rFonts w:hint="eastAsia" w:ascii="仿宋_GB2312" w:hAnsi="黑体" w:eastAsia="仿宋_GB2312" w:cs="方正小标宋简体"/>
          <w:sz w:val="30"/>
          <w:szCs w:val="30"/>
          <w:highlight w:val="none"/>
        </w:rPr>
        <w:t>包括商品和服务支出、资本性支出等人员经费以外的支出。</w:t>
      </w:r>
    </w:p>
    <w:p>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（二）</w:t>
      </w:r>
      <w:r>
        <w:rPr>
          <w:rFonts w:hint="eastAsia" w:ascii="仿宋_GB2312" w:hAnsi="黑体" w:eastAsia="仿宋_GB2312" w:cs="方正小标宋简体"/>
          <w:sz w:val="30"/>
          <w:szCs w:val="30"/>
          <w:highlight w:val="none"/>
        </w:rPr>
        <w:t>机关运行经费指行政单位和参照公务员法管理的事业单位使用一般公共预算财政拨款安排的基本支出中的公用经费支出</w:t>
      </w:r>
      <w:r>
        <w:rPr>
          <w:rFonts w:hint="eastAsia" w:ascii="仿宋_GB2312" w:hAnsi="黑体" w:eastAsia="仿宋_GB2312" w:cs="方正小标宋简体"/>
          <w:sz w:val="30"/>
          <w:szCs w:val="30"/>
          <w:highlight w:val="none"/>
          <w:lang w:eastAsia="zh-CN"/>
        </w:rPr>
        <w:t>。</w:t>
      </w:r>
    </w:p>
    <w:p>
      <w:pPr>
        <w:ind w:firstLine="600" w:firstLineChars="200"/>
        <w:jc w:val="left"/>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（三）</w:t>
      </w:r>
      <w:r>
        <w:rPr>
          <w:rFonts w:hint="eastAsia" w:ascii="仿宋_GB2312" w:hAnsi="黑体" w:eastAsia="仿宋_GB2312" w:cs="方正小标宋简体"/>
          <w:sz w:val="30"/>
          <w:szCs w:val="30"/>
          <w:highlight w:val="none"/>
        </w:rPr>
        <w:t>按照党中央、国务院有关文件及部门预算管理有关规定，“三公”经费包括因公出国（境）费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、公务用车购置及运行维护费、公务接待费。其中：因公出国（境）费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，指单位公务出国（境）的国际旅费、国外城市间交通费、住宿费、伙食费、培训费、公杂费等支出；公务用车购置费，指公务用车购置支出（含车辆购置税</w:t>
      </w:r>
      <w:r>
        <w:rPr>
          <w:rFonts w:hint="eastAsia" w:ascii="仿宋_GB2312" w:hAnsi="黑体" w:eastAsia="仿宋_GB2312" w:cs="方正小标宋简体"/>
          <w:sz w:val="30"/>
          <w:szCs w:val="30"/>
          <w:highlight w:val="none"/>
          <w:lang w:eastAsia="zh-CN"/>
        </w:rPr>
        <w:t>、牌照费</w:t>
      </w:r>
      <w:r>
        <w:rPr>
          <w:rFonts w:hint="eastAsia" w:ascii="仿宋_GB2312" w:hAnsi="黑体" w:eastAsia="仿宋_GB2312" w:cs="方正小标宋简体"/>
          <w:sz w:val="30"/>
          <w:szCs w:val="30"/>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r>
        <w:rPr>
          <w:rFonts w:hint="eastAsia" w:ascii="仿宋_GB2312" w:hAnsi="黑体" w:eastAsia="仿宋_GB2312" w:cs="方正小标宋简体"/>
          <w:sz w:val="30"/>
          <w:szCs w:val="30"/>
          <w:highlight w:val="none"/>
          <w:lang w:eastAsia="zh-CN"/>
        </w:rPr>
        <w:t>本文中公开的财政拨款“三公”经费相关数据是一般公共预算、政府性基金及国有资本经营预算财政拨款支出的相关经费，不含非财政拨款部分。</w:t>
      </w:r>
    </w:p>
    <w:p>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（四）本文所称财政拨款</w:t>
      </w:r>
      <w:r>
        <w:rPr>
          <w:rFonts w:hint="eastAsia" w:ascii="仿宋_GB2312" w:hAnsi="黑体" w:eastAsia="仿宋_GB2312" w:cs="方正小标宋简体"/>
          <w:sz w:val="30"/>
          <w:szCs w:val="30"/>
          <w:highlight w:val="none"/>
        </w:rPr>
        <w:t>“三公”经费决算数</w:t>
      </w:r>
      <w:r>
        <w:rPr>
          <w:rFonts w:hint="eastAsia" w:ascii="仿宋_GB2312" w:hAnsi="黑体" w:eastAsia="仿宋_GB2312" w:cs="方正小标宋简体"/>
          <w:sz w:val="30"/>
          <w:szCs w:val="30"/>
          <w:highlight w:val="none"/>
          <w:lang w:eastAsia="zh-CN"/>
        </w:rPr>
        <w:t>是</w:t>
      </w:r>
      <w:r>
        <w:rPr>
          <w:rFonts w:hint="eastAsia" w:ascii="仿宋_GB2312" w:hAnsi="黑体" w:eastAsia="仿宋_GB2312" w:cs="方正小标宋简体"/>
          <w:sz w:val="30"/>
          <w:szCs w:val="30"/>
          <w:highlight w:val="none"/>
        </w:rPr>
        <w:t>指各部门（含下属单位）</w:t>
      </w:r>
      <w:r>
        <w:rPr>
          <w:rFonts w:hint="eastAsia" w:ascii="仿宋_GB2312" w:hAnsi="黑体" w:eastAsia="仿宋_GB2312" w:cs="方正小标宋简体"/>
          <w:sz w:val="30"/>
          <w:szCs w:val="30"/>
          <w:highlight w:val="none"/>
          <w:lang w:eastAsia="zh-CN"/>
        </w:rPr>
        <w:t>或单位</w:t>
      </w:r>
      <w:r>
        <w:rPr>
          <w:rFonts w:hint="eastAsia" w:ascii="仿宋_GB2312" w:hAnsi="黑体" w:eastAsia="仿宋_GB2312" w:cs="方正小标宋简体"/>
          <w:sz w:val="30"/>
          <w:szCs w:val="30"/>
          <w:highlight w:val="none"/>
        </w:rPr>
        <w:t>当年通过本级财政拨款和以前年度财政拨款结转结余资金安排的因公出国（境）费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、公务用车购置及运行维护费和公务接待费支出数（包括基本支出和项目支出）。</w:t>
      </w:r>
    </w:p>
    <w:p>
      <w:pPr>
        <w:jc w:val="center"/>
        <w:outlineLvl w:val="0"/>
        <w:rPr>
          <w:rFonts w:hint="eastAsia" w:ascii="黑体" w:hAnsi="黑体" w:eastAsia="黑体" w:cs="方正小标宋简体"/>
          <w:sz w:val="32"/>
          <w:szCs w:val="32"/>
          <w:highlight w:val="none"/>
        </w:rPr>
      </w:pPr>
      <w:r>
        <w:rPr>
          <w:rFonts w:hint="eastAsia" w:ascii="黑体" w:hAnsi="黑体" w:eastAsia="黑体" w:cs="方正小标宋简体"/>
          <w:sz w:val="32"/>
          <w:szCs w:val="32"/>
          <w:highlight w:val="none"/>
        </w:rPr>
        <w:t>第</w:t>
      </w:r>
      <w:r>
        <w:rPr>
          <w:rFonts w:hint="eastAsia" w:ascii="黑体" w:hAnsi="黑体" w:eastAsia="黑体" w:cs="方正小标宋简体"/>
          <w:sz w:val="32"/>
          <w:szCs w:val="32"/>
          <w:highlight w:val="none"/>
          <w:lang w:eastAsia="zh-CN"/>
        </w:rPr>
        <w:t>五</w:t>
      </w:r>
      <w:r>
        <w:rPr>
          <w:rFonts w:hint="eastAsia" w:ascii="黑体" w:hAnsi="黑体" w:eastAsia="黑体" w:cs="方正小标宋简体"/>
          <w:sz w:val="32"/>
          <w:szCs w:val="32"/>
          <w:highlight w:val="none"/>
        </w:rPr>
        <w:t>部分  名词解释</w:t>
      </w:r>
    </w:p>
    <w:p>
      <w:pPr>
        <w:ind w:firstLine="600" w:firstLineChars="200"/>
        <w:jc w:val="left"/>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部门决算：各部门依据国家有关法律法规规定及其履行职能情况编制，反映部门和单位所有预算收支和结余执行结果及绩效等情况的综合性年度报告，是改进部门预算执行以及编制后续年度部门预算的参考和依据。</w:t>
      </w:r>
    </w:p>
    <w:p>
      <w:pPr>
        <w:pStyle w:val="5"/>
        <w:spacing w:before="0" w:beforeAutospacing="0" w:after="0" w:afterAutospacing="0" w:line="555" w:lineRule="atLeast"/>
        <w:ind w:firstLine="600"/>
        <w:rPr>
          <w:rFonts w:hint="eastAsia" w:ascii="仿宋_GB2312" w:hAnsi="黑体" w:eastAsia="仿宋_GB2312" w:cs="方正小标宋简体"/>
          <w:color w:val="000000"/>
          <w:kern w:val="2"/>
          <w:sz w:val="30"/>
          <w:szCs w:val="30"/>
        </w:rPr>
      </w:pPr>
      <w:r>
        <w:rPr>
          <w:rFonts w:hint="eastAsia" w:ascii="仿宋_GB2312" w:hAnsi="黑体" w:eastAsia="仿宋_GB2312" w:cs="方正小标宋简体"/>
          <w:color w:val="000000"/>
          <w:kern w:val="2"/>
          <w:sz w:val="30"/>
          <w:szCs w:val="30"/>
        </w:rPr>
        <w:t>营养改善计划：为贯彻《国务院办公厅关于实施农村义务教育学生营养改善计划的意见》（国办发[2011]54号）和全国农村义务教育学生营养改善计划电视电话会议精神，全面推进《昆明市学生体质健康促进条例》的实施。目的是要提高民族素质、建设人力资源强国。农村义务教育学校全部在校学生、县城义务教育学校农村学生和农转城学生，享受营养改善计划补助，农村义务教育学生营养改善计划以食物方式，按5元/生·天的标准以实际在校天数进行补助。</w:t>
      </w:r>
    </w:p>
    <w:p>
      <w:pPr>
        <w:pStyle w:val="5"/>
        <w:spacing w:before="0" w:beforeAutospacing="0" w:after="0" w:afterAutospacing="0" w:line="555" w:lineRule="atLeast"/>
        <w:ind w:firstLine="600"/>
        <w:rPr>
          <w:rFonts w:hint="eastAsia" w:ascii="仿宋_GB2312" w:hAnsi="黑体" w:eastAsia="仿宋_GB2312" w:cs="方正小标宋简体"/>
          <w:color w:val="000000"/>
          <w:kern w:val="2"/>
          <w:sz w:val="30"/>
          <w:szCs w:val="30"/>
        </w:rPr>
      </w:pPr>
      <w:r>
        <w:rPr>
          <w:rFonts w:hint="eastAsia" w:ascii="仿宋_GB2312" w:hAnsi="黑体" w:eastAsia="仿宋_GB2312" w:cs="方正小标宋简体"/>
          <w:color w:val="000000"/>
          <w:kern w:val="2"/>
          <w:sz w:val="30"/>
          <w:szCs w:val="30"/>
        </w:rPr>
        <w:t>义务教育家庭经济困难学生生活补助：根据《财政部教育部关于下达2024年义务教育补助经费预算的通知》（财教〔2024〕64号）要求，具有正式注册学籍的义务教育家庭经济困难学生，按照初中1500元/生·年，小学1000元/生·年标准进行生活费补助。</w:t>
      </w:r>
    </w:p>
    <w:p>
      <w:pPr>
        <w:pStyle w:val="5"/>
        <w:spacing w:before="0" w:beforeAutospacing="0" w:after="0" w:afterAutospacing="0" w:line="555" w:lineRule="atLeast"/>
        <w:rPr>
          <w:rFonts w:hint="eastAsia" w:ascii="仿宋_GB2312" w:hAnsi="黑体" w:eastAsia="仿宋_GB2312" w:cs="方正小标宋简体"/>
          <w:color w:val="000000"/>
          <w:kern w:val="2"/>
          <w:sz w:val="30"/>
          <w:szCs w:val="30"/>
        </w:rPr>
      </w:pPr>
      <w:r>
        <w:rPr>
          <w:rFonts w:hint="eastAsia" w:ascii="仿宋_GB2312" w:hAnsi="黑体" w:eastAsia="仿宋_GB2312" w:cs="方正小标宋简体"/>
          <w:color w:val="000000"/>
          <w:kern w:val="2"/>
          <w:sz w:val="30"/>
          <w:szCs w:val="30"/>
        </w:rPr>
        <w:t xml:space="preserve">   城乡义务教育公用经费：从2017年春季学期开始，统一城乡义务教育学校生均公用经费基准定额。根据《国务院关于进一步完善城乡义务教育经费保障机制的通知》（国发〔2015〕67号）、以及《云南省财政厅 云南省教育厅关于下达2023年第二批城乡义务教育补助经费中央和省级直达资金的通知》（云财教〔2022〕133号）要求，决定从 2023年春季学期起提高义务教育学校生均公用经费基准定额，小学由年生均 650元提高到 720元，初中由 850元提高到 940元，同时，在此基础上，将寄宿生年生均 200 元标准提高到 300 元。并继续落实好农村地区不足100人的规模较小学校按100人核定公用经费和北方地区取暖费等政策;特殊教育学校和随班就读残疾学生按每生每年6000元标准补助公用经费。</w:t>
      </w:r>
    </w:p>
    <w:p>
      <w:pPr>
        <w:pStyle w:val="5"/>
        <w:spacing w:before="0" w:beforeAutospacing="0" w:after="0" w:afterAutospacing="0" w:line="555" w:lineRule="atLeast"/>
        <w:ind w:firstLine="600"/>
        <w:rPr>
          <w:rFonts w:hint="eastAsia" w:ascii="仿宋_GB2312" w:hAnsi="黑体" w:eastAsia="仿宋_GB2312" w:cs="方正小标宋简体"/>
          <w:color w:val="000000"/>
          <w:kern w:val="2"/>
          <w:sz w:val="30"/>
          <w:szCs w:val="30"/>
        </w:rPr>
      </w:pPr>
      <w:r>
        <w:rPr>
          <w:rFonts w:hint="eastAsia" w:ascii="仿宋_GB2312" w:hAnsi="黑体" w:eastAsia="仿宋_GB2312" w:cs="方正小标宋简体"/>
          <w:color w:val="000000"/>
          <w:kern w:val="2"/>
          <w:sz w:val="30"/>
          <w:szCs w:val="30"/>
        </w:rPr>
        <w:t>三公经费：指政府部门人员因公出国（境）费用、</w:t>
      </w:r>
      <w:r>
        <w:rPr>
          <w:rFonts w:hint="eastAsia" w:ascii="仿宋_GB2312" w:hAnsi="黑体" w:eastAsia="仿宋_GB2312" w:cs="方正小标宋简体"/>
          <w:color w:val="000000"/>
          <w:kern w:val="2"/>
          <w:sz w:val="30"/>
          <w:szCs w:val="30"/>
        </w:rPr>
        <w:fldChar w:fldCharType="begin"/>
      </w:r>
      <w:r>
        <w:rPr>
          <w:rFonts w:hint="eastAsia" w:ascii="仿宋_GB2312" w:hAnsi="黑体" w:eastAsia="仿宋_GB2312" w:cs="方正小标宋简体"/>
          <w:color w:val="000000"/>
          <w:kern w:val="2"/>
          <w:sz w:val="30"/>
          <w:szCs w:val="30"/>
        </w:rPr>
        <w:instrText xml:space="preserve"> HYPERLINK "https://baike.baidu.com/item/%E5%85%AC%E5%8A%A1%E6%8E%A5%E5%BE%85%E8%B4%B9/10536436?fromModule=lemma_inlink" </w:instrText>
      </w:r>
      <w:r>
        <w:rPr>
          <w:rFonts w:hint="eastAsia" w:ascii="仿宋_GB2312" w:hAnsi="黑体" w:eastAsia="仿宋_GB2312" w:cs="方正小标宋简体"/>
          <w:color w:val="000000"/>
          <w:kern w:val="2"/>
          <w:sz w:val="30"/>
          <w:szCs w:val="30"/>
        </w:rPr>
        <w:fldChar w:fldCharType="separate"/>
      </w:r>
      <w:r>
        <w:rPr>
          <w:rFonts w:hint="eastAsia" w:ascii="仿宋_GB2312" w:hAnsi="黑体" w:eastAsia="仿宋_GB2312" w:cs="方正小标宋简体"/>
          <w:color w:val="000000"/>
          <w:kern w:val="2"/>
          <w:sz w:val="30"/>
          <w:szCs w:val="30"/>
        </w:rPr>
        <w:t>公务接待费</w:t>
      </w:r>
      <w:r>
        <w:rPr>
          <w:rFonts w:hint="eastAsia" w:ascii="仿宋_GB2312" w:hAnsi="黑体" w:eastAsia="仿宋_GB2312" w:cs="方正小标宋简体"/>
          <w:color w:val="000000"/>
          <w:kern w:val="2"/>
          <w:sz w:val="30"/>
          <w:szCs w:val="30"/>
        </w:rPr>
        <w:fldChar w:fldCharType="end"/>
      </w:r>
      <w:r>
        <w:rPr>
          <w:rFonts w:hint="eastAsia" w:ascii="仿宋_GB2312" w:hAnsi="黑体" w:eastAsia="仿宋_GB2312" w:cs="方正小标宋简体"/>
          <w:color w:val="000000"/>
          <w:kern w:val="2"/>
          <w:sz w:val="30"/>
          <w:szCs w:val="30"/>
        </w:rPr>
        <w:t>、公务用车购置和运行维护费。其中，公务接待费反映单位按规定开支的各类公务接待支出。公务用车购置及运行费反映单位</w:t>
      </w:r>
      <w:r>
        <w:rPr>
          <w:rFonts w:hint="eastAsia" w:ascii="仿宋_GB2312" w:hAnsi="黑体" w:eastAsia="仿宋_GB2312" w:cs="方正小标宋简体"/>
          <w:color w:val="000000"/>
          <w:kern w:val="2"/>
          <w:sz w:val="30"/>
          <w:szCs w:val="30"/>
        </w:rPr>
        <w:fldChar w:fldCharType="begin"/>
      </w:r>
      <w:r>
        <w:rPr>
          <w:rFonts w:hint="eastAsia" w:ascii="仿宋_GB2312" w:hAnsi="黑体" w:eastAsia="仿宋_GB2312" w:cs="方正小标宋简体"/>
          <w:color w:val="000000"/>
          <w:kern w:val="2"/>
          <w:sz w:val="30"/>
          <w:szCs w:val="30"/>
        </w:rPr>
        <w:instrText xml:space="preserve"> HYPERLINK "https://baike.baidu.com/item/%E5%85%AC%E5%8A%A1%E7%94%A8%E8%BD%A6/7544239?fromModule=lemma_inlink" </w:instrText>
      </w:r>
      <w:r>
        <w:rPr>
          <w:rFonts w:hint="eastAsia" w:ascii="仿宋_GB2312" w:hAnsi="黑体" w:eastAsia="仿宋_GB2312" w:cs="方正小标宋简体"/>
          <w:color w:val="000000"/>
          <w:kern w:val="2"/>
          <w:sz w:val="30"/>
          <w:szCs w:val="30"/>
        </w:rPr>
        <w:fldChar w:fldCharType="separate"/>
      </w:r>
      <w:r>
        <w:rPr>
          <w:rFonts w:hint="eastAsia" w:ascii="仿宋_GB2312" w:hAnsi="黑体" w:eastAsia="仿宋_GB2312" w:cs="方正小标宋简体"/>
          <w:color w:val="000000"/>
          <w:kern w:val="2"/>
          <w:sz w:val="30"/>
          <w:szCs w:val="30"/>
        </w:rPr>
        <w:t>公务用车</w:t>
      </w:r>
      <w:r>
        <w:rPr>
          <w:rFonts w:hint="eastAsia" w:ascii="仿宋_GB2312" w:hAnsi="黑体" w:eastAsia="仿宋_GB2312" w:cs="方正小标宋简体"/>
          <w:color w:val="000000"/>
          <w:kern w:val="2"/>
          <w:sz w:val="30"/>
          <w:szCs w:val="30"/>
        </w:rPr>
        <w:fldChar w:fldCharType="end"/>
      </w:r>
      <w:r>
        <w:rPr>
          <w:rFonts w:hint="eastAsia" w:ascii="仿宋_GB2312" w:hAnsi="黑体" w:eastAsia="仿宋_GB2312" w:cs="方正小标宋简体"/>
          <w:color w:val="000000"/>
          <w:kern w:val="2"/>
          <w:sz w:val="30"/>
          <w:szCs w:val="30"/>
        </w:rPr>
        <w:t>车辆购置支出（含车辆购置税），以及燃料费、维修费、保险费等支出。因公出国（境）费反映单位公务出国（境）的国际旅费、国外城市间交通费、食宿费等支出。</w:t>
      </w:r>
    </w:p>
    <w:p/>
    <w:p>
      <w:pPr>
        <w:rPr>
          <w:highlight w:val="none"/>
        </w:rPr>
      </w:pP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Bookshelf Symbol 7"/>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Bookshelf Symbol 7"/>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
    <w:altName w:val="Arial Unicode MS"/>
    <w:panose1 w:val="02010609060101010101"/>
    <w:charset w:val="86"/>
    <w:family w:val="auto"/>
    <w:pitch w:val="default"/>
    <w:sig w:usb0="00000000" w:usb1="00000000" w:usb2="00000016" w:usb3="00000000" w:csb0="00040001" w:csb1="00000000"/>
  </w:font>
  <w:font w:name="Arial Unicode MS">
    <w:panose1 w:val="020B0604020202020204"/>
    <w:charset w:val="86"/>
    <w:family w:val="auto"/>
    <w:pitch w:val="default"/>
    <w:sig w:usb0="FFFFFFFF" w:usb1="E9FFFFFF" w:usb2="0000003F" w:usb3="00000000" w:csb0="603F01FF" w:csb1="FFFF0000"/>
  </w:font>
  <w:font w:name="楷体_GB2312">
    <w:panose1 w:val="02010609030101010101"/>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Bookshelf Symbol 7">
    <w:panose1 w:val="05010101010101010101"/>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3"/>
                            <w:rPr>
                              <w:rStyle w:val="9"/>
                            </w:rPr>
                          </w:pPr>
                          <w:r>
                            <w:rPr>
                              <w:rStyle w:val="9"/>
                              <w:sz w:val="28"/>
                              <w:szCs w:val="28"/>
                            </w:rPr>
                            <w:fldChar w:fldCharType="begin"/>
                          </w:r>
                          <w:r>
                            <w:rPr>
                              <w:rStyle w:val="9"/>
                              <w:sz w:val="28"/>
                              <w:szCs w:val="28"/>
                            </w:rPr>
                            <w:instrText xml:space="preserve">PAGE  </w:instrText>
                          </w:r>
                          <w:r>
                            <w:rPr>
                              <w:sz w:val="28"/>
                              <w:szCs w:val="28"/>
                            </w:rPr>
                            <w:fldChar w:fldCharType="separate"/>
                          </w:r>
                          <w:r>
                            <w:rPr>
                              <w:rStyle w:val="9"/>
                              <w:sz w:val="28"/>
                              <w:szCs w:val="28"/>
                            </w:rPr>
                            <w:t>8</w:t>
                          </w:r>
                          <w:r>
                            <w:rPr>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BYAAABkcnMvUEsBAhQAFAAAAAgAh07iQGhpgkvTAAAABQEAAA8AAAAA&#10;AAAAAQAgAAAAOAAAAGRycy9kb3ducmV2LnhtbFBLAQIUABQAAAAIAIdO4kBaupPIygEAAJcDAAAO&#10;AAAAAAAAAAEAIAAAADgBAABkcnMvZTJvRG9jLnhtbFBLBQYAAAAABgAGAFkBAAB0BQAAAAA=&#10;">
              <v:fill on="f" focussize="0,0"/>
              <v:stroke on="f" weight="1.25pt"/>
              <v:imagedata o:title=""/>
              <o:lock v:ext="edit" aspectratio="f"/>
              <v:textbox inset="0mm,0mm,0mm,0mm" style="mso-fit-shape-to-text:t;">
                <w:txbxContent>
                  <w:p>
                    <w:pPr>
                      <w:pStyle w:val="3"/>
                      <w:rPr>
                        <w:rStyle w:val="9"/>
                      </w:rPr>
                    </w:pPr>
                    <w:r>
                      <w:rPr>
                        <w:rStyle w:val="9"/>
                        <w:sz w:val="28"/>
                        <w:szCs w:val="28"/>
                      </w:rPr>
                      <w:fldChar w:fldCharType="begin"/>
                    </w:r>
                    <w:r>
                      <w:rPr>
                        <w:rStyle w:val="9"/>
                        <w:sz w:val="28"/>
                        <w:szCs w:val="28"/>
                      </w:rPr>
                      <w:instrText xml:space="preserve">PAGE  </w:instrText>
                    </w:r>
                    <w:r>
                      <w:rPr>
                        <w:sz w:val="28"/>
                        <w:szCs w:val="28"/>
                      </w:rPr>
                      <w:fldChar w:fldCharType="separate"/>
                    </w:r>
                    <w:r>
                      <w:rPr>
                        <w:rStyle w:val="9"/>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9"/>
      </w:rPr>
    </w:pPr>
    <w:r>
      <w:rPr>
        <w:rStyle w:val="9"/>
      </w:rPr>
      <w:fldChar w:fldCharType="begin"/>
    </w:r>
    <w:r>
      <w:rPr>
        <w:rStyle w:val="9"/>
      </w:rPr>
      <w:instrText xml:space="preserve">PAGE  </w:instrText>
    </w:r>
    <w:r>
      <w:fldChar w:fldCharType="separate"/>
    </w:r>
    <w: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singleLevel"/>
    <w:tmpl w:val="0053208E"/>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6F48FC"/>
    <w:rsid w:val="1ECB4FA6"/>
    <w:rsid w:val="28AE1462"/>
    <w:rsid w:val="396E1523"/>
    <w:rsid w:val="3C7EC4EA"/>
    <w:rsid w:val="3D7559F9"/>
    <w:rsid w:val="49CF5B20"/>
    <w:rsid w:val="4BFB6EE2"/>
    <w:rsid w:val="50363E3F"/>
    <w:rsid w:val="5D881BAD"/>
    <w:rsid w:val="5DFB5BBA"/>
    <w:rsid w:val="67F0423A"/>
    <w:rsid w:val="692011C4"/>
    <w:rsid w:val="6AF67814"/>
    <w:rsid w:val="6D095DCD"/>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before="93" w:beforeLines="30"/>
    </w:pPr>
    <w:rPr>
      <w:rFonts w:ascii="仿宋_GB2312" w:eastAsia="仿宋_GB2312"/>
      <w:sz w:val="3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7">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9">
    <w:name w:val="page number"/>
    <w:basedOn w:val="8"/>
    <w:qFormat/>
    <w:uiPriority w:val="0"/>
  </w:style>
  <w:style w:type="paragraph" w:customStyle="1"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customStyle="1" w:styleId="11">
    <w:name w:val="Footer"/>
    <w:basedOn w:val="1"/>
    <w:qFormat/>
    <w:uiPriority w:val="0"/>
    <w:pPr>
      <w:tabs>
        <w:tab w:val="center" w:pos="4153"/>
        <w:tab w:val="right" w:pos="8306"/>
      </w:tabs>
      <w:snapToGrid w:val="0"/>
      <w:jc w:val="left"/>
    </w:pPr>
    <w:rPr>
      <w:sz w:val="18"/>
      <w:szCs w:val="18"/>
    </w:rPr>
  </w:style>
  <w:style w:type="character" w:customStyle="1" w:styleId="12">
    <w:name w:val="Page Number"/>
    <w:basedOn w:val="8"/>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云南省财政厅</Company>
  <Pages>18</Pages>
  <Words>7408</Words>
  <Characters>8576</Characters>
  <Lines>0</Lines>
  <Paragraphs>0</Paragraphs>
  <TotalTime>26</TotalTime>
  <ScaleCrop>false</ScaleCrop>
  <LinksUpToDate>false</LinksUpToDate>
  <CharactersWithSpaces>8614</CharactersWithSpaces>
  <Application>WPS Office_11.8.2.12019_F1E327BC-269C-435d-A152-05C5408002CA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2024-06-03T09:34:00Z</dcterms:created>
  <dc:creator>李瑞婷_x0028_拟稿_x0029_</dc:creator>
  <cp:lastModifiedBy>huawei</cp:lastModifiedBy>
  <cp:lastPrinted>2024-07-30T14:24:00Z</cp:lastPrinted>
  <dcterms:modified xsi:type="dcterms:W3CDTF">2026-10-29T09:01:47Z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2052-11.8.2.12019</vt:lpwstr>
  </property>
  <property fmtid="{D5CDD505-2E9C-101B-9397-08002B2CF9AE}" pid="3" name="ICV">
    <vt:lpwstr>D45296F7F2444F3C8CDB43DA2E9FADD3</vt:lpwstr>
  </property>
  <property fmtid="{D5CDD505-2E9C-101B-9397-08002B2CF9AE}" pid="4" name="KSOTemplateDocerSaveRecord">
    <vt:lpwstr>eyJoZGlkIjoiZDhiY2NhZjYyYzZlN2QyNDkxZGEzNjZmZTBjYzc0ZTMifQ==</vt:lpwstr>
  </property>
</Properties>
</file>